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D9A5EF">
      <w:pPr>
        <w:adjustRightInd w:val="0"/>
        <w:snapToGrid w:val="0"/>
        <w:spacing w:line="600" w:lineRule="exact"/>
        <w:ind w:firstLine="0" w:firstLineChars="0"/>
        <w:jc w:val="left"/>
        <w:rPr>
          <w:rFonts w:hint="eastAsia" w:ascii="黑体" w:hAnsi="黑体" w:eastAsia="黑体" w:cs="黑体"/>
          <w:color w:val="auto"/>
          <w:sz w:val="32"/>
          <w:szCs w:val="32"/>
          <w:lang w:val="en-US" w:eastAsia="zh-CN"/>
        </w:rPr>
      </w:pPr>
      <w:bookmarkStart w:id="0" w:name="_Toc29079"/>
      <w:bookmarkStart w:id="22" w:name="_GoBack"/>
      <w:bookmarkEnd w:id="22"/>
      <w:r>
        <w:rPr>
          <w:rFonts w:hint="eastAsia" w:ascii="黑体" w:hAnsi="黑体" w:eastAsia="黑体" w:cs="黑体"/>
          <w:color w:val="auto"/>
          <w:sz w:val="32"/>
          <w:szCs w:val="32"/>
        </w:rPr>
        <w:t>附件</w:t>
      </w:r>
      <w:r>
        <w:rPr>
          <w:rFonts w:hint="eastAsia" w:ascii="黑体" w:hAnsi="黑体" w:eastAsia="黑体" w:cs="黑体"/>
          <w:color w:val="auto"/>
          <w:sz w:val="32"/>
          <w:szCs w:val="32"/>
          <w:lang w:val="en-US" w:eastAsia="zh-CN"/>
        </w:rPr>
        <w:t>1</w:t>
      </w:r>
    </w:p>
    <w:bookmarkEnd w:id="0"/>
    <w:p w14:paraId="788EA090">
      <w:pPr>
        <w:adjustRightInd w:val="0"/>
        <w:snapToGrid w:val="0"/>
        <w:spacing w:line="300" w:lineRule="auto"/>
        <w:jc w:val="center"/>
        <w:rPr>
          <w:rStyle w:val="15"/>
          <w:rFonts w:hint="eastAsia" w:ascii="方正小标宋简体" w:hAnsi="方正小标宋简体" w:eastAsia="方正小标宋简体" w:cs="方正小标宋简体"/>
          <w:b w:val="0"/>
          <w:bCs/>
          <w:color w:val="auto"/>
          <w:sz w:val="44"/>
          <w:szCs w:val="36"/>
        </w:rPr>
      </w:pPr>
      <w:bookmarkStart w:id="1" w:name="_Toc24299"/>
      <w:bookmarkStart w:id="2" w:name="_Toc25842"/>
      <w:bookmarkStart w:id="3" w:name="_Toc30950"/>
      <w:bookmarkStart w:id="4" w:name="_Toc5781"/>
      <w:bookmarkStart w:id="5" w:name="_Toc12316"/>
      <w:bookmarkStart w:id="6" w:name="_Toc9356"/>
      <w:bookmarkStart w:id="7" w:name="_Toc13787"/>
      <w:bookmarkStart w:id="8" w:name="_Toc28241"/>
    </w:p>
    <w:p w14:paraId="349ED7D9">
      <w:pPr>
        <w:adjustRightInd w:val="0"/>
        <w:snapToGrid w:val="0"/>
        <w:spacing w:line="300" w:lineRule="auto"/>
        <w:jc w:val="center"/>
        <w:rPr>
          <w:rStyle w:val="15"/>
          <w:rFonts w:hint="eastAsia" w:ascii="方正小标宋简体" w:hAnsi="方正小标宋简体" w:eastAsia="方正小标宋简体" w:cs="方正小标宋简体"/>
          <w:b w:val="0"/>
          <w:color w:val="auto"/>
          <w:sz w:val="44"/>
          <w:szCs w:val="36"/>
        </w:rPr>
      </w:pPr>
      <w:r>
        <w:rPr>
          <w:rStyle w:val="15"/>
          <w:rFonts w:hint="eastAsia" w:ascii="方正小标宋简体" w:hAnsi="方正小标宋简体" w:eastAsia="方正小标宋简体" w:cs="方正小标宋简体"/>
          <w:b w:val="0"/>
          <w:bCs/>
          <w:color w:val="auto"/>
          <w:sz w:val="44"/>
          <w:szCs w:val="36"/>
        </w:rPr>
        <w:t>福建省生态环境违法行为行政处罚裁量基准</w:t>
      </w:r>
    </w:p>
    <w:p w14:paraId="0BF24B69">
      <w:pPr>
        <w:adjustRightInd w:val="0"/>
        <w:snapToGrid w:val="0"/>
        <w:spacing w:line="300" w:lineRule="auto"/>
        <w:ind w:firstLine="0" w:firstLineChars="0"/>
        <w:jc w:val="left"/>
        <w:rPr>
          <w:rFonts w:hint="eastAsia" w:ascii="黑体" w:hAnsi="黑体" w:eastAsia="黑体" w:cs="黑体"/>
          <w:color w:val="auto"/>
          <w:sz w:val="32"/>
          <w:szCs w:val="32"/>
        </w:rPr>
      </w:pPr>
    </w:p>
    <w:p w14:paraId="78F1DA9C">
      <w:pPr>
        <w:keepNext/>
        <w:keepLines/>
        <w:pageBreakBefore w:val="0"/>
        <w:widowControl/>
        <w:kinsoku/>
        <w:wordWrap/>
        <w:overflowPunct/>
        <w:topLinePunct w:val="0"/>
        <w:autoSpaceDE/>
        <w:autoSpaceDN/>
        <w:bidi w:val="0"/>
        <w:adjustRightInd w:val="0"/>
        <w:snapToGrid w:val="0"/>
        <w:spacing w:before="0" w:after="0" w:line="360" w:lineRule="auto"/>
        <w:ind w:left="0" w:firstLine="0" w:firstLineChars="0"/>
        <w:jc w:val="center"/>
        <w:textAlignment w:val="auto"/>
        <w:outlineLvl w:val="1"/>
        <w:rPr>
          <w:rFonts w:ascii="华文中宋" w:hAnsi="Times New Roman" w:eastAsia="华文中宋" w:cs="Arial"/>
          <w:b/>
          <w:bCs/>
          <w:sz w:val="36"/>
          <w:szCs w:val="28"/>
          <w:lang w:val="en-US" w:eastAsia="zh-CN" w:bidi="ar-SA"/>
        </w:rPr>
      </w:pPr>
      <w:bookmarkStart w:id="9" w:name="_Toc18412"/>
      <w:bookmarkStart w:id="10" w:name="_Toc15159"/>
      <w:r>
        <w:rPr>
          <w:rFonts w:ascii="华文中宋" w:hAnsi="Times New Roman" w:eastAsia="华文中宋" w:cs="Arial"/>
          <w:b/>
          <w:bCs/>
          <w:kern w:val="44"/>
          <w:sz w:val="36"/>
          <w:szCs w:val="28"/>
          <w:lang w:val="en-US" w:eastAsia="zh-CN" w:bidi="ar-SA"/>
        </w:rPr>
        <w:t>目  录</w:t>
      </w:r>
      <w:bookmarkEnd w:id="9"/>
      <w:bookmarkEnd w:id="10"/>
    </w:p>
    <w:p w14:paraId="44D33965">
      <w:pPr>
        <w:pStyle w:val="7"/>
        <w:pageBreakBefore w:val="0"/>
        <w:tabs>
          <w:tab w:val="right" w:leader="dot" w:pos="8307"/>
        </w:tabs>
        <w:kinsoku/>
        <w:wordWrap/>
        <w:overflowPunct/>
        <w:topLinePunct w:val="0"/>
        <w:autoSpaceDE/>
        <w:autoSpaceDN/>
        <w:bidi w:val="0"/>
        <w:spacing w:line="600" w:lineRule="exact"/>
        <w:ind w:left="0" w:leftChars="0" w:firstLine="0" w:firstLineChars="0"/>
        <w:textAlignment w:val="auto"/>
        <w:rPr>
          <w:rFonts w:hint="default" w:ascii="仿宋_GB2312" w:hAnsi="Times New Roman" w:eastAsia="仿宋_GB2312" w:cs="Times New Roman"/>
          <w:b w:val="0"/>
          <w:color w:val="auto"/>
          <w:sz w:val="28"/>
          <w:szCs w:val="28"/>
          <w:lang w:val="en-US" w:eastAsia="zh-CN"/>
        </w:rPr>
      </w:pPr>
      <w:r>
        <w:rPr>
          <w:rFonts w:hint="eastAsia" w:ascii="仿宋_GB2312" w:hAnsi="Times New Roman" w:eastAsia="仿宋_GB2312" w:cs="Times New Roman"/>
          <w:color w:val="auto"/>
          <w:sz w:val="28"/>
          <w:szCs w:val="28"/>
        </w:rPr>
        <w:fldChar w:fldCharType="begin"/>
      </w:r>
      <w:r>
        <w:rPr>
          <w:rFonts w:hint="eastAsia" w:ascii="仿宋_GB2312" w:hAnsi="Times New Roman" w:eastAsia="仿宋_GB2312" w:cs="Times New Roman"/>
          <w:color w:val="auto"/>
          <w:sz w:val="28"/>
          <w:szCs w:val="28"/>
        </w:rPr>
        <w:instrText xml:space="preserve">TOC \o "1-2" \h \u </w:instrText>
      </w:r>
      <w:r>
        <w:rPr>
          <w:rFonts w:hint="eastAsia" w:ascii="仿宋_GB2312" w:hAnsi="Times New Roman" w:eastAsia="仿宋_GB2312" w:cs="Times New Roman"/>
          <w:color w:val="auto"/>
          <w:sz w:val="28"/>
          <w:szCs w:val="28"/>
        </w:rPr>
        <w:fldChar w:fldCharType="separate"/>
      </w:r>
      <w:r>
        <w:rPr>
          <w:rFonts w:hint="eastAsia" w:ascii="仿宋_GB2312" w:hAnsi="Times New Roman" w:eastAsia="仿宋_GB2312" w:cs="Times New Roman"/>
          <w:b w:val="0"/>
          <w:color w:val="auto"/>
          <w:sz w:val="28"/>
          <w:szCs w:val="28"/>
        </w:rPr>
        <w:fldChar w:fldCharType="begin"/>
      </w:r>
      <w:r>
        <w:rPr>
          <w:rFonts w:hint="eastAsia" w:ascii="仿宋_GB2312" w:hAnsi="Times New Roman" w:eastAsia="仿宋_GB2312" w:cs="Times New Roman"/>
          <w:b w:val="0"/>
          <w:color w:val="auto"/>
          <w:sz w:val="28"/>
          <w:szCs w:val="28"/>
        </w:rPr>
        <w:instrText xml:space="preserve"> HYPERLINK \l _Toc32231 </w:instrText>
      </w:r>
      <w:r>
        <w:rPr>
          <w:rFonts w:hint="eastAsia" w:ascii="仿宋_GB2312" w:hAnsi="Times New Roman" w:eastAsia="仿宋_GB2312" w:cs="Times New Roman"/>
          <w:b w:val="0"/>
          <w:color w:val="auto"/>
          <w:sz w:val="28"/>
          <w:szCs w:val="28"/>
        </w:rPr>
        <w:fldChar w:fldCharType="separate"/>
      </w:r>
      <w:r>
        <w:rPr>
          <w:rFonts w:hint="eastAsia" w:ascii="仿宋_GB2312" w:hAnsi="Times New Roman" w:eastAsia="仿宋_GB2312" w:cs="Times New Roman"/>
          <w:b w:val="0"/>
          <w:bCs/>
          <w:color w:val="auto"/>
          <w:sz w:val="28"/>
          <w:szCs w:val="28"/>
        </w:rPr>
        <w:t>一、违法行为共性裁量基准表</w:t>
      </w:r>
      <w:r>
        <w:rPr>
          <w:rFonts w:hint="eastAsia" w:ascii="仿宋_GB2312" w:hAnsi="Times New Roman" w:eastAsia="仿宋_GB2312" w:cs="Times New Roman"/>
          <w:b w:val="0"/>
          <w:color w:val="auto"/>
          <w:sz w:val="28"/>
          <w:szCs w:val="28"/>
        </w:rPr>
        <w:tab/>
      </w:r>
      <w:r>
        <w:rPr>
          <w:rFonts w:hint="eastAsia" w:ascii="仿宋_GB2312" w:hAnsi="Times New Roman" w:eastAsia="仿宋_GB2312" w:cs="Times New Roman"/>
          <w:b w:val="0"/>
          <w:color w:val="auto"/>
          <w:sz w:val="28"/>
          <w:szCs w:val="28"/>
        </w:rPr>
        <w:fldChar w:fldCharType="end"/>
      </w:r>
      <w:r>
        <w:rPr>
          <w:rFonts w:hint="eastAsia" w:ascii="仿宋_GB2312" w:hAnsi="Times New Roman" w:eastAsia="仿宋_GB2312" w:cs="Times New Roman"/>
          <w:b w:val="0"/>
          <w:color w:val="auto"/>
          <w:sz w:val="28"/>
          <w:szCs w:val="28"/>
          <w:lang w:val="en-US" w:eastAsia="zh-CN"/>
        </w:rPr>
        <w:t>1</w:t>
      </w:r>
    </w:p>
    <w:p w14:paraId="750416AD">
      <w:pPr>
        <w:pageBreakBefore w:val="0"/>
        <w:widowControl w:val="0"/>
        <w:tabs>
          <w:tab w:val="right" w:leader="dot" w:pos="8307"/>
        </w:tabs>
        <w:kinsoku/>
        <w:wordWrap/>
        <w:overflowPunct/>
        <w:topLinePunct w:val="0"/>
        <w:autoSpaceDE/>
        <w:autoSpaceDN/>
        <w:bidi w:val="0"/>
        <w:spacing w:before="120" w:after="120" w:line="600" w:lineRule="exact"/>
        <w:ind w:firstLine="0" w:firstLineChars="0"/>
        <w:textAlignment w:val="auto"/>
        <w:rPr>
          <w:rFonts w:hint="default" w:ascii="仿宋_GB2312" w:hAnsi="Times New Roman" w:eastAsia="仿宋_GB2312" w:cs="Times New Roman"/>
          <w:b w:val="0"/>
          <w:bCs/>
          <w:caps/>
          <w:color w:val="auto"/>
          <w:kern w:val="2"/>
          <w:sz w:val="28"/>
          <w:szCs w:val="28"/>
          <w:lang w:val="en-US" w:eastAsia="zh-CN" w:bidi="ar-SA"/>
        </w:rPr>
      </w:pPr>
      <w:r>
        <w:rPr>
          <w:rFonts w:hint="eastAsia" w:ascii="仿宋_GB2312" w:hAnsi="Times New Roman" w:eastAsia="仿宋_GB2312" w:cs="Times New Roman"/>
          <w:b w:val="0"/>
          <w:bCs/>
          <w:caps/>
          <w:color w:val="auto"/>
          <w:kern w:val="2"/>
          <w:sz w:val="28"/>
          <w:szCs w:val="28"/>
          <w:lang w:val="en-US" w:eastAsia="zh-CN" w:bidi="ar-SA"/>
        </w:rPr>
        <w:fldChar w:fldCharType="begin"/>
      </w:r>
      <w:r>
        <w:rPr>
          <w:rFonts w:hint="eastAsia" w:ascii="仿宋_GB2312" w:hAnsi="Times New Roman" w:eastAsia="仿宋_GB2312" w:cs="Times New Roman"/>
          <w:b w:val="0"/>
          <w:bCs/>
          <w:caps/>
          <w:color w:val="auto"/>
          <w:kern w:val="2"/>
          <w:sz w:val="28"/>
          <w:szCs w:val="28"/>
          <w:lang w:val="en-US" w:eastAsia="zh-CN" w:bidi="ar-SA"/>
        </w:rPr>
        <w:instrText xml:space="preserve"> HYPERLINK \l _Toc22130 </w:instrText>
      </w:r>
      <w:r>
        <w:rPr>
          <w:rFonts w:hint="eastAsia" w:ascii="仿宋_GB2312" w:hAnsi="Times New Roman" w:eastAsia="仿宋_GB2312" w:cs="Times New Roman"/>
          <w:b w:val="0"/>
          <w:bCs/>
          <w:caps/>
          <w:color w:val="auto"/>
          <w:kern w:val="2"/>
          <w:sz w:val="28"/>
          <w:szCs w:val="28"/>
          <w:lang w:val="en-US" w:eastAsia="zh-CN" w:bidi="ar-SA"/>
        </w:rPr>
        <w:fldChar w:fldCharType="separate"/>
      </w:r>
      <w:r>
        <w:rPr>
          <w:rFonts w:hint="eastAsia" w:ascii="仿宋_GB2312" w:hAnsi="Times New Roman" w:eastAsia="仿宋_GB2312" w:cs="Times New Roman"/>
          <w:b w:val="0"/>
          <w:bCs/>
          <w:caps/>
          <w:color w:val="auto"/>
          <w:kern w:val="2"/>
          <w:sz w:val="28"/>
          <w:szCs w:val="28"/>
          <w:lang w:val="en-US" w:eastAsia="zh-CN" w:bidi="ar-SA"/>
        </w:rPr>
        <w:t>二、违法行为修正裁量基准表</w:t>
      </w:r>
      <w:r>
        <w:rPr>
          <w:rFonts w:hint="eastAsia" w:ascii="仿宋_GB2312" w:hAnsi="Times New Roman" w:eastAsia="仿宋_GB2312" w:cs="Times New Roman"/>
          <w:b w:val="0"/>
          <w:bCs/>
          <w:caps/>
          <w:color w:val="auto"/>
          <w:kern w:val="2"/>
          <w:sz w:val="28"/>
          <w:szCs w:val="28"/>
          <w:lang w:val="en-US" w:eastAsia="zh-CN" w:bidi="ar-SA"/>
        </w:rPr>
        <w:tab/>
      </w:r>
      <w:r>
        <w:rPr>
          <w:rFonts w:hint="eastAsia" w:ascii="仿宋_GB2312" w:hAnsi="Times New Roman" w:eastAsia="仿宋_GB2312" w:cs="Times New Roman"/>
          <w:b w:val="0"/>
          <w:bCs/>
          <w:caps/>
          <w:color w:val="auto"/>
          <w:kern w:val="2"/>
          <w:sz w:val="28"/>
          <w:szCs w:val="28"/>
          <w:lang w:val="en-US" w:eastAsia="zh-CN" w:bidi="ar-SA"/>
        </w:rPr>
        <w:fldChar w:fldCharType="end"/>
      </w:r>
      <w:r>
        <w:rPr>
          <w:rFonts w:hint="eastAsia" w:ascii="仿宋_GB2312" w:hAnsi="Times New Roman" w:eastAsia="仿宋_GB2312" w:cs="Times New Roman"/>
          <w:b w:val="0"/>
          <w:bCs/>
          <w:caps/>
          <w:color w:val="auto"/>
          <w:kern w:val="2"/>
          <w:sz w:val="28"/>
          <w:szCs w:val="28"/>
          <w:lang w:val="en-US" w:eastAsia="zh-CN" w:bidi="ar-SA"/>
        </w:rPr>
        <w:t>4</w:t>
      </w:r>
    </w:p>
    <w:p w14:paraId="44215493">
      <w:pPr>
        <w:pageBreakBefore w:val="0"/>
        <w:widowControl w:val="0"/>
        <w:tabs>
          <w:tab w:val="right" w:leader="dot" w:pos="8307"/>
        </w:tabs>
        <w:kinsoku/>
        <w:wordWrap/>
        <w:overflowPunct/>
        <w:topLinePunct w:val="0"/>
        <w:autoSpaceDE/>
        <w:autoSpaceDN/>
        <w:bidi w:val="0"/>
        <w:spacing w:before="120" w:after="120" w:line="600" w:lineRule="exact"/>
        <w:ind w:firstLine="0" w:firstLineChars="0"/>
        <w:textAlignment w:val="auto"/>
        <w:rPr>
          <w:rFonts w:hint="default" w:ascii="仿宋_GB2312" w:hAnsi="Times New Roman" w:eastAsia="仿宋_GB2312" w:cs="Times New Roman"/>
          <w:b w:val="0"/>
          <w:bCs/>
          <w:caps/>
          <w:color w:val="auto"/>
          <w:kern w:val="2"/>
          <w:sz w:val="28"/>
          <w:szCs w:val="28"/>
          <w:lang w:val="en-US" w:eastAsia="zh-CN" w:bidi="ar-SA"/>
        </w:rPr>
      </w:pPr>
      <w:r>
        <w:rPr>
          <w:rFonts w:hint="eastAsia" w:ascii="仿宋_GB2312" w:hAnsi="Times New Roman" w:eastAsia="仿宋_GB2312" w:cs="Times New Roman"/>
          <w:b w:val="0"/>
          <w:bCs/>
          <w:caps/>
          <w:color w:val="auto"/>
          <w:kern w:val="2"/>
          <w:sz w:val="28"/>
          <w:szCs w:val="28"/>
          <w:lang w:val="en-US" w:eastAsia="zh-CN" w:bidi="ar-SA"/>
        </w:rPr>
        <w:fldChar w:fldCharType="begin"/>
      </w:r>
      <w:r>
        <w:rPr>
          <w:rFonts w:hint="eastAsia" w:ascii="仿宋_GB2312" w:hAnsi="Times New Roman" w:eastAsia="仿宋_GB2312" w:cs="Times New Roman"/>
          <w:b w:val="0"/>
          <w:bCs/>
          <w:caps/>
          <w:color w:val="auto"/>
          <w:kern w:val="2"/>
          <w:sz w:val="28"/>
          <w:szCs w:val="28"/>
          <w:lang w:val="en-US" w:eastAsia="zh-CN" w:bidi="ar-SA"/>
        </w:rPr>
        <w:instrText xml:space="preserve"> HYPERLINK \l _Toc32523 </w:instrText>
      </w:r>
      <w:r>
        <w:rPr>
          <w:rFonts w:hint="eastAsia" w:ascii="仿宋_GB2312" w:hAnsi="Times New Roman" w:eastAsia="仿宋_GB2312" w:cs="Times New Roman"/>
          <w:b w:val="0"/>
          <w:bCs/>
          <w:caps/>
          <w:color w:val="auto"/>
          <w:kern w:val="2"/>
          <w:sz w:val="28"/>
          <w:szCs w:val="28"/>
          <w:lang w:val="en-US" w:eastAsia="zh-CN" w:bidi="ar-SA"/>
        </w:rPr>
        <w:fldChar w:fldCharType="separate"/>
      </w:r>
      <w:r>
        <w:rPr>
          <w:rFonts w:hint="eastAsia" w:ascii="仿宋_GB2312" w:hAnsi="Times New Roman" w:eastAsia="仿宋_GB2312" w:cs="Times New Roman"/>
          <w:b w:val="0"/>
          <w:bCs/>
          <w:caps/>
          <w:color w:val="auto"/>
          <w:kern w:val="2"/>
          <w:sz w:val="28"/>
          <w:szCs w:val="28"/>
          <w:lang w:val="en-US" w:eastAsia="zh-CN" w:bidi="ar-SA"/>
        </w:rPr>
        <w:t>三、违法行为个性裁量基准表</w:t>
      </w:r>
      <w:r>
        <w:rPr>
          <w:rFonts w:hint="eastAsia" w:ascii="仿宋_GB2312" w:hAnsi="Times New Roman" w:eastAsia="仿宋_GB2312" w:cs="Times New Roman"/>
          <w:b w:val="0"/>
          <w:bCs/>
          <w:caps/>
          <w:color w:val="auto"/>
          <w:kern w:val="2"/>
          <w:sz w:val="28"/>
          <w:szCs w:val="28"/>
          <w:lang w:val="en-US" w:eastAsia="zh-CN" w:bidi="ar-SA"/>
        </w:rPr>
        <w:tab/>
      </w:r>
      <w:r>
        <w:rPr>
          <w:rFonts w:hint="eastAsia" w:ascii="仿宋_GB2312" w:hAnsi="Times New Roman" w:eastAsia="仿宋_GB2312" w:cs="Times New Roman"/>
          <w:b w:val="0"/>
          <w:bCs/>
          <w:caps/>
          <w:color w:val="auto"/>
          <w:kern w:val="2"/>
          <w:sz w:val="28"/>
          <w:szCs w:val="28"/>
          <w:lang w:val="en-US" w:eastAsia="zh-CN" w:bidi="ar-SA"/>
        </w:rPr>
        <w:fldChar w:fldCharType="end"/>
      </w:r>
      <w:r>
        <w:rPr>
          <w:rFonts w:hint="eastAsia" w:ascii="仿宋_GB2312" w:hAnsi="Times New Roman" w:eastAsia="仿宋_GB2312" w:cs="Times New Roman"/>
          <w:b w:val="0"/>
          <w:bCs/>
          <w:caps/>
          <w:color w:val="auto"/>
          <w:kern w:val="2"/>
          <w:sz w:val="28"/>
          <w:szCs w:val="28"/>
          <w:lang w:val="en-US" w:eastAsia="zh-CN" w:bidi="ar-SA"/>
        </w:rPr>
        <w:t>5</w:t>
      </w:r>
    </w:p>
    <w:p w14:paraId="64536250">
      <w:pPr>
        <w:pStyle w:val="7"/>
        <w:pageBreakBefore w:val="0"/>
        <w:tabs>
          <w:tab w:val="right" w:leader="dot" w:pos="8307"/>
        </w:tabs>
        <w:kinsoku/>
        <w:wordWrap/>
        <w:overflowPunct/>
        <w:topLinePunct w:val="0"/>
        <w:autoSpaceDE/>
        <w:autoSpaceDN/>
        <w:bidi w:val="0"/>
        <w:spacing w:line="600" w:lineRule="exact"/>
        <w:ind w:firstLine="0" w:firstLineChars="0"/>
        <w:textAlignment w:val="auto"/>
        <w:rPr>
          <w:rFonts w:hint="eastAsia" w:ascii="仿宋_GB2312" w:hAnsi="Times New Roman" w:eastAsia="仿宋_GB2312" w:cs="Times New Roman"/>
          <w:color w:val="auto"/>
          <w:sz w:val="28"/>
          <w:szCs w:val="28"/>
          <w:lang w:val="en-US" w:eastAsia="zh-CN"/>
        </w:rPr>
      </w:pPr>
      <w:r>
        <w:rPr>
          <w:rFonts w:hint="eastAsia" w:ascii="仿宋_GB2312" w:hAnsi="Times New Roman" w:eastAsia="仿宋_GB2312" w:cs="Times New Roman"/>
          <w:color w:val="auto"/>
          <w:sz w:val="28"/>
          <w:szCs w:val="28"/>
        </w:rPr>
        <w:fldChar w:fldCharType="begin"/>
      </w:r>
      <w:r>
        <w:rPr>
          <w:rFonts w:hint="eastAsia" w:ascii="仿宋_GB2312" w:hAnsi="Times New Roman" w:eastAsia="仿宋_GB2312" w:cs="Times New Roman"/>
          <w:color w:val="auto"/>
          <w:sz w:val="28"/>
          <w:szCs w:val="28"/>
        </w:rPr>
        <w:instrText xml:space="preserve"> HYPERLINK \l _Toc18818 </w:instrText>
      </w:r>
      <w:r>
        <w:rPr>
          <w:rFonts w:hint="eastAsia" w:ascii="仿宋_GB2312" w:hAnsi="Times New Roman" w:eastAsia="仿宋_GB2312" w:cs="Times New Roman"/>
          <w:color w:val="auto"/>
          <w:sz w:val="28"/>
          <w:szCs w:val="28"/>
        </w:rPr>
        <w:fldChar w:fldCharType="separate"/>
      </w:r>
      <w:r>
        <w:rPr>
          <w:rFonts w:hint="eastAsia" w:ascii="仿宋_GB2312" w:hAnsi="Times New Roman" w:eastAsia="仿宋_GB2312" w:cs="Times New Roman"/>
          <w:bCs w:val="0"/>
          <w:color w:val="auto"/>
          <w:sz w:val="28"/>
          <w:szCs w:val="28"/>
        </w:rPr>
        <w:t>（一）</w:t>
      </w:r>
      <w:r>
        <w:rPr>
          <w:rFonts w:hint="eastAsia" w:ascii="仿宋_GB2312" w:hAnsi="Times New Roman" w:eastAsia="仿宋_GB2312"/>
          <w:color w:val="auto"/>
          <w:sz w:val="28"/>
          <w:szCs w:val="28"/>
        </w:rPr>
        <w:t>生态环境监测管理</w:t>
      </w:r>
      <w:r>
        <w:rPr>
          <w:rFonts w:hint="eastAsia" w:ascii="仿宋_GB2312" w:hAnsi="Times New Roman" w:eastAsia="仿宋_GB2312" w:cs="Times New Roman"/>
          <w:bCs w:val="0"/>
          <w:color w:val="auto"/>
          <w:sz w:val="28"/>
          <w:szCs w:val="28"/>
        </w:rPr>
        <w:t>类</w:t>
      </w:r>
      <w:r>
        <w:rPr>
          <w:rFonts w:hint="eastAsia" w:ascii="仿宋_GB2312" w:hAnsi="Times New Roman" w:eastAsia="仿宋_GB2312" w:cs="Times New Roman"/>
          <w:color w:val="auto"/>
          <w:sz w:val="28"/>
          <w:szCs w:val="28"/>
        </w:rPr>
        <w:tab/>
      </w:r>
      <w:r>
        <w:rPr>
          <w:rFonts w:hint="eastAsia" w:ascii="仿宋_GB2312" w:hAnsi="Times New Roman" w:eastAsia="仿宋_GB2312" w:cs="Times New Roman"/>
          <w:color w:val="auto"/>
          <w:sz w:val="28"/>
          <w:szCs w:val="28"/>
        </w:rPr>
        <w:fldChar w:fldCharType="end"/>
      </w:r>
      <w:r>
        <w:rPr>
          <w:rFonts w:hint="eastAsia" w:ascii="仿宋_GB2312" w:hAnsi="Times New Roman" w:eastAsia="仿宋_GB2312" w:cs="Times New Roman"/>
          <w:color w:val="auto"/>
          <w:sz w:val="28"/>
          <w:szCs w:val="28"/>
          <w:lang w:val="en-US" w:eastAsia="zh-CN"/>
        </w:rPr>
        <w:t>6</w:t>
      </w:r>
    </w:p>
    <w:p w14:paraId="429078AB">
      <w:pPr>
        <w:pStyle w:val="7"/>
        <w:pageBreakBefore w:val="0"/>
        <w:tabs>
          <w:tab w:val="right" w:leader="dot" w:pos="8307"/>
        </w:tabs>
        <w:kinsoku/>
        <w:wordWrap/>
        <w:overflowPunct/>
        <w:topLinePunct w:val="0"/>
        <w:autoSpaceDE/>
        <w:autoSpaceDN/>
        <w:bidi w:val="0"/>
        <w:spacing w:line="600" w:lineRule="exact"/>
        <w:ind w:firstLine="0" w:firstLineChars="0"/>
        <w:textAlignment w:val="auto"/>
        <w:rPr>
          <w:rFonts w:hint="default" w:ascii="仿宋_GB2312" w:hAnsi="Times New Roman" w:eastAsia="仿宋_GB2312" w:cs="Times New Roman"/>
          <w:color w:val="auto"/>
          <w:sz w:val="28"/>
          <w:szCs w:val="28"/>
          <w:lang w:val="en-US" w:eastAsia="zh-CN"/>
        </w:rPr>
      </w:pPr>
      <w:r>
        <w:rPr>
          <w:rFonts w:hint="eastAsia" w:ascii="仿宋_GB2312" w:hAnsi="Times New Roman" w:eastAsia="仿宋_GB2312" w:cs="Times New Roman"/>
          <w:color w:val="auto"/>
          <w:sz w:val="28"/>
          <w:szCs w:val="28"/>
        </w:rPr>
        <w:fldChar w:fldCharType="begin"/>
      </w:r>
      <w:r>
        <w:rPr>
          <w:rFonts w:hint="eastAsia" w:ascii="仿宋_GB2312" w:hAnsi="Times New Roman" w:eastAsia="仿宋_GB2312" w:cs="Times New Roman"/>
          <w:color w:val="auto"/>
          <w:sz w:val="28"/>
          <w:szCs w:val="28"/>
        </w:rPr>
        <w:instrText xml:space="preserve"> HYPERLINK \l _Toc19592 </w:instrText>
      </w:r>
      <w:r>
        <w:rPr>
          <w:rFonts w:hint="eastAsia" w:ascii="仿宋_GB2312" w:hAnsi="Times New Roman" w:eastAsia="仿宋_GB2312" w:cs="Times New Roman"/>
          <w:color w:val="auto"/>
          <w:sz w:val="28"/>
          <w:szCs w:val="28"/>
        </w:rPr>
        <w:fldChar w:fldCharType="separate"/>
      </w:r>
      <w:r>
        <w:rPr>
          <w:rFonts w:hint="eastAsia" w:ascii="仿宋_GB2312" w:hAnsi="Times New Roman" w:eastAsia="仿宋_GB2312" w:cs="Times New Roman"/>
          <w:bCs w:val="0"/>
          <w:color w:val="auto"/>
          <w:sz w:val="28"/>
          <w:szCs w:val="28"/>
        </w:rPr>
        <w:t>（二）</w:t>
      </w:r>
      <w:r>
        <w:rPr>
          <w:rFonts w:hint="eastAsia" w:ascii="仿宋_GB2312" w:hAnsi="Times New Roman" w:eastAsia="仿宋_GB2312"/>
          <w:color w:val="auto"/>
          <w:sz w:val="28"/>
          <w:szCs w:val="28"/>
        </w:rPr>
        <w:t>生态环境影响评价管理</w:t>
      </w:r>
      <w:r>
        <w:rPr>
          <w:rFonts w:hint="eastAsia" w:ascii="仿宋_GB2312" w:hAnsi="Times New Roman" w:eastAsia="仿宋_GB2312" w:cs="Times New Roman"/>
          <w:bCs w:val="0"/>
          <w:color w:val="auto"/>
          <w:sz w:val="28"/>
          <w:szCs w:val="28"/>
        </w:rPr>
        <w:t>类</w:t>
      </w:r>
      <w:r>
        <w:rPr>
          <w:rFonts w:hint="eastAsia" w:ascii="仿宋_GB2312" w:hAnsi="Times New Roman" w:eastAsia="仿宋_GB2312" w:cs="Times New Roman"/>
          <w:color w:val="auto"/>
          <w:sz w:val="28"/>
          <w:szCs w:val="28"/>
        </w:rPr>
        <w:tab/>
      </w:r>
      <w:r>
        <w:rPr>
          <w:rFonts w:hint="eastAsia" w:ascii="仿宋_GB2312" w:hAnsi="Times New Roman" w:eastAsia="仿宋_GB2312" w:cs="Times New Roman"/>
          <w:color w:val="auto"/>
          <w:sz w:val="28"/>
          <w:szCs w:val="28"/>
        </w:rPr>
        <w:fldChar w:fldCharType="end"/>
      </w:r>
      <w:r>
        <w:rPr>
          <w:rFonts w:hint="eastAsia" w:ascii="仿宋_GB2312" w:hAnsi="Times New Roman" w:eastAsia="仿宋_GB2312" w:cs="Times New Roman"/>
          <w:color w:val="auto"/>
          <w:sz w:val="28"/>
          <w:szCs w:val="28"/>
          <w:lang w:val="en-US" w:eastAsia="zh-CN"/>
        </w:rPr>
        <w:t>21</w:t>
      </w:r>
    </w:p>
    <w:p w14:paraId="00027D3B">
      <w:pPr>
        <w:pStyle w:val="7"/>
        <w:pageBreakBefore w:val="0"/>
        <w:tabs>
          <w:tab w:val="right" w:leader="dot" w:pos="8307"/>
        </w:tabs>
        <w:kinsoku/>
        <w:wordWrap/>
        <w:overflowPunct/>
        <w:topLinePunct w:val="0"/>
        <w:autoSpaceDE/>
        <w:autoSpaceDN/>
        <w:bidi w:val="0"/>
        <w:spacing w:line="600" w:lineRule="exact"/>
        <w:ind w:firstLine="0" w:firstLineChars="0"/>
        <w:textAlignment w:val="auto"/>
        <w:rPr>
          <w:rFonts w:hint="default" w:ascii="仿宋_GB2312" w:hAnsi="Times New Roman" w:eastAsia="仿宋_GB2312" w:cs="Times New Roman"/>
          <w:color w:val="auto"/>
          <w:sz w:val="28"/>
          <w:szCs w:val="28"/>
          <w:lang w:val="en-US" w:eastAsia="zh-CN"/>
        </w:rPr>
      </w:pPr>
      <w:r>
        <w:rPr>
          <w:rFonts w:hint="eastAsia" w:ascii="仿宋_GB2312" w:hAnsi="Times New Roman" w:eastAsia="仿宋_GB2312" w:cs="Times New Roman"/>
          <w:color w:val="auto"/>
          <w:sz w:val="28"/>
          <w:szCs w:val="28"/>
        </w:rPr>
        <w:fldChar w:fldCharType="begin"/>
      </w:r>
      <w:r>
        <w:rPr>
          <w:rFonts w:hint="eastAsia" w:ascii="仿宋_GB2312" w:hAnsi="Times New Roman" w:eastAsia="仿宋_GB2312" w:cs="Times New Roman"/>
          <w:color w:val="auto"/>
          <w:sz w:val="28"/>
          <w:szCs w:val="28"/>
        </w:rPr>
        <w:instrText xml:space="preserve"> HYPERLINK \l _Toc20135 </w:instrText>
      </w:r>
      <w:r>
        <w:rPr>
          <w:rFonts w:hint="eastAsia" w:ascii="仿宋_GB2312" w:hAnsi="Times New Roman" w:eastAsia="仿宋_GB2312" w:cs="Times New Roman"/>
          <w:color w:val="auto"/>
          <w:sz w:val="28"/>
          <w:szCs w:val="28"/>
        </w:rPr>
        <w:fldChar w:fldCharType="separate"/>
      </w:r>
      <w:r>
        <w:rPr>
          <w:rFonts w:hint="eastAsia" w:ascii="仿宋_GB2312" w:hAnsi="Times New Roman" w:eastAsia="仿宋_GB2312" w:cs="Times New Roman"/>
          <w:bCs w:val="0"/>
          <w:color w:val="auto"/>
          <w:sz w:val="28"/>
          <w:szCs w:val="28"/>
        </w:rPr>
        <w:t>（三）</w:t>
      </w:r>
      <w:r>
        <w:rPr>
          <w:rFonts w:hint="eastAsia" w:ascii="仿宋_GB2312" w:hAnsi="Times New Roman" w:eastAsia="仿宋_GB2312"/>
          <w:color w:val="auto"/>
          <w:sz w:val="28"/>
          <w:szCs w:val="28"/>
        </w:rPr>
        <w:t>排污许可管理</w:t>
      </w:r>
      <w:r>
        <w:rPr>
          <w:rFonts w:hint="eastAsia" w:ascii="仿宋_GB2312" w:hAnsi="Times New Roman" w:eastAsia="仿宋_GB2312" w:cs="Times New Roman"/>
          <w:bCs w:val="0"/>
          <w:color w:val="auto"/>
          <w:sz w:val="28"/>
          <w:szCs w:val="28"/>
        </w:rPr>
        <w:t>类</w:t>
      </w:r>
      <w:r>
        <w:rPr>
          <w:rFonts w:hint="eastAsia" w:ascii="仿宋_GB2312" w:hAnsi="Times New Roman" w:eastAsia="仿宋_GB2312" w:cs="Times New Roman"/>
          <w:color w:val="auto"/>
          <w:sz w:val="28"/>
          <w:szCs w:val="28"/>
        </w:rPr>
        <w:tab/>
      </w:r>
      <w:r>
        <w:rPr>
          <w:rFonts w:hint="eastAsia" w:ascii="仿宋_GB2312" w:hAnsi="Times New Roman" w:eastAsia="仿宋_GB2312" w:cs="Times New Roman"/>
          <w:color w:val="auto"/>
          <w:sz w:val="28"/>
          <w:szCs w:val="28"/>
        </w:rPr>
        <w:fldChar w:fldCharType="end"/>
      </w:r>
      <w:r>
        <w:rPr>
          <w:rFonts w:hint="eastAsia" w:ascii="仿宋_GB2312" w:hAnsi="Times New Roman" w:eastAsia="仿宋_GB2312" w:cs="Times New Roman"/>
          <w:color w:val="auto"/>
          <w:sz w:val="28"/>
          <w:szCs w:val="28"/>
          <w:lang w:val="en-US" w:eastAsia="zh-CN"/>
        </w:rPr>
        <w:t>32</w:t>
      </w:r>
    </w:p>
    <w:p w14:paraId="4DDEE6C9">
      <w:pPr>
        <w:pStyle w:val="7"/>
        <w:pageBreakBefore w:val="0"/>
        <w:tabs>
          <w:tab w:val="right" w:leader="dot" w:pos="8307"/>
        </w:tabs>
        <w:kinsoku/>
        <w:wordWrap/>
        <w:overflowPunct/>
        <w:topLinePunct w:val="0"/>
        <w:autoSpaceDE/>
        <w:autoSpaceDN/>
        <w:bidi w:val="0"/>
        <w:spacing w:line="600" w:lineRule="exact"/>
        <w:ind w:firstLine="0" w:firstLineChars="0"/>
        <w:textAlignment w:val="auto"/>
        <w:rPr>
          <w:rFonts w:hint="default" w:ascii="仿宋_GB2312" w:hAnsi="Times New Roman" w:eastAsia="仿宋_GB2312" w:cs="Times New Roman"/>
          <w:color w:val="auto"/>
          <w:sz w:val="28"/>
          <w:szCs w:val="28"/>
          <w:lang w:val="en-US" w:eastAsia="zh-CN"/>
        </w:rPr>
      </w:pPr>
      <w:r>
        <w:rPr>
          <w:rFonts w:hint="eastAsia" w:ascii="仿宋_GB2312" w:hAnsi="Times New Roman" w:eastAsia="仿宋_GB2312" w:cs="Times New Roman"/>
          <w:color w:val="auto"/>
          <w:sz w:val="28"/>
          <w:szCs w:val="28"/>
        </w:rPr>
        <w:fldChar w:fldCharType="begin"/>
      </w:r>
      <w:r>
        <w:rPr>
          <w:rFonts w:hint="eastAsia" w:ascii="仿宋_GB2312" w:hAnsi="Times New Roman" w:eastAsia="仿宋_GB2312" w:cs="Times New Roman"/>
          <w:color w:val="auto"/>
          <w:sz w:val="28"/>
          <w:szCs w:val="28"/>
        </w:rPr>
        <w:instrText xml:space="preserve"> HYPERLINK \l _Toc20323 </w:instrText>
      </w:r>
      <w:r>
        <w:rPr>
          <w:rFonts w:hint="eastAsia" w:ascii="仿宋_GB2312" w:hAnsi="Times New Roman" w:eastAsia="仿宋_GB2312" w:cs="Times New Roman"/>
          <w:color w:val="auto"/>
          <w:sz w:val="28"/>
          <w:szCs w:val="28"/>
        </w:rPr>
        <w:fldChar w:fldCharType="separate"/>
      </w:r>
      <w:r>
        <w:rPr>
          <w:rFonts w:hint="eastAsia" w:ascii="仿宋_GB2312" w:hAnsi="Times New Roman" w:eastAsia="仿宋_GB2312" w:cs="Times New Roman"/>
          <w:bCs w:val="0"/>
          <w:color w:val="auto"/>
          <w:sz w:val="28"/>
          <w:szCs w:val="28"/>
        </w:rPr>
        <w:t>（四）</w:t>
      </w:r>
      <w:r>
        <w:rPr>
          <w:rFonts w:hint="eastAsia" w:ascii="仿宋_GB2312" w:hAnsi="Times New Roman" w:eastAsia="仿宋_GB2312"/>
          <w:color w:val="auto"/>
          <w:sz w:val="28"/>
          <w:szCs w:val="28"/>
        </w:rPr>
        <w:t>大气污染防治</w:t>
      </w:r>
      <w:r>
        <w:rPr>
          <w:rFonts w:hint="eastAsia" w:ascii="仿宋_GB2312" w:hAnsi="Times New Roman" w:eastAsia="仿宋_GB2312" w:cs="Times New Roman"/>
          <w:bCs w:val="0"/>
          <w:color w:val="auto"/>
          <w:sz w:val="28"/>
          <w:szCs w:val="28"/>
        </w:rPr>
        <w:t>类</w:t>
      </w:r>
      <w:r>
        <w:rPr>
          <w:rFonts w:hint="eastAsia" w:ascii="仿宋_GB2312" w:hAnsi="Times New Roman" w:eastAsia="仿宋_GB2312" w:cs="Times New Roman"/>
          <w:color w:val="auto"/>
          <w:sz w:val="28"/>
          <w:szCs w:val="28"/>
        </w:rPr>
        <w:tab/>
      </w:r>
      <w:r>
        <w:rPr>
          <w:rFonts w:hint="eastAsia" w:ascii="仿宋_GB2312" w:hAnsi="Times New Roman" w:eastAsia="仿宋_GB2312" w:cs="Times New Roman"/>
          <w:color w:val="auto"/>
          <w:sz w:val="28"/>
          <w:szCs w:val="28"/>
        </w:rPr>
        <w:fldChar w:fldCharType="end"/>
      </w:r>
      <w:r>
        <w:rPr>
          <w:rFonts w:hint="eastAsia" w:ascii="仿宋_GB2312" w:hAnsi="Times New Roman" w:eastAsia="仿宋_GB2312" w:cs="Times New Roman"/>
          <w:color w:val="auto"/>
          <w:sz w:val="28"/>
          <w:szCs w:val="28"/>
          <w:lang w:val="en-US" w:eastAsia="zh-CN"/>
        </w:rPr>
        <w:t>54</w:t>
      </w:r>
    </w:p>
    <w:p w14:paraId="24EB80E7">
      <w:pPr>
        <w:pStyle w:val="7"/>
        <w:pageBreakBefore w:val="0"/>
        <w:tabs>
          <w:tab w:val="right" w:leader="dot" w:pos="8307"/>
        </w:tabs>
        <w:kinsoku/>
        <w:wordWrap/>
        <w:overflowPunct/>
        <w:topLinePunct w:val="0"/>
        <w:autoSpaceDE/>
        <w:autoSpaceDN/>
        <w:bidi w:val="0"/>
        <w:spacing w:line="600" w:lineRule="exact"/>
        <w:ind w:firstLine="0" w:firstLineChars="0"/>
        <w:textAlignment w:val="auto"/>
        <w:rPr>
          <w:rFonts w:hint="default" w:ascii="仿宋_GB2312" w:hAnsi="Times New Roman" w:eastAsia="仿宋_GB2312" w:cs="Times New Roman"/>
          <w:color w:val="auto"/>
          <w:sz w:val="28"/>
          <w:szCs w:val="28"/>
          <w:lang w:val="en-US" w:eastAsia="zh-CN"/>
        </w:rPr>
      </w:pPr>
      <w:r>
        <w:rPr>
          <w:rFonts w:hint="eastAsia" w:ascii="仿宋_GB2312" w:hAnsi="Times New Roman" w:eastAsia="仿宋_GB2312" w:cs="Times New Roman"/>
          <w:color w:val="auto"/>
          <w:sz w:val="28"/>
          <w:szCs w:val="28"/>
        </w:rPr>
        <w:fldChar w:fldCharType="begin"/>
      </w:r>
      <w:r>
        <w:rPr>
          <w:rFonts w:hint="eastAsia" w:ascii="仿宋_GB2312" w:hAnsi="Times New Roman" w:eastAsia="仿宋_GB2312" w:cs="Times New Roman"/>
          <w:color w:val="auto"/>
          <w:sz w:val="28"/>
          <w:szCs w:val="28"/>
        </w:rPr>
        <w:instrText xml:space="preserve"> HYPERLINK \l _Toc32214 </w:instrText>
      </w:r>
      <w:r>
        <w:rPr>
          <w:rFonts w:hint="eastAsia" w:ascii="仿宋_GB2312" w:hAnsi="Times New Roman" w:eastAsia="仿宋_GB2312" w:cs="Times New Roman"/>
          <w:color w:val="auto"/>
          <w:sz w:val="28"/>
          <w:szCs w:val="28"/>
        </w:rPr>
        <w:fldChar w:fldCharType="separate"/>
      </w:r>
      <w:r>
        <w:rPr>
          <w:rFonts w:hint="eastAsia" w:ascii="仿宋_GB2312" w:hAnsi="Times New Roman" w:eastAsia="仿宋_GB2312" w:cs="Times New Roman"/>
          <w:bCs w:val="0"/>
          <w:color w:val="auto"/>
          <w:sz w:val="28"/>
          <w:szCs w:val="28"/>
        </w:rPr>
        <w:t>（五）</w:t>
      </w:r>
      <w:r>
        <w:rPr>
          <w:rFonts w:hint="eastAsia" w:ascii="仿宋_GB2312" w:hAnsi="Times New Roman" w:eastAsia="仿宋_GB2312"/>
          <w:color w:val="auto"/>
          <w:sz w:val="28"/>
          <w:szCs w:val="28"/>
        </w:rPr>
        <w:t>水污染防治</w:t>
      </w:r>
      <w:r>
        <w:rPr>
          <w:rFonts w:hint="eastAsia" w:ascii="仿宋_GB2312" w:hAnsi="Times New Roman" w:eastAsia="仿宋_GB2312" w:cs="Times New Roman"/>
          <w:bCs w:val="0"/>
          <w:color w:val="auto"/>
          <w:sz w:val="28"/>
          <w:szCs w:val="28"/>
        </w:rPr>
        <w:t>类</w:t>
      </w:r>
      <w:r>
        <w:rPr>
          <w:rFonts w:hint="eastAsia" w:ascii="仿宋_GB2312" w:hAnsi="Times New Roman" w:eastAsia="仿宋_GB2312" w:cs="Times New Roman"/>
          <w:color w:val="auto"/>
          <w:sz w:val="28"/>
          <w:szCs w:val="28"/>
        </w:rPr>
        <w:tab/>
      </w:r>
      <w:r>
        <w:rPr>
          <w:rFonts w:hint="eastAsia" w:ascii="仿宋_GB2312" w:hAnsi="Times New Roman" w:eastAsia="仿宋_GB2312" w:cs="Times New Roman"/>
          <w:color w:val="auto"/>
          <w:sz w:val="28"/>
          <w:szCs w:val="28"/>
        </w:rPr>
        <w:fldChar w:fldCharType="end"/>
      </w:r>
      <w:r>
        <w:rPr>
          <w:rFonts w:hint="eastAsia" w:ascii="仿宋_GB2312" w:hAnsi="Times New Roman" w:eastAsia="仿宋_GB2312" w:cs="Times New Roman"/>
          <w:color w:val="auto"/>
          <w:sz w:val="28"/>
          <w:szCs w:val="28"/>
          <w:lang w:val="en-US" w:eastAsia="zh-CN"/>
        </w:rPr>
        <w:t>84</w:t>
      </w:r>
    </w:p>
    <w:p w14:paraId="4772A117">
      <w:pPr>
        <w:pStyle w:val="7"/>
        <w:pageBreakBefore w:val="0"/>
        <w:tabs>
          <w:tab w:val="right" w:leader="dot" w:pos="8307"/>
        </w:tabs>
        <w:kinsoku/>
        <w:wordWrap/>
        <w:overflowPunct/>
        <w:topLinePunct w:val="0"/>
        <w:autoSpaceDE/>
        <w:autoSpaceDN/>
        <w:bidi w:val="0"/>
        <w:spacing w:line="600" w:lineRule="exact"/>
        <w:ind w:firstLine="0" w:firstLineChars="0"/>
        <w:textAlignment w:val="auto"/>
        <w:rPr>
          <w:rFonts w:hint="default" w:ascii="仿宋_GB2312" w:hAnsi="Times New Roman" w:eastAsia="仿宋_GB2312" w:cs="Times New Roman"/>
          <w:color w:val="auto"/>
          <w:sz w:val="28"/>
          <w:szCs w:val="28"/>
          <w:lang w:val="en-US" w:eastAsia="zh-CN"/>
        </w:rPr>
      </w:pPr>
      <w:r>
        <w:rPr>
          <w:rFonts w:hint="eastAsia" w:ascii="仿宋_GB2312" w:hAnsi="Times New Roman" w:eastAsia="仿宋_GB2312" w:cs="Times New Roman"/>
          <w:color w:val="auto"/>
          <w:sz w:val="28"/>
          <w:szCs w:val="28"/>
        </w:rPr>
        <w:fldChar w:fldCharType="begin"/>
      </w:r>
      <w:r>
        <w:rPr>
          <w:rFonts w:hint="eastAsia" w:ascii="仿宋_GB2312" w:hAnsi="Times New Roman" w:eastAsia="仿宋_GB2312" w:cs="Times New Roman"/>
          <w:color w:val="auto"/>
          <w:sz w:val="28"/>
          <w:szCs w:val="28"/>
        </w:rPr>
        <w:instrText xml:space="preserve"> HYPERLINK \l _Toc20154 </w:instrText>
      </w:r>
      <w:r>
        <w:rPr>
          <w:rFonts w:hint="eastAsia" w:ascii="仿宋_GB2312" w:hAnsi="Times New Roman" w:eastAsia="仿宋_GB2312" w:cs="Times New Roman"/>
          <w:color w:val="auto"/>
          <w:sz w:val="28"/>
          <w:szCs w:val="28"/>
        </w:rPr>
        <w:fldChar w:fldCharType="separate"/>
      </w:r>
      <w:r>
        <w:rPr>
          <w:rFonts w:hint="eastAsia" w:ascii="仿宋_GB2312" w:hAnsi="Times New Roman" w:eastAsia="仿宋_GB2312" w:cs="Times New Roman"/>
          <w:bCs w:val="0"/>
          <w:color w:val="auto"/>
          <w:sz w:val="28"/>
          <w:szCs w:val="28"/>
        </w:rPr>
        <w:t>（六）</w:t>
      </w:r>
      <w:r>
        <w:rPr>
          <w:rFonts w:hint="eastAsia" w:ascii="仿宋_GB2312" w:hAnsi="Times New Roman" w:eastAsia="仿宋_GB2312"/>
          <w:color w:val="auto"/>
          <w:sz w:val="28"/>
          <w:szCs w:val="28"/>
        </w:rPr>
        <w:t>海洋污染防治</w:t>
      </w:r>
      <w:r>
        <w:rPr>
          <w:rFonts w:hint="eastAsia" w:ascii="仿宋_GB2312" w:hAnsi="Times New Roman" w:eastAsia="仿宋_GB2312" w:cs="Times New Roman"/>
          <w:bCs w:val="0"/>
          <w:color w:val="auto"/>
          <w:sz w:val="28"/>
          <w:szCs w:val="28"/>
        </w:rPr>
        <w:t>类</w:t>
      </w:r>
      <w:r>
        <w:rPr>
          <w:rFonts w:hint="eastAsia" w:ascii="仿宋_GB2312" w:hAnsi="Times New Roman" w:eastAsia="仿宋_GB2312" w:cs="Times New Roman"/>
          <w:color w:val="auto"/>
          <w:sz w:val="28"/>
          <w:szCs w:val="28"/>
        </w:rPr>
        <w:tab/>
      </w:r>
      <w:r>
        <w:rPr>
          <w:rFonts w:hint="eastAsia" w:ascii="仿宋_GB2312" w:hAnsi="Times New Roman" w:eastAsia="仿宋_GB2312" w:cs="Times New Roman"/>
          <w:color w:val="auto"/>
          <w:sz w:val="28"/>
          <w:szCs w:val="28"/>
        </w:rPr>
        <w:fldChar w:fldCharType="end"/>
      </w:r>
      <w:r>
        <w:rPr>
          <w:rFonts w:hint="eastAsia" w:ascii="仿宋_GB2312" w:hAnsi="Times New Roman" w:eastAsia="仿宋_GB2312" w:cs="Times New Roman"/>
          <w:color w:val="auto"/>
          <w:sz w:val="28"/>
          <w:szCs w:val="28"/>
          <w:lang w:val="en-US" w:eastAsia="zh-CN"/>
        </w:rPr>
        <w:t>109</w:t>
      </w:r>
    </w:p>
    <w:p w14:paraId="757D6BBB">
      <w:pPr>
        <w:pStyle w:val="7"/>
        <w:pageBreakBefore w:val="0"/>
        <w:tabs>
          <w:tab w:val="right" w:leader="dot" w:pos="8307"/>
        </w:tabs>
        <w:kinsoku/>
        <w:wordWrap/>
        <w:overflowPunct/>
        <w:topLinePunct w:val="0"/>
        <w:autoSpaceDE/>
        <w:autoSpaceDN/>
        <w:bidi w:val="0"/>
        <w:spacing w:line="600" w:lineRule="exact"/>
        <w:ind w:firstLine="0" w:firstLineChars="0"/>
        <w:textAlignment w:val="auto"/>
        <w:rPr>
          <w:rFonts w:hint="default" w:ascii="仿宋_GB2312" w:hAnsi="Times New Roman" w:eastAsia="仿宋_GB2312" w:cs="Times New Roman"/>
          <w:color w:val="auto"/>
          <w:sz w:val="28"/>
          <w:szCs w:val="28"/>
          <w:lang w:val="en-US" w:eastAsia="zh-CN"/>
        </w:rPr>
      </w:pPr>
      <w:r>
        <w:rPr>
          <w:rFonts w:hint="eastAsia" w:ascii="仿宋_GB2312" w:hAnsi="Times New Roman" w:eastAsia="仿宋_GB2312" w:cs="Times New Roman"/>
          <w:color w:val="auto"/>
          <w:sz w:val="28"/>
          <w:szCs w:val="28"/>
        </w:rPr>
        <w:fldChar w:fldCharType="begin"/>
      </w:r>
      <w:r>
        <w:rPr>
          <w:rFonts w:hint="eastAsia" w:ascii="仿宋_GB2312" w:hAnsi="Times New Roman" w:eastAsia="仿宋_GB2312" w:cs="Times New Roman"/>
          <w:color w:val="auto"/>
          <w:sz w:val="28"/>
          <w:szCs w:val="28"/>
        </w:rPr>
        <w:instrText xml:space="preserve"> HYPERLINK \l _Toc15553 </w:instrText>
      </w:r>
      <w:r>
        <w:rPr>
          <w:rFonts w:hint="eastAsia" w:ascii="仿宋_GB2312" w:hAnsi="Times New Roman" w:eastAsia="仿宋_GB2312" w:cs="Times New Roman"/>
          <w:color w:val="auto"/>
          <w:sz w:val="28"/>
          <w:szCs w:val="28"/>
        </w:rPr>
        <w:fldChar w:fldCharType="separate"/>
      </w:r>
      <w:r>
        <w:rPr>
          <w:rFonts w:hint="eastAsia" w:ascii="仿宋_GB2312" w:hAnsi="Times New Roman" w:eastAsia="仿宋_GB2312" w:cs="Times New Roman"/>
          <w:bCs w:val="0"/>
          <w:color w:val="auto"/>
          <w:sz w:val="28"/>
          <w:szCs w:val="28"/>
        </w:rPr>
        <w:t>（七）</w:t>
      </w:r>
      <w:r>
        <w:rPr>
          <w:rFonts w:hint="eastAsia" w:ascii="仿宋_GB2312" w:hAnsi="Times New Roman" w:eastAsia="仿宋_GB2312"/>
          <w:color w:val="auto"/>
          <w:sz w:val="28"/>
          <w:szCs w:val="28"/>
        </w:rPr>
        <w:t>土壤污染防治</w:t>
      </w:r>
      <w:r>
        <w:rPr>
          <w:rFonts w:hint="eastAsia" w:ascii="仿宋_GB2312" w:hAnsi="Times New Roman" w:eastAsia="仿宋_GB2312" w:cs="Times New Roman"/>
          <w:bCs w:val="0"/>
          <w:color w:val="auto"/>
          <w:sz w:val="28"/>
          <w:szCs w:val="28"/>
        </w:rPr>
        <w:t>类</w:t>
      </w:r>
      <w:r>
        <w:rPr>
          <w:rFonts w:hint="eastAsia" w:ascii="仿宋_GB2312" w:hAnsi="Times New Roman" w:eastAsia="仿宋_GB2312" w:cs="Times New Roman"/>
          <w:color w:val="auto"/>
          <w:sz w:val="28"/>
          <w:szCs w:val="28"/>
        </w:rPr>
        <w:tab/>
      </w:r>
      <w:r>
        <w:rPr>
          <w:rFonts w:hint="eastAsia" w:ascii="仿宋_GB2312" w:hAnsi="Times New Roman" w:eastAsia="仿宋_GB2312" w:cs="Times New Roman"/>
          <w:color w:val="auto"/>
          <w:sz w:val="28"/>
          <w:szCs w:val="28"/>
        </w:rPr>
        <w:fldChar w:fldCharType="end"/>
      </w:r>
      <w:r>
        <w:rPr>
          <w:rFonts w:hint="eastAsia" w:ascii="仿宋_GB2312" w:hAnsi="Times New Roman" w:eastAsia="仿宋_GB2312" w:cs="Times New Roman"/>
          <w:color w:val="auto"/>
          <w:sz w:val="28"/>
          <w:szCs w:val="28"/>
          <w:lang w:val="en-US" w:eastAsia="zh-CN"/>
        </w:rPr>
        <w:t>117</w:t>
      </w:r>
    </w:p>
    <w:p w14:paraId="33EEDCAD">
      <w:pPr>
        <w:pStyle w:val="7"/>
        <w:pageBreakBefore w:val="0"/>
        <w:tabs>
          <w:tab w:val="right" w:leader="dot" w:pos="8307"/>
        </w:tabs>
        <w:kinsoku/>
        <w:wordWrap/>
        <w:overflowPunct/>
        <w:topLinePunct w:val="0"/>
        <w:autoSpaceDE/>
        <w:autoSpaceDN/>
        <w:bidi w:val="0"/>
        <w:spacing w:line="600" w:lineRule="exact"/>
        <w:ind w:firstLine="0" w:firstLineChars="0"/>
        <w:textAlignment w:val="auto"/>
        <w:rPr>
          <w:rFonts w:hint="default" w:ascii="仿宋_GB2312" w:hAnsi="Times New Roman" w:eastAsia="仿宋_GB2312" w:cs="Times New Roman"/>
          <w:color w:val="auto"/>
          <w:sz w:val="28"/>
          <w:szCs w:val="28"/>
          <w:lang w:val="en-US" w:eastAsia="zh-CN"/>
        </w:rPr>
      </w:pPr>
      <w:r>
        <w:rPr>
          <w:rFonts w:hint="eastAsia" w:ascii="仿宋_GB2312" w:hAnsi="Times New Roman" w:eastAsia="仿宋_GB2312" w:cs="Times New Roman"/>
          <w:color w:val="auto"/>
          <w:sz w:val="28"/>
          <w:szCs w:val="28"/>
        </w:rPr>
        <w:fldChar w:fldCharType="begin"/>
      </w:r>
      <w:r>
        <w:rPr>
          <w:rFonts w:hint="eastAsia" w:ascii="仿宋_GB2312" w:hAnsi="Times New Roman" w:eastAsia="仿宋_GB2312" w:cs="Times New Roman"/>
          <w:color w:val="auto"/>
          <w:sz w:val="28"/>
          <w:szCs w:val="28"/>
        </w:rPr>
        <w:instrText xml:space="preserve"> HYPERLINK \l _Toc12352 </w:instrText>
      </w:r>
      <w:r>
        <w:rPr>
          <w:rFonts w:hint="eastAsia" w:ascii="仿宋_GB2312" w:hAnsi="Times New Roman" w:eastAsia="仿宋_GB2312" w:cs="Times New Roman"/>
          <w:color w:val="auto"/>
          <w:sz w:val="28"/>
          <w:szCs w:val="28"/>
        </w:rPr>
        <w:fldChar w:fldCharType="separate"/>
      </w:r>
      <w:r>
        <w:rPr>
          <w:rFonts w:hint="eastAsia" w:ascii="仿宋_GB2312" w:hAnsi="Times New Roman" w:eastAsia="仿宋_GB2312" w:cs="Times New Roman"/>
          <w:bCs w:val="0"/>
          <w:color w:val="auto"/>
          <w:sz w:val="28"/>
          <w:szCs w:val="28"/>
        </w:rPr>
        <w:t>（八）</w:t>
      </w:r>
      <w:r>
        <w:rPr>
          <w:rFonts w:hint="eastAsia" w:ascii="仿宋_GB2312" w:hAnsi="Times New Roman" w:eastAsia="仿宋_GB2312"/>
          <w:color w:val="auto"/>
          <w:sz w:val="28"/>
          <w:szCs w:val="28"/>
        </w:rPr>
        <w:t>固体废物污染防治</w:t>
      </w:r>
      <w:r>
        <w:rPr>
          <w:rFonts w:hint="eastAsia" w:ascii="仿宋_GB2312" w:hAnsi="Times New Roman" w:eastAsia="仿宋_GB2312" w:cs="Times New Roman"/>
          <w:bCs w:val="0"/>
          <w:color w:val="auto"/>
          <w:sz w:val="28"/>
          <w:szCs w:val="28"/>
        </w:rPr>
        <w:t>类</w:t>
      </w:r>
      <w:r>
        <w:rPr>
          <w:rFonts w:hint="eastAsia" w:ascii="仿宋_GB2312" w:hAnsi="Times New Roman" w:eastAsia="仿宋_GB2312" w:cs="Times New Roman"/>
          <w:color w:val="auto"/>
          <w:sz w:val="28"/>
          <w:szCs w:val="28"/>
        </w:rPr>
        <w:tab/>
      </w:r>
      <w:r>
        <w:rPr>
          <w:rFonts w:hint="eastAsia" w:ascii="仿宋_GB2312" w:hAnsi="Times New Roman" w:eastAsia="仿宋_GB2312" w:cs="Times New Roman"/>
          <w:color w:val="auto"/>
          <w:sz w:val="28"/>
          <w:szCs w:val="28"/>
        </w:rPr>
        <w:fldChar w:fldCharType="end"/>
      </w:r>
      <w:r>
        <w:rPr>
          <w:rFonts w:hint="eastAsia" w:ascii="仿宋_GB2312" w:hAnsi="Times New Roman" w:eastAsia="仿宋_GB2312" w:cs="Times New Roman"/>
          <w:color w:val="auto"/>
          <w:sz w:val="28"/>
          <w:szCs w:val="28"/>
          <w:lang w:val="en-US" w:eastAsia="zh-CN"/>
        </w:rPr>
        <w:t>150</w:t>
      </w:r>
    </w:p>
    <w:p w14:paraId="41AB2D43">
      <w:pPr>
        <w:pStyle w:val="7"/>
        <w:pageBreakBefore w:val="0"/>
        <w:tabs>
          <w:tab w:val="right" w:leader="dot" w:pos="8307"/>
        </w:tabs>
        <w:kinsoku/>
        <w:wordWrap/>
        <w:overflowPunct/>
        <w:topLinePunct w:val="0"/>
        <w:autoSpaceDE/>
        <w:autoSpaceDN/>
        <w:bidi w:val="0"/>
        <w:spacing w:line="600" w:lineRule="exact"/>
        <w:ind w:firstLine="0" w:firstLineChars="0"/>
        <w:textAlignment w:val="auto"/>
        <w:rPr>
          <w:rFonts w:hint="default" w:ascii="仿宋_GB2312" w:hAnsi="Times New Roman" w:eastAsia="仿宋_GB2312" w:cs="Times New Roman"/>
          <w:color w:val="auto"/>
          <w:sz w:val="28"/>
          <w:szCs w:val="28"/>
          <w:lang w:val="en-US" w:eastAsia="zh-CN"/>
        </w:rPr>
      </w:pPr>
      <w:r>
        <w:rPr>
          <w:rFonts w:hint="eastAsia" w:ascii="仿宋_GB2312" w:hAnsi="Times New Roman" w:eastAsia="仿宋_GB2312" w:cs="Times New Roman"/>
          <w:color w:val="auto"/>
          <w:sz w:val="28"/>
          <w:szCs w:val="28"/>
        </w:rPr>
        <w:fldChar w:fldCharType="begin"/>
      </w:r>
      <w:r>
        <w:rPr>
          <w:rFonts w:hint="eastAsia" w:ascii="仿宋_GB2312" w:hAnsi="Times New Roman" w:eastAsia="仿宋_GB2312" w:cs="Times New Roman"/>
          <w:color w:val="auto"/>
          <w:sz w:val="28"/>
          <w:szCs w:val="28"/>
        </w:rPr>
        <w:instrText xml:space="preserve"> HYPERLINK \l _Toc15866 </w:instrText>
      </w:r>
      <w:r>
        <w:rPr>
          <w:rFonts w:hint="eastAsia" w:ascii="仿宋_GB2312" w:hAnsi="Times New Roman" w:eastAsia="仿宋_GB2312" w:cs="Times New Roman"/>
          <w:color w:val="auto"/>
          <w:sz w:val="28"/>
          <w:szCs w:val="28"/>
        </w:rPr>
        <w:fldChar w:fldCharType="separate"/>
      </w:r>
      <w:r>
        <w:rPr>
          <w:rFonts w:hint="eastAsia" w:ascii="仿宋_GB2312" w:hAnsi="Times New Roman" w:eastAsia="仿宋_GB2312" w:cs="Times New Roman"/>
          <w:bCs w:val="0"/>
          <w:color w:val="auto"/>
          <w:sz w:val="28"/>
          <w:szCs w:val="28"/>
        </w:rPr>
        <w:t>（九）</w:t>
      </w:r>
      <w:r>
        <w:rPr>
          <w:rFonts w:hint="eastAsia" w:ascii="仿宋_GB2312" w:hAnsi="Times New Roman" w:eastAsia="仿宋_GB2312"/>
          <w:color w:val="auto"/>
          <w:sz w:val="28"/>
          <w:szCs w:val="28"/>
        </w:rPr>
        <w:t>噪声污染防治</w:t>
      </w:r>
      <w:r>
        <w:rPr>
          <w:rFonts w:hint="eastAsia" w:ascii="仿宋_GB2312" w:hAnsi="Times New Roman" w:eastAsia="仿宋_GB2312" w:cs="Times New Roman"/>
          <w:bCs w:val="0"/>
          <w:color w:val="auto"/>
          <w:sz w:val="28"/>
          <w:szCs w:val="28"/>
        </w:rPr>
        <w:t>类</w:t>
      </w:r>
      <w:r>
        <w:rPr>
          <w:rFonts w:hint="eastAsia" w:ascii="仿宋_GB2312" w:hAnsi="Times New Roman" w:eastAsia="仿宋_GB2312" w:cs="Times New Roman"/>
          <w:color w:val="auto"/>
          <w:sz w:val="28"/>
          <w:szCs w:val="28"/>
        </w:rPr>
        <w:tab/>
      </w:r>
      <w:r>
        <w:rPr>
          <w:rFonts w:hint="eastAsia" w:ascii="仿宋_GB2312" w:hAnsi="Times New Roman" w:eastAsia="仿宋_GB2312" w:cs="Times New Roman"/>
          <w:color w:val="auto"/>
          <w:sz w:val="28"/>
          <w:szCs w:val="28"/>
        </w:rPr>
        <w:fldChar w:fldCharType="end"/>
      </w:r>
      <w:r>
        <w:rPr>
          <w:rFonts w:hint="eastAsia" w:ascii="仿宋_GB2312" w:hAnsi="Times New Roman" w:eastAsia="仿宋_GB2312" w:cs="Times New Roman"/>
          <w:color w:val="auto"/>
          <w:sz w:val="28"/>
          <w:szCs w:val="28"/>
          <w:lang w:val="en-US" w:eastAsia="zh-CN"/>
        </w:rPr>
        <w:t>178</w:t>
      </w:r>
    </w:p>
    <w:p w14:paraId="558B0110">
      <w:pPr>
        <w:pStyle w:val="7"/>
        <w:pageBreakBefore w:val="0"/>
        <w:tabs>
          <w:tab w:val="right" w:leader="dot" w:pos="8307"/>
        </w:tabs>
        <w:kinsoku/>
        <w:wordWrap/>
        <w:overflowPunct/>
        <w:topLinePunct w:val="0"/>
        <w:autoSpaceDE/>
        <w:autoSpaceDN/>
        <w:bidi w:val="0"/>
        <w:spacing w:line="600" w:lineRule="exact"/>
        <w:ind w:firstLine="0" w:firstLineChars="0"/>
        <w:textAlignment w:val="auto"/>
        <w:rPr>
          <w:rFonts w:hint="default" w:ascii="仿宋_GB2312" w:hAnsi="Times New Roman" w:eastAsia="仿宋_GB2312" w:cs="Times New Roman"/>
          <w:color w:val="auto"/>
          <w:sz w:val="28"/>
          <w:szCs w:val="28"/>
          <w:lang w:val="en-US" w:eastAsia="zh-CN"/>
        </w:rPr>
      </w:pPr>
      <w:r>
        <w:rPr>
          <w:rFonts w:hint="eastAsia" w:ascii="仿宋_GB2312" w:hAnsi="Times New Roman" w:eastAsia="仿宋_GB2312" w:cs="Times New Roman"/>
          <w:color w:val="auto"/>
          <w:sz w:val="28"/>
          <w:szCs w:val="28"/>
        </w:rPr>
        <w:fldChar w:fldCharType="begin"/>
      </w:r>
      <w:r>
        <w:rPr>
          <w:rFonts w:hint="eastAsia" w:ascii="仿宋_GB2312" w:hAnsi="Times New Roman" w:eastAsia="仿宋_GB2312" w:cs="Times New Roman"/>
          <w:color w:val="auto"/>
          <w:sz w:val="28"/>
          <w:szCs w:val="28"/>
        </w:rPr>
        <w:instrText xml:space="preserve"> HYPERLINK \l _Toc14684 </w:instrText>
      </w:r>
      <w:r>
        <w:rPr>
          <w:rFonts w:hint="eastAsia" w:ascii="仿宋_GB2312" w:hAnsi="Times New Roman" w:eastAsia="仿宋_GB2312" w:cs="Times New Roman"/>
          <w:color w:val="auto"/>
          <w:sz w:val="28"/>
          <w:szCs w:val="28"/>
        </w:rPr>
        <w:fldChar w:fldCharType="separate"/>
      </w:r>
      <w:r>
        <w:rPr>
          <w:rFonts w:hint="eastAsia" w:ascii="仿宋_GB2312" w:hAnsi="Times New Roman" w:eastAsia="仿宋_GB2312" w:cs="Times New Roman"/>
          <w:bCs w:val="0"/>
          <w:color w:val="auto"/>
          <w:sz w:val="28"/>
          <w:szCs w:val="28"/>
        </w:rPr>
        <w:t>（十）</w:t>
      </w:r>
      <w:r>
        <w:rPr>
          <w:rFonts w:hint="eastAsia" w:ascii="仿宋_GB2312" w:hAnsi="Times New Roman" w:eastAsia="仿宋_GB2312"/>
          <w:color w:val="auto"/>
          <w:sz w:val="28"/>
          <w:szCs w:val="28"/>
        </w:rPr>
        <w:t>放射性污染防治</w:t>
      </w:r>
      <w:r>
        <w:rPr>
          <w:rFonts w:hint="eastAsia" w:ascii="仿宋_GB2312" w:hAnsi="Times New Roman" w:eastAsia="仿宋_GB2312" w:cs="Times New Roman"/>
          <w:bCs w:val="0"/>
          <w:color w:val="auto"/>
          <w:sz w:val="28"/>
          <w:szCs w:val="28"/>
        </w:rPr>
        <w:t>类</w:t>
      </w:r>
      <w:r>
        <w:rPr>
          <w:rFonts w:hint="eastAsia" w:ascii="仿宋_GB2312" w:hAnsi="Times New Roman" w:eastAsia="仿宋_GB2312" w:cs="Times New Roman"/>
          <w:color w:val="auto"/>
          <w:sz w:val="28"/>
          <w:szCs w:val="28"/>
        </w:rPr>
        <w:tab/>
      </w:r>
      <w:r>
        <w:rPr>
          <w:rFonts w:hint="eastAsia" w:ascii="仿宋_GB2312" w:hAnsi="Times New Roman" w:eastAsia="仿宋_GB2312" w:cs="Times New Roman"/>
          <w:color w:val="auto"/>
          <w:sz w:val="28"/>
          <w:szCs w:val="28"/>
        </w:rPr>
        <w:fldChar w:fldCharType="end"/>
      </w:r>
      <w:r>
        <w:rPr>
          <w:rFonts w:hint="eastAsia" w:ascii="仿宋_GB2312" w:hAnsi="Times New Roman" w:eastAsia="仿宋_GB2312" w:cs="Times New Roman"/>
          <w:color w:val="auto"/>
          <w:sz w:val="28"/>
          <w:szCs w:val="28"/>
          <w:lang w:val="en-US" w:eastAsia="zh-CN"/>
        </w:rPr>
        <w:t>182</w:t>
      </w:r>
    </w:p>
    <w:p w14:paraId="463B5425">
      <w:pPr>
        <w:pStyle w:val="7"/>
        <w:pageBreakBefore w:val="0"/>
        <w:tabs>
          <w:tab w:val="right" w:leader="dot" w:pos="8307"/>
        </w:tabs>
        <w:kinsoku/>
        <w:wordWrap/>
        <w:overflowPunct/>
        <w:topLinePunct w:val="0"/>
        <w:autoSpaceDE/>
        <w:autoSpaceDN/>
        <w:bidi w:val="0"/>
        <w:spacing w:line="600" w:lineRule="exact"/>
        <w:ind w:firstLine="0" w:firstLineChars="0"/>
        <w:textAlignment w:val="auto"/>
        <w:rPr>
          <w:rFonts w:hint="default" w:ascii="仿宋_GB2312" w:hAnsi="Times New Roman" w:eastAsia="仿宋_GB2312" w:cs="Times New Roman"/>
          <w:color w:val="auto"/>
          <w:sz w:val="28"/>
          <w:szCs w:val="28"/>
          <w:lang w:val="en-US" w:eastAsia="zh-CN"/>
        </w:rPr>
      </w:pPr>
      <w:r>
        <w:rPr>
          <w:rFonts w:hint="eastAsia" w:ascii="仿宋_GB2312" w:hAnsi="Times New Roman" w:eastAsia="仿宋_GB2312" w:cs="Times New Roman"/>
          <w:color w:val="auto"/>
          <w:sz w:val="28"/>
          <w:szCs w:val="28"/>
        </w:rPr>
        <w:fldChar w:fldCharType="begin"/>
      </w:r>
      <w:r>
        <w:rPr>
          <w:rFonts w:hint="eastAsia" w:ascii="仿宋_GB2312" w:hAnsi="Times New Roman" w:eastAsia="仿宋_GB2312" w:cs="Times New Roman"/>
          <w:color w:val="auto"/>
          <w:sz w:val="28"/>
          <w:szCs w:val="28"/>
        </w:rPr>
        <w:instrText xml:space="preserve"> HYPERLINK \l _Toc14684 </w:instrText>
      </w:r>
      <w:r>
        <w:rPr>
          <w:rFonts w:hint="eastAsia" w:ascii="仿宋_GB2312" w:hAnsi="Times New Roman" w:eastAsia="仿宋_GB2312" w:cs="Times New Roman"/>
          <w:color w:val="auto"/>
          <w:sz w:val="28"/>
          <w:szCs w:val="28"/>
        </w:rPr>
        <w:fldChar w:fldCharType="separate"/>
      </w:r>
      <w:r>
        <w:rPr>
          <w:rFonts w:hint="eastAsia" w:ascii="仿宋_GB2312" w:hAnsi="Times New Roman" w:eastAsia="仿宋_GB2312" w:cs="Times New Roman"/>
          <w:bCs w:val="0"/>
          <w:color w:val="auto"/>
          <w:sz w:val="28"/>
          <w:szCs w:val="28"/>
        </w:rPr>
        <w:t>（十</w:t>
      </w:r>
      <w:r>
        <w:rPr>
          <w:rFonts w:hint="eastAsia" w:ascii="仿宋_GB2312" w:hAnsi="Times New Roman" w:eastAsia="仿宋_GB2312" w:cs="Times New Roman"/>
          <w:bCs w:val="0"/>
          <w:color w:val="auto"/>
          <w:sz w:val="28"/>
          <w:szCs w:val="28"/>
          <w:lang w:val="en-US" w:eastAsia="zh-CN"/>
        </w:rPr>
        <w:t>一</w:t>
      </w:r>
      <w:r>
        <w:rPr>
          <w:rFonts w:hint="eastAsia" w:ascii="仿宋_GB2312" w:hAnsi="Times New Roman" w:eastAsia="仿宋_GB2312" w:cs="Times New Roman"/>
          <w:bCs w:val="0"/>
          <w:color w:val="auto"/>
          <w:sz w:val="28"/>
          <w:szCs w:val="28"/>
        </w:rPr>
        <w:t>）</w:t>
      </w:r>
      <w:r>
        <w:rPr>
          <w:rFonts w:hint="eastAsia" w:ascii="仿宋_GB2312" w:hAnsi="Times New Roman" w:eastAsia="仿宋_GB2312"/>
          <w:color w:val="auto"/>
          <w:sz w:val="28"/>
          <w:szCs w:val="28"/>
        </w:rPr>
        <w:t>化学物质污染风险管控、电磁辐射和光污染防治</w:t>
      </w:r>
      <w:r>
        <w:rPr>
          <w:rFonts w:hint="eastAsia" w:ascii="仿宋_GB2312" w:hAnsi="Times New Roman" w:eastAsia="仿宋_GB2312" w:cs="Times New Roman"/>
          <w:bCs w:val="0"/>
          <w:color w:val="auto"/>
          <w:sz w:val="28"/>
          <w:szCs w:val="28"/>
        </w:rPr>
        <w:t>类</w:t>
      </w:r>
      <w:r>
        <w:rPr>
          <w:rFonts w:hint="eastAsia" w:ascii="仿宋_GB2312" w:hAnsi="Times New Roman" w:eastAsia="仿宋_GB2312" w:cs="Times New Roman"/>
          <w:color w:val="auto"/>
          <w:sz w:val="28"/>
          <w:szCs w:val="28"/>
        </w:rPr>
        <w:tab/>
      </w:r>
      <w:r>
        <w:rPr>
          <w:rFonts w:hint="eastAsia" w:ascii="仿宋_GB2312" w:hAnsi="Times New Roman" w:eastAsia="仿宋_GB2312" w:cs="Times New Roman"/>
          <w:color w:val="auto"/>
          <w:sz w:val="28"/>
          <w:szCs w:val="28"/>
        </w:rPr>
        <w:fldChar w:fldCharType="end"/>
      </w:r>
      <w:r>
        <w:rPr>
          <w:rFonts w:hint="eastAsia" w:ascii="仿宋_GB2312" w:hAnsi="Times New Roman" w:eastAsia="仿宋_GB2312" w:cs="Times New Roman"/>
          <w:color w:val="auto"/>
          <w:sz w:val="28"/>
          <w:szCs w:val="28"/>
          <w:lang w:val="en-US" w:eastAsia="zh-CN"/>
        </w:rPr>
        <w:t>203</w:t>
      </w:r>
    </w:p>
    <w:p w14:paraId="441A31CF">
      <w:pPr>
        <w:pStyle w:val="7"/>
        <w:pageBreakBefore w:val="0"/>
        <w:tabs>
          <w:tab w:val="right" w:leader="dot" w:pos="8307"/>
        </w:tabs>
        <w:kinsoku/>
        <w:wordWrap/>
        <w:overflowPunct/>
        <w:topLinePunct w:val="0"/>
        <w:autoSpaceDE/>
        <w:autoSpaceDN/>
        <w:bidi w:val="0"/>
        <w:spacing w:line="600" w:lineRule="exact"/>
        <w:ind w:firstLine="0" w:firstLineChars="0"/>
        <w:textAlignment w:val="auto"/>
        <w:rPr>
          <w:rFonts w:hint="eastAsia" w:ascii="仿宋_GB2312" w:hAnsi="Times New Roman" w:eastAsia="仿宋_GB2312" w:cs="Times New Roman"/>
          <w:color w:val="auto"/>
          <w:sz w:val="28"/>
          <w:szCs w:val="28"/>
        </w:rPr>
        <w:sectPr>
          <w:footerReference r:id="rId3" w:type="default"/>
          <w:footerReference r:id="rId4" w:type="even"/>
          <w:pgSz w:w="11906" w:h="16838"/>
          <w:pgMar w:top="2098" w:right="1587" w:bottom="2098" w:left="1587" w:header="851" w:footer="1417" w:gutter="0"/>
          <w:pgNumType w:fmt="decimal" w:start="1"/>
          <w:cols w:space="0" w:num="1"/>
          <w:rtlGutter w:val="0"/>
          <w:docGrid w:type="lines" w:linePitch="312" w:charSpace="0"/>
        </w:sectPr>
      </w:pPr>
    </w:p>
    <w:p w14:paraId="5C5C6D19">
      <w:pPr>
        <w:pStyle w:val="7"/>
        <w:pageBreakBefore w:val="0"/>
        <w:tabs>
          <w:tab w:val="right" w:leader="dot" w:pos="8307"/>
        </w:tabs>
        <w:kinsoku/>
        <w:wordWrap/>
        <w:overflowPunct/>
        <w:topLinePunct w:val="0"/>
        <w:autoSpaceDE/>
        <w:autoSpaceDN/>
        <w:bidi w:val="0"/>
        <w:spacing w:line="600" w:lineRule="exact"/>
        <w:ind w:firstLine="0" w:firstLineChars="0"/>
        <w:textAlignment w:val="auto"/>
        <w:rPr>
          <w:rFonts w:hint="default" w:ascii="仿宋_GB2312" w:hAnsi="Times New Roman" w:eastAsia="仿宋_GB2312" w:cs="Times New Roman"/>
          <w:color w:val="auto"/>
          <w:sz w:val="28"/>
          <w:szCs w:val="28"/>
          <w:lang w:val="en-US" w:eastAsia="zh-CN"/>
        </w:rPr>
      </w:pPr>
      <w:r>
        <w:rPr>
          <w:rFonts w:hint="eastAsia" w:ascii="仿宋_GB2312" w:hAnsi="Times New Roman" w:eastAsia="仿宋_GB2312" w:cs="Times New Roman"/>
          <w:color w:val="auto"/>
          <w:sz w:val="28"/>
          <w:szCs w:val="28"/>
        </w:rPr>
        <w:fldChar w:fldCharType="begin"/>
      </w:r>
      <w:r>
        <w:rPr>
          <w:rFonts w:hint="eastAsia" w:ascii="仿宋_GB2312" w:hAnsi="Times New Roman" w:eastAsia="仿宋_GB2312" w:cs="Times New Roman"/>
          <w:color w:val="auto"/>
          <w:sz w:val="28"/>
          <w:szCs w:val="28"/>
        </w:rPr>
        <w:instrText xml:space="preserve"> HYPERLINK \l _Toc14684 </w:instrText>
      </w:r>
      <w:r>
        <w:rPr>
          <w:rFonts w:hint="eastAsia" w:ascii="仿宋_GB2312" w:hAnsi="Times New Roman" w:eastAsia="仿宋_GB2312" w:cs="Times New Roman"/>
          <w:color w:val="auto"/>
          <w:sz w:val="28"/>
          <w:szCs w:val="28"/>
        </w:rPr>
        <w:fldChar w:fldCharType="separate"/>
      </w:r>
      <w:r>
        <w:rPr>
          <w:rFonts w:hint="eastAsia" w:ascii="仿宋_GB2312" w:hAnsi="Times New Roman" w:eastAsia="仿宋_GB2312" w:cs="Times New Roman"/>
          <w:bCs w:val="0"/>
          <w:color w:val="auto"/>
          <w:sz w:val="28"/>
          <w:szCs w:val="28"/>
        </w:rPr>
        <w:t>（十</w:t>
      </w:r>
      <w:r>
        <w:rPr>
          <w:rFonts w:hint="eastAsia" w:ascii="仿宋_GB2312" w:hAnsi="Times New Roman" w:eastAsia="仿宋_GB2312" w:cs="Times New Roman"/>
          <w:bCs w:val="0"/>
          <w:color w:val="auto"/>
          <w:sz w:val="28"/>
          <w:szCs w:val="28"/>
          <w:lang w:val="en-US" w:eastAsia="zh-CN"/>
        </w:rPr>
        <w:t>二</w:t>
      </w:r>
      <w:r>
        <w:rPr>
          <w:rFonts w:hint="eastAsia" w:ascii="仿宋_GB2312" w:hAnsi="Times New Roman" w:eastAsia="仿宋_GB2312" w:cs="Times New Roman"/>
          <w:bCs w:val="0"/>
          <w:color w:val="auto"/>
          <w:sz w:val="28"/>
          <w:szCs w:val="28"/>
        </w:rPr>
        <w:t>）</w:t>
      </w:r>
      <w:r>
        <w:rPr>
          <w:rFonts w:hint="eastAsia" w:ascii="仿宋_GB2312" w:hAnsi="Times New Roman" w:eastAsia="仿宋_GB2312"/>
          <w:color w:val="auto"/>
          <w:sz w:val="28"/>
          <w:szCs w:val="28"/>
        </w:rPr>
        <w:t>绿色低碳发展管理</w:t>
      </w:r>
      <w:r>
        <w:rPr>
          <w:rFonts w:hint="eastAsia" w:ascii="仿宋_GB2312" w:hAnsi="Times New Roman" w:eastAsia="仿宋_GB2312" w:cs="Times New Roman"/>
          <w:bCs w:val="0"/>
          <w:color w:val="auto"/>
          <w:sz w:val="28"/>
          <w:szCs w:val="28"/>
        </w:rPr>
        <w:t>类</w:t>
      </w:r>
      <w:r>
        <w:rPr>
          <w:rFonts w:hint="eastAsia" w:ascii="仿宋_GB2312" w:hAnsi="Times New Roman" w:eastAsia="仿宋_GB2312" w:cs="Times New Roman"/>
          <w:color w:val="auto"/>
          <w:sz w:val="28"/>
          <w:szCs w:val="28"/>
        </w:rPr>
        <w:tab/>
      </w:r>
      <w:r>
        <w:rPr>
          <w:rFonts w:hint="eastAsia" w:ascii="仿宋_GB2312" w:hAnsi="Times New Roman" w:eastAsia="仿宋_GB2312" w:cs="Times New Roman"/>
          <w:color w:val="auto"/>
          <w:sz w:val="28"/>
          <w:szCs w:val="28"/>
        </w:rPr>
        <w:fldChar w:fldCharType="end"/>
      </w:r>
      <w:r>
        <w:rPr>
          <w:rFonts w:hint="eastAsia" w:ascii="仿宋_GB2312" w:hAnsi="Times New Roman" w:eastAsia="仿宋_GB2312" w:cs="Times New Roman"/>
          <w:color w:val="auto"/>
          <w:sz w:val="28"/>
          <w:szCs w:val="28"/>
          <w:lang w:val="en-US" w:eastAsia="zh-CN"/>
        </w:rPr>
        <w:t>208</w:t>
      </w:r>
    </w:p>
    <w:p w14:paraId="43EF570C">
      <w:pPr>
        <w:pStyle w:val="7"/>
        <w:pageBreakBefore w:val="0"/>
        <w:tabs>
          <w:tab w:val="right" w:leader="dot" w:pos="8307"/>
        </w:tabs>
        <w:kinsoku/>
        <w:wordWrap/>
        <w:overflowPunct/>
        <w:topLinePunct w:val="0"/>
        <w:autoSpaceDE/>
        <w:autoSpaceDN/>
        <w:bidi w:val="0"/>
        <w:spacing w:line="600" w:lineRule="exact"/>
        <w:ind w:firstLine="0" w:firstLineChars="0"/>
        <w:textAlignment w:val="auto"/>
        <w:rPr>
          <w:rFonts w:hint="default" w:ascii="仿宋_GB2312" w:hAnsi="Times New Roman" w:eastAsia="仿宋_GB2312" w:cs="Times New Roman"/>
          <w:color w:val="auto"/>
          <w:sz w:val="28"/>
          <w:szCs w:val="28"/>
          <w:lang w:val="en-US" w:eastAsia="zh-CN"/>
        </w:rPr>
      </w:pPr>
      <w:r>
        <w:rPr>
          <w:rFonts w:hint="eastAsia" w:ascii="仿宋_GB2312" w:hAnsi="Times New Roman" w:eastAsia="仿宋_GB2312" w:cs="Times New Roman"/>
          <w:color w:val="auto"/>
          <w:sz w:val="28"/>
          <w:szCs w:val="28"/>
        </w:rPr>
        <w:fldChar w:fldCharType="begin"/>
      </w:r>
      <w:r>
        <w:rPr>
          <w:rFonts w:hint="eastAsia" w:ascii="仿宋_GB2312" w:hAnsi="Times New Roman" w:eastAsia="仿宋_GB2312" w:cs="Times New Roman"/>
          <w:color w:val="auto"/>
          <w:sz w:val="28"/>
          <w:szCs w:val="28"/>
        </w:rPr>
        <w:instrText xml:space="preserve"> HYPERLINK \l _Toc14684 </w:instrText>
      </w:r>
      <w:r>
        <w:rPr>
          <w:rFonts w:hint="eastAsia" w:ascii="仿宋_GB2312" w:hAnsi="Times New Roman" w:eastAsia="仿宋_GB2312" w:cs="Times New Roman"/>
          <w:color w:val="auto"/>
          <w:sz w:val="28"/>
          <w:szCs w:val="28"/>
        </w:rPr>
        <w:fldChar w:fldCharType="separate"/>
      </w:r>
      <w:r>
        <w:rPr>
          <w:rFonts w:hint="eastAsia" w:ascii="仿宋_GB2312" w:hAnsi="Times New Roman" w:eastAsia="仿宋_GB2312" w:cs="Times New Roman"/>
          <w:bCs w:val="0"/>
          <w:color w:val="auto"/>
          <w:sz w:val="28"/>
          <w:szCs w:val="28"/>
        </w:rPr>
        <w:t>（十</w:t>
      </w:r>
      <w:r>
        <w:rPr>
          <w:rFonts w:hint="eastAsia" w:ascii="仿宋_GB2312" w:hAnsi="Times New Roman" w:eastAsia="仿宋_GB2312" w:cs="Times New Roman"/>
          <w:bCs w:val="0"/>
          <w:color w:val="auto"/>
          <w:sz w:val="28"/>
          <w:szCs w:val="28"/>
          <w:lang w:val="en-US" w:eastAsia="zh-CN"/>
        </w:rPr>
        <w:t>三</w:t>
      </w:r>
      <w:r>
        <w:rPr>
          <w:rFonts w:hint="eastAsia" w:ascii="仿宋_GB2312" w:hAnsi="Times New Roman" w:eastAsia="仿宋_GB2312" w:cs="Times New Roman"/>
          <w:bCs w:val="0"/>
          <w:color w:val="auto"/>
          <w:sz w:val="28"/>
          <w:szCs w:val="28"/>
        </w:rPr>
        <w:t>）</w:t>
      </w:r>
      <w:r>
        <w:rPr>
          <w:rFonts w:hint="eastAsia" w:ascii="仿宋_GB2312" w:hAnsi="Times New Roman" w:eastAsia="仿宋_GB2312"/>
          <w:color w:val="auto"/>
          <w:sz w:val="28"/>
          <w:szCs w:val="28"/>
        </w:rPr>
        <w:t>其他</w:t>
      </w:r>
      <w:r>
        <w:rPr>
          <w:rFonts w:hint="eastAsia" w:ascii="仿宋_GB2312" w:hAnsi="Times New Roman" w:eastAsia="仿宋_GB2312" w:cs="Times New Roman"/>
          <w:bCs w:val="0"/>
          <w:color w:val="auto"/>
          <w:sz w:val="28"/>
          <w:szCs w:val="28"/>
        </w:rPr>
        <w:t>类</w:t>
      </w:r>
      <w:r>
        <w:rPr>
          <w:rFonts w:hint="eastAsia" w:ascii="仿宋_GB2312" w:hAnsi="Times New Roman" w:eastAsia="仿宋_GB2312" w:cs="Times New Roman"/>
          <w:color w:val="auto"/>
          <w:sz w:val="28"/>
          <w:szCs w:val="28"/>
        </w:rPr>
        <w:tab/>
      </w:r>
      <w:r>
        <w:rPr>
          <w:rFonts w:hint="eastAsia" w:ascii="仿宋_GB2312" w:hAnsi="Times New Roman" w:eastAsia="仿宋_GB2312" w:cs="Times New Roman"/>
          <w:color w:val="auto"/>
          <w:sz w:val="28"/>
          <w:szCs w:val="28"/>
        </w:rPr>
        <w:fldChar w:fldCharType="end"/>
      </w:r>
      <w:r>
        <w:rPr>
          <w:rFonts w:hint="eastAsia" w:ascii="仿宋_GB2312" w:hAnsi="Times New Roman" w:eastAsia="仿宋_GB2312" w:cs="Times New Roman"/>
          <w:color w:val="auto"/>
          <w:sz w:val="28"/>
          <w:szCs w:val="28"/>
          <w:lang w:val="en-US" w:eastAsia="zh-CN"/>
        </w:rPr>
        <w:t>211</w:t>
      </w:r>
    </w:p>
    <w:p w14:paraId="010D49F4">
      <w:pPr>
        <w:rPr>
          <w:rFonts w:hint="eastAsia" w:ascii="仿宋_GB2312" w:hAnsi="Times New Roman" w:eastAsia="仿宋_GB2312" w:cs="Times New Roman"/>
          <w:color w:val="auto"/>
          <w:sz w:val="28"/>
          <w:szCs w:val="28"/>
          <w:lang w:val="en-US" w:eastAsia="zh-CN"/>
        </w:rPr>
      </w:pPr>
    </w:p>
    <w:p w14:paraId="1A12A3B6">
      <w:pPr>
        <w:rPr>
          <w:rFonts w:hint="default" w:ascii="仿宋_GB2312" w:hAnsi="Times New Roman" w:eastAsia="仿宋_GB2312" w:cs="Times New Roman"/>
          <w:color w:val="auto"/>
          <w:sz w:val="28"/>
          <w:szCs w:val="28"/>
          <w:lang w:val="en-US" w:eastAsia="zh-CN"/>
        </w:rPr>
      </w:pPr>
    </w:p>
    <w:p w14:paraId="790874C5">
      <w:pPr>
        <w:pStyle w:val="3"/>
        <w:keepNext w:val="0"/>
        <w:keepLines w:val="0"/>
        <w:pageBreakBefore w:val="0"/>
        <w:widowControl w:val="0"/>
        <w:kinsoku/>
        <w:wordWrap/>
        <w:overflowPunct/>
        <w:topLinePunct w:val="0"/>
        <w:autoSpaceDE/>
        <w:autoSpaceDN/>
        <w:bidi w:val="0"/>
        <w:adjustRightInd w:val="0"/>
        <w:snapToGrid w:val="0"/>
        <w:spacing w:before="0" w:after="0" w:afterLines="0" w:line="360" w:lineRule="auto"/>
        <w:ind w:left="709"/>
        <w:jc w:val="both"/>
        <w:textAlignment w:val="auto"/>
        <w:rPr>
          <w:rFonts w:hint="eastAsia" w:ascii="黑体" w:hAnsi="黑体" w:eastAsia="黑体" w:cs="黑体"/>
          <w:b w:val="0"/>
          <w:bCs/>
          <w:color w:val="auto"/>
          <w:sz w:val="28"/>
          <w:szCs w:val="22"/>
        </w:rPr>
        <w:sectPr>
          <w:footerReference r:id="rId5" w:type="default"/>
          <w:footerReference r:id="rId6" w:type="even"/>
          <w:pgSz w:w="11906" w:h="16838"/>
          <w:pgMar w:top="2098" w:right="1587" w:bottom="2098" w:left="1587" w:header="851" w:footer="1417" w:gutter="0"/>
          <w:pgNumType w:fmt="decimal" w:start="1"/>
          <w:cols w:space="0" w:num="1"/>
          <w:rtlGutter w:val="0"/>
          <w:docGrid w:type="lines" w:linePitch="312" w:charSpace="0"/>
        </w:sectPr>
      </w:pPr>
      <w:r>
        <w:rPr>
          <w:rFonts w:hint="eastAsia" w:ascii="仿宋_GB2312" w:hAnsi="Times New Roman" w:eastAsia="仿宋_GB2312" w:cs="Times New Roman"/>
          <w:color w:val="auto"/>
          <w:sz w:val="28"/>
          <w:szCs w:val="28"/>
        </w:rPr>
        <w:fldChar w:fldCharType="end"/>
      </w:r>
    </w:p>
    <w:p w14:paraId="34825DB7">
      <w:pPr>
        <w:pStyle w:val="3"/>
        <w:keepNext w:val="0"/>
        <w:keepLines w:val="0"/>
        <w:pageBreakBefore w:val="0"/>
        <w:widowControl w:val="0"/>
        <w:kinsoku/>
        <w:wordWrap/>
        <w:overflowPunct/>
        <w:topLinePunct w:val="0"/>
        <w:autoSpaceDE/>
        <w:autoSpaceDN/>
        <w:bidi w:val="0"/>
        <w:adjustRightInd w:val="0"/>
        <w:snapToGrid w:val="0"/>
        <w:spacing w:before="0" w:after="0" w:afterLines="0" w:line="360" w:lineRule="auto"/>
        <w:ind w:left="709"/>
        <w:jc w:val="both"/>
        <w:textAlignment w:val="auto"/>
        <w:rPr>
          <w:rFonts w:hint="eastAsia" w:ascii="黑体" w:hAnsi="黑体" w:cs="黑体"/>
          <w:b w:val="0"/>
          <w:bCs/>
          <w:color w:val="auto"/>
        </w:rPr>
      </w:pPr>
      <w:r>
        <w:rPr>
          <w:rFonts w:hint="eastAsia" w:ascii="黑体" w:hAnsi="黑体" w:eastAsia="黑体" w:cs="黑体"/>
          <w:b w:val="0"/>
          <w:bCs/>
          <w:color w:val="auto"/>
          <w:sz w:val="28"/>
          <w:szCs w:val="22"/>
        </w:rPr>
        <w:t>一、违法行为共性裁量基</w:t>
      </w:r>
      <w:bookmarkEnd w:id="1"/>
      <w:bookmarkEnd w:id="2"/>
      <w:r>
        <w:rPr>
          <w:rFonts w:hint="eastAsia" w:ascii="黑体" w:hAnsi="黑体" w:eastAsia="黑体" w:cs="黑体"/>
          <w:b w:val="0"/>
          <w:bCs/>
          <w:color w:val="auto"/>
          <w:sz w:val="28"/>
          <w:szCs w:val="22"/>
        </w:rPr>
        <w:t>准表</w:t>
      </w:r>
      <w:bookmarkEnd w:id="3"/>
      <w:bookmarkEnd w:id="4"/>
      <w:bookmarkEnd w:id="5"/>
      <w:bookmarkEnd w:id="6"/>
      <w:bookmarkEnd w:id="7"/>
      <w:bookmarkEnd w:id="8"/>
    </w:p>
    <w:p w14:paraId="2E0A1EB0">
      <w:pPr>
        <w:keepNext w:val="0"/>
        <w:keepLines w:val="0"/>
        <w:pageBreakBefore w:val="0"/>
        <w:widowControl w:val="0"/>
        <w:kinsoku/>
        <w:wordWrap/>
        <w:overflowPunct/>
        <w:topLinePunct w:val="0"/>
        <w:autoSpaceDE/>
        <w:autoSpaceDN/>
        <w:bidi w:val="0"/>
        <w:adjustRightInd w:val="0"/>
        <w:snapToGrid w:val="0"/>
        <w:spacing w:line="360" w:lineRule="auto"/>
        <w:ind w:firstLine="720" w:firstLineChars="300"/>
        <w:textAlignment w:val="auto"/>
        <w:rPr>
          <w:rFonts w:hint="eastAsia" w:ascii="宋体"/>
          <w:color w:val="auto"/>
          <w:sz w:val="24"/>
          <w:szCs w:val="24"/>
        </w:rPr>
      </w:pPr>
      <w:r>
        <w:rPr>
          <w:rFonts w:hint="eastAsia" w:ascii="宋体"/>
          <w:color w:val="auto"/>
          <w:sz w:val="24"/>
          <w:szCs w:val="24"/>
          <w:lang w:val="en-US" w:eastAsia="zh-CN"/>
        </w:rPr>
        <w:t>1.</w:t>
      </w:r>
      <w:r>
        <w:rPr>
          <w:rFonts w:hint="eastAsia" w:ascii="宋体"/>
          <w:color w:val="auto"/>
          <w:sz w:val="24"/>
          <w:szCs w:val="24"/>
        </w:rPr>
        <w:t>下表用数值表示裁量因子不同的裁量等级。</w:t>
      </w:r>
    </w:p>
    <w:p w14:paraId="4DB34F1D">
      <w:pPr>
        <w:keepNext w:val="0"/>
        <w:keepLines w:val="0"/>
        <w:pageBreakBefore w:val="0"/>
        <w:widowControl w:val="0"/>
        <w:kinsoku/>
        <w:wordWrap/>
        <w:overflowPunct/>
        <w:topLinePunct w:val="0"/>
        <w:autoSpaceDE/>
        <w:autoSpaceDN/>
        <w:bidi w:val="0"/>
        <w:adjustRightInd w:val="0"/>
        <w:snapToGrid w:val="0"/>
        <w:spacing w:line="360" w:lineRule="auto"/>
        <w:ind w:firstLine="720" w:firstLineChars="300"/>
        <w:textAlignment w:val="auto"/>
        <w:rPr>
          <w:rFonts w:hint="eastAsia" w:ascii="宋体" w:cs="华文SimSun"/>
          <w:color w:val="auto"/>
          <w:sz w:val="24"/>
        </w:rPr>
      </w:pPr>
      <w:r>
        <w:rPr>
          <w:rFonts w:hint="eastAsia" w:ascii="宋体"/>
          <w:color w:val="auto"/>
          <w:sz w:val="24"/>
          <w:szCs w:val="24"/>
          <w:lang w:val="en-US" w:eastAsia="zh-CN"/>
        </w:rPr>
        <w:t>2.</w:t>
      </w:r>
      <w:r>
        <w:rPr>
          <w:rFonts w:hint="eastAsia" w:ascii="宋体"/>
          <w:color w:val="auto"/>
          <w:sz w:val="24"/>
        </w:rPr>
        <w:t>本表所涉及的裁量因素均为</w:t>
      </w:r>
      <w:r>
        <w:rPr>
          <w:rFonts w:hint="eastAsia" w:ascii="宋体" w:cs="华文SimSun"/>
          <w:color w:val="auto"/>
          <w:sz w:val="24"/>
        </w:rPr>
        <w:t>必选项。</w:t>
      </w:r>
    </w:p>
    <w:p w14:paraId="28F1CDEE">
      <w:pPr>
        <w:keepNext w:val="0"/>
        <w:keepLines w:val="0"/>
        <w:pageBreakBefore w:val="0"/>
        <w:widowControl w:val="0"/>
        <w:kinsoku/>
        <w:wordWrap/>
        <w:overflowPunct/>
        <w:topLinePunct w:val="0"/>
        <w:autoSpaceDE/>
        <w:autoSpaceDN/>
        <w:bidi w:val="0"/>
        <w:adjustRightInd w:val="0"/>
        <w:snapToGrid w:val="0"/>
        <w:spacing w:line="360" w:lineRule="auto"/>
        <w:ind w:firstLine="720" w:firstLineChars="300"/>
        <w:textAlignment w:val="auto"/>
        <w:rPr>
          <w:rFonts w:hint="eastAsia" w:ascii="宋体"/>
          <w:color w:val="auto"/>
          <w:sz w:val="24"/>
          <w:szCs w:val="24"/>
        </w:rPr>
      </w:pPr>
      <w:r>
        <w:rPr>
          <w:rFonts w:hint="eastAsia" w:ascii="宋体" w:cs="华文SimSun"/>
          <w:color w:val="auto"/>
          <w:sz w:val="24"/>
          <w:lang w:val="en-US" w:eastAsia="zh-CN"/>
        </w:rPr>
        <w:t>3.</w:t>
      </w:r>
      <w:r>
        <w:rPr>
          <w:rFonts w:hint="eastAsia" w:ascii="宋体"/>
          <w:color w:val="auto"/>
          <w:sz w:val="24"/>
          <w:szCs w:val="24"/>
        </w:rPr>
        <w:t>所有生态环境违法行为均适用此表。</w:t>
      </w:r>
    </w:p>
    <w:p w14:paraId="20B0D6BB">
      <w:pPr>
        <w:keepNext w:val="0"/>
        <w:keepLines w:val="0"/>
        <w:pageBreakBefore w:val="0"/>
        <w:widowControl w:val="0"/>
        <w:kinsoku/>
        <w:wordWrap/>
        <w:overflowPunct/>
        <w:topLinePunct w:val="0"/>
        <w:autoSpaceDE/>
        <w:autoSpaceDN/>
        <w:bidi w:val="0"/>
        <w:adjustRightInd w:val="0"/>
        <w:snapToGrid w:val="0"/>
        <w:spacing w:line="360" w:lineRule="auto"/>
        <w:ind w:firstLine="720" w:firstLineChars="300"/>
        <w:textAlignment w:val="auto"/>
        <w:rPr>
          <w:rFonts w:hint="eastAsia" w:ascii="宋体"/>
          <w:color w:val="auto"/>
          <w:sz w:val="24"/>
          <w:szCs w:val="24"/>
        </w:rPr>
      </w:pPr>
      <w:r>
        <w:rPr>
          <w:rFonts w:hint="eastAsia" w:ascii="宋体"/>
          <w:color w:val="auto"/>
          <w:sz w:val="24"/>
          <w:szCs w:val="24"/>
          <w:lang w:val="en-US" w:eastAsia="zh-CN"/>
        </w:rPr>
        <w:t>4.</w:t>
      </w:r>
      <w:r>
        <w:rPr>
          <w:rFonts w:hint="eastAsia" w:ascii="宋体"/>
          <w:color w:val="auto"/>
          <w:sz w:val="24"/>
        </w:rPr>
        <w:t>违法行为环境影响程度，由执法人员结合案件调查情况综合判定。</w:t>
      </w:r>
    </w:p>
    <w:p w14:paraId="26BB8F15">
      <w:pPr>
        <w:keepNext w:val="0"/>
        <w:keepLines w:val="0"/>
        <w:pageBreakBefore w:val="0"/>
        <w:widowControl w:val="0"/>
        <w:kinsoku/>
        <w:wordWrap/>
        <w:overflowPunct/>
        <w:topLinePunct w:val="0"/>
        <w:autoSpaceDE/>
        <w:autoSpaceDN/>
        <w:bidi w:val="0"/>
        <w:adjustRightInd w:val="0"/>
        <w:snapToGrid w:val="0"/>
        <w:spacing w:line="360" w:lineRule="auto"/>
        <w:ind w:firstLine="720" w:firstLineChars="300"/>
        <w:textAlignment w:val="auto"/>
        <w:rPr>
          <w:rFonts w:hint="eastAsia" w:ascii="宋体"/>
          <w:color w:val="auto"/>
          <w:sz w:val="24"/>
          <w:szCs w:val="24"/>
          <w:lang w:val="en-US" w:eastAsia="zh-CN"/>
        </w:rPr>
      </w:pPr>
      <w:r>
        <w:rPr>
          <w:rFonts w:hint="eastAsia" w:ascii="宋体"/>
          <w:color w:val="auto"/>
          <w:sz w:val="24"/>
          <w:szCs w:val="24"/>
          <w:lang w:val="en-US" w:eastAsia="zh-CN"/>
        </w:rPr>
        <w:t>5.</w:t>
      </w:r>
      <w:r>
        <w:rPr>
          <w:rFonts w:hint="eastAsia" w:ascii="宋体"/>
          <w:color w:val="auto"/>
          <w:sz w:val="24"/>
          <w:szCs w:val="24"/>
        </w:rPr>
        <w:t>裁量</w:t>
      </w:r>
      <w:r>
        <w:rPr>
          <w:rFonts w:hint="eastAsia" w:ascii="宋体"/>
          <w:color w:val="auto"/>
          <w:sz w:val="24"/>
          <w:szCs w:val="24"/>
          <w:lang w:val="en-US" w:eastAsia="zh-CN"/>
        </w:rPr>
        <w:t>基准表中所称的“以上”包括本数，“不足”不包括本数。</w:t>
      </w:r>
    </w:p>
    <w:p w14:paraId="07F1EB50">
      <w:pPr>
        <w:keepNext w:val="0"/>
        <w:keepLines w:val="0"/>
        <w:pageBreakBefore w:val="0"/>
        <w:widowControl w:val="0"/>
        <w:kinsoku/>
        <w:wordWrap/>
        <w:overflowPunct/>
        <w:topLinePunct w:val="0"/>
        <w:autoSpaceDE/>
        <w:autoSpaceDN/>
        <w:bidi w:val="0"/>
        <w:adjustRightInd w:val="0"/>
        <w:snapToGrid w:val="0"/>
        <w:spacing w:line="360" w:lineRule="auto"/>
        <w:ind w:firstLine="720" w:firstLineChars="300"/>
        <w:textAlignment w:val="auto"/>
        <w:rPr>
          <w:rFonts w:hint="eastAsia" w:ascii="宋体" w:eastAsia="宋体"/>
          <w:color w:val="auto"/>
          <w:sz w:val="24"/>
          <w:szCs w:val="24"/>
          <w:lang w:val="en-US" w:eastAsia="zh-CN"/>
        </w:rPr>
      </w:pPr>
      <w:r>
        <w:rPr>
          <w:rFonts w:hint="eastAsia" w:ascii="宋体"/>
          <w:color w:val="auto"/>
          <w:sz w:val="24"/>
          <w:szCs w:val="24"/>
          <w:lang w:eastAsia="zh-CN"/>
        </w:rPr>
        <w:t>6</w:t>
      </w:r>
      <w:r>
        <w:rPr>
          <w:rFonts w:hint="eastAsia" w:ascii="宋体"/>
          <w:color w:val="auto"/>
          <w:sz w:val="24"/>
        </w:rPr>
        <w:t>.违法行为后果存在两种以上情形的，按照较重的情形选择裁量等级</w:t>
      </w:r>
      <w:r>
        <w:rPr>
          <w:rFonts w:hint="eastAsia" w:ascii="宋体"/>
          <w:color w:val="auto"/>
          <w:sz w:val="24"/>
          <w:szCs w:val="24"/>
          <w:lang w:val="en-US" w:eastAsia="zh-CN"/>
        </w:rPr>
        <w:t>。</w:t>
      </w:r>
    </w:p>
    <w:p w14:paraId="24E48B1A">
      <w:pPr>
        <w:keepNext w:val="0"/>
        <w:keepLines w:val="0"/>
        <w:pageBreakBefore w:val="0"/>
        <w:widowControl w:val="0"/>
        <w:kinsoku/>
        <w:wordWrap/>
        <w:overflowPunct/>
        <w:topLinePunct w:val="0"/>
        <w:autoSpaceDE/>
        <w:autoSpaceDN/>
        <w:bidi w:val="0"/>
        <w:adjustRightInd w:val="0"/>
        <w:snapToGrid w:val="0"/>
        <w:spacing w:line="360" w:lineRule="auto"/>
        <w:ind w:firstLine="720" w:firstLineChars="300"/>
        <w:textAlignment w:val="auto"/>
        <w:rPr>
          <w:rFonts w:hint="default" w:ascii="宋体"/>
          <w:color w:val="auto"/>
          <w:sz w:val="24"/>
          <w:szCs w:val="24"/>
          <w:lang w:val="en-US" w:eastAsia="zh-CN"/>
        </w:rPr>
      </w:pPr>
      <w:r>
        <w:rPr>
          <w:rFonts w:hint="eastAsia" w:ascii="宋体"/>
          <w:color w:val="auto"/>
          <w:sz w:val="24"/>
          <w:szCs w:val="24"/>
          <w:lang w:val="en-US" w:eastAsia="zh-CN"/>
        </w:rPr>
        <w:t>7.违法行为持续时间的计算起点为违法行为发生之日，终点的确定需要区分具体情形。违法行为持续时间的计算终点一般为“行为终了之日”。对于持续性的违法行为，从首次发生持续计算，至发现违法行为之日止，不因中途停止而中断计算。</w:t>
      </w:r>
    </w:p>
    <w:p w14:paraId="6D0DA363">
      <w:pPr>
        <w:keepNext w:val="0"/>
        <w:keepLines w:val="0"/>
        <w:pageBreakBefore w:val="0"/>
        <w:widowControl w:val="0"/>
        <w:kinsoku/>
        <w:wordWrap/>
        <w:overflowPunct/>
        <w:topLinePunct w:val="0"/>
        <w:autoSpaceDE/>
        <w:autoSpaceDN/>
        <w:bidi w:val="0"/>
        <w:adjustRightInd w:val="0"/>
        <w:snapToGrid w:val="0"/>
        <w:spacing w:line="360" w:lineRule="auto"/>
        <w:ind w:firstLine="720" w:firstLineChars="300"/>
        <w:textAlignment w:val="auto"/>
        <w:rPr>
          <w:rFonts w:hint="eastAsia" w:ascii="宋体"/>
          <w:color w:val="auto"/>
          <w:sz w:val="24"/>
          <w:szCs w:val="24"/>
          <w:lang w:val="en-US" w:eastAsia="zh-CN"/>
        </w:rPr>
      </w:pPr>
      <w:r>
        <w:rPr>
          <w:rFonts w:hint="eastAsia" w:ascii="宋体"/>
          <w:color w:val="auto"/>
          <w:sz w:val="24"/>
          <w:szCs w:val="24"/>
          <w:lang w:val="en-US" w:eastAsia="zh-CN"/>
        </w:rPr>
        <w:t>8.</w:t>
      </w:r>
      <w:r>
        <w:rPr>
          <w:rFonts w:hint="eastAsia"/>
          <w:color w:val="auto"/>
          <w:sz w:val="24"/>
          <w:lang w:val="en-US" w:eastAsia="zh-CN"/>
        </w:rPr>
        <w:t>环境违法次数</w:t>
      </w:r>
      <w:r>
        <w:rPr>
          <w:rFonts w:hint="eastAsia" w:ascii="宋体"/>
          <w:color w:val="auto"/>
          <w:sz w:val="24"/>
          <w:szCs w:val="24"/>
          <w:lang w:val="en-US" w:eastAsia="zh-CN"/>
        </w:rPr>
        <w:t>，是指自本次违法行为发生之日（含本日）起向前追溯两年内，当事人所有生态环境违法行为次数之和。其中，本次发现的违法行为计为1次；历史违法行为以行政处罚决定书中载明的违法行为计算（两个及以上生态环境违法行为列入同一份行政处罚决定的，按照实际违法行为数量计算；轻微违法行为被不予行政处罚的，也计入次数），时间以行政处罚决定书（或不予行政处罚决定书）盖章日期为准。</w:t>
      </w:r>
    </w:p>
    <w:p w14:paraId="0863CC48">
      <w:pPr>
        <w:keepNext w:val="0"/>
        <w:keepLines w:val="0"/>
        <w:pageBreakBefore w:val="0"/>
        <w:widowControl w:val="0"/>
        <w:kinsoku/>
        <w:wordWrap/>
        <w:overflowPunct/>
        <w:topLinePunct w:val="0"/>
        <w:autoSpaceDE/>
        <w:autoSpaceDN/>
        <w:bidi w:val="0"/>
        <w:adjustRightInd w:val="0"/>
        <w:snapToGrid w:val="0"/>
        <w:spacing w:line="360" w:lineRule="auto"/>
        <w:ind w:firstLine="720" w:firstLineChars="300"/>
        <w:textAlignment w:val="auto"/>
        <w:rPr>
          <w:rFonts w:hint="eastAsia" w:ascii="宋体"/>
          <w:color w:val="auto"/>
          <w:sz w:val="24"/>
          <w:szCs w:val="24"/>
          <w:lang w:val="en-US" w:eastAsia="zh-CN"/>
        </w:rPr>
      </w:pPr>
      <w:r>
        <w:rPr>
          <w:rFonts w:hint="eastAsia" w:ascii="宋体"/>
          <w:color w:val="auto"/>
          <w:sz w:val="24"/>
          <w:szCs w:val="24"/>
          <w:lang w:val="en-US" w:eastAsia="zh-CN"/>
        </w:rPr>
        <w:t>9.对周边居民、单位等的影响，是指当事人该违法行为对周边居民、单位等造成不良影响的情况，包括但不限于:引发公众投诉、举报、信访情况（以经核实的投诉、举报、信访为准），对周边生产经营活动造成干扰、引起损失情况，对周边群众的健康、生命安全造成影响情况等。</w:t>
      </w:r>
    </w:p>
    <w:p w14:paraId="1C1282C7">
      <w:pPr>
        <w:keepNext w:val="0"/>
        <w:keepLines w:val="0"/>
        <w:pageBreakBefore w:val="0"/>
        <w:widowControl w:val="0"/>
        <w:kinsoku/>
        <w:wordWrap/>
        <w:overflowPunct/>
        <w:topLinePunct w:val="0"/>
        <w:autoSpaceDE/>
        <w:autoSpaceDN/>
        <w:bidi w:val="0"/>
        <w:adjustRightInd w:val="0"/>
        <w:snapToGrid w:val="0"/>
        <w:spacing w:line="360" w:lineRule="auto"/>
        <w:ind w:firstLine="720" w:firstLineChars="300"/>
        <w:textAlignment w:val="auto"/>
        <w:rPr>
          <w:rFonts w:hint="default" w:ascii="宋体"/>
          <w:color w:val="auto"/>
          <w:sz w:val="24"/>
          <w:szCs w:val="24"/>
          <w:lang w:val="en-US" w:eastAsia="zh-CN"/>
        </w:rPr>
      </w:pPr>
      <w:r>
        <w:rPr>
          <w:rFonts w:hint="eastAsia" w:ascii="宋体"/>
          <w:color w:val="auto"/>
          <w:sz w:val="24"/>
          <w:szCs w:val="24"/>
          <w:lang w:val="en-US" w:eastAsia="zh-CN"/>
        </w:rPr>
        <w:t>（</w:t>
      </w:r>
      <w:r>
        <w:rPr>
          <w:rFonts w:hint="default" w:ascii="宋体"/>
          <w:color w:val="auto"/>
          <w:sz w:val="24"/>
          <w:szCs w:val="24"/>
          <w:lang w:val="en-US" w:eastAsia="zh-CN"/>
        </w:rPr>
        <w:t>1</w:t>
      </w:r>
      <w:r>
        <w:rPr>
          <w:rFonts w:hint="eastAsia" w:ascii="宋体"/>
          <w:color w:val="auto"/>
          <w:sz w:val="24"/>
          <w:szCs w:val="24"/>
          <w:lang w:val="en-US" w:eastAsia="zh-CN"/>
        </w:rPr>
        <w:t>）“</w:t>
      </w:r>
      <w:r>
        <w:rPr>
          <w:rFonts w:hint="default" w:ascii="宋体"/>
          <w:color w:val="auto"/>
          <w:sz w:val="24"/>
          <w:szCs w:val="24"/>
          <w:lang w:val="en-US" w:eastAsia="zh-CN"/>
        </w:rPr>
        <w:t>未发现对周边生产经营、生活造成不良影响</w:t>
      </w:r>
      <w:r>
        <w:rPr>
          <w:rFonts w:hint="eastAsia" w:ascii="宋体"/>
          <w:color w:val="auto"/>
          <w:sz w:val="24"/>
          <w:szCs w:val="24"/>
          <w:lang w:val="en-US" w:eastAsia="zh-CN"/>
        </w:rPr>
        <w:t>”</w:t>
      </w:r>
      <w:r>
        <w:rPr>
          <w:rFonts w:hint="default" w:ascii="宋体"/>
          <w:color w:val="auto"/>
          <w:sz w:val="24"/>
          <w:szCs w:val="24"/>
          <w:lang w:val="en-US" w:eastAsia="zh-CN"/>
        </w:rPr>
        <w:t>常体现为（下列之一）：</w:t>
      </w:r>
    </w:p>
    <w:p w14:paraId="32501DC3">
      <w:pPr>
        <w:keepNext w:val="0"/>
        <w:keepLines w:val="0"/>
        <w:pageBreakBefore w:val="0"/>
        <w:widowControl w:val="0"/>
        <w:kinsoku/>
        <w:wordWrap/>
        <w:overflowPunct/>
        <w:topLinePunct w:val="0"/>
        <w:autoSpaceDE/>
        <w:autoSpaceDN/>
        <w:bidi w:val="0"/>
        <w:adjustRightInd w:val="0"/>
        <w:snapToGrid w:val="0"/>
        <w:spacing w:line="360" w:lineRule="auto"/>
        <w:ind w:firstLine="720" w:firstLineChars="300"/>
        <w:textAlignment w:val="auto"/>
        <w:rPr>
          <w:rFonts w:hint="default" w:ascii="宋体"/>
          <w:color w:val="auto"/>
          <w:sz w:val="24"/>
          <w:szCs w:val="24"/>
          <w:lang w:val="en-US" w:eastAsia="zh-CN"/>
        </w:rPr>
      </w:pPr>
      <w:r>
        <w:rPr>
          <w:rFonts w:hint="eastAsia" w:ascii="宋体"/>
          <w:color w:val="auto"/>
          <w:sz w:val="24"/>
          <w:szCs w:val="24"/>
          <w:lang w:val="en-US" w:eastAsia="zh-CN"/>
        </w:rPr>
        <w:t>①</w:t>
      </w:r>
      <w:r>
        <w:rPr>
          <w:rFonts w:hint="default" w:ascii="宋体"/>
          <w:color w:val="auto"/>
          <w:sz w:val="24"/>
          <w:szCs w:val="24"/>
          <w:lang w:val="en-US" w:eastAsia="zh-CN"/>
        </w:rPr>
        <w:t>违法行为仅是程序方面未遵守法律规定（如，备案超过法定时限），在实体方面未违反法律要求，对周边生产经营、生活无客观、实际影响。</w:t>
      </w:r>
    </w:p>
    <w:p w14:paraId="70355131">
      <w:pPr>
        <w:keepNext w:val="0"/>
        <w:keepLines w:val="0"/>
        <w:pageBreakBefore w:val="0"/>
        <w:widowControl w:val="0"/>
        <w:kinsoku/>
        <w:wordWrap/>
        <w:overflowPunct/>
        <w:topLinePunct w:val="0"/>
        <w:autoSpaceDE/>
        <w:autoSpaceDN/>
        <w:bidi w:val="0"/>
        <w:adjustRightInd w:val="0"/>
        <w:snapToGrid w:val="0"/>
        <w:spacing w:line="360" w:lineRule="auto"/>
        <w:ind w:firstLine="720" w:firstLineChars="300"/>
        <w:textAlignment w:val="auto"/>
        <w:rPr>
          <w:rFonts w:hint="default" w:ascii="宋体"/>
          <w:color w:val="auto"/>
          <w:sz w:val="24"/>
          <w:szCs w:val="24"/>
          <w:lang w:val="en-US" w:eastAsia="zh-CN"/>
        </w:rPr>
      </w:pPr>
      <w:r>
        <w:rPr>
          <w:rFonts w:hint="eastAsia" w:ascii="宋体"/>
          <w:color w:val="auto"/>
          <w:sz w:val="24"/>
          <w:szCs w:val="24"/>
          <w:lang w:val="en-US" w:eastAsia="zh-CN"/>
        </w:rPr>
        <w:t>②</w:t>
      </w:r>
      <w:r>
        <w:rPr>
          <w:rFonts w:hint="default" w:ascii="宋体"/>
          <w:color w:val="auto"/>
          <w:sz w:val="24"/>
          <w:szCs w:val="24"/>
          <w:lang w:val="en-US" w:eastAsia="zh-CN"/>
        </w:rPr>
        <w:t>违法行为影响范围局限在当事人市场经营/生活区域内，对周边生产经营、生活无客观、实际影响。例如，违法行为发生区域较小且局限在当事人生产经营区域内，产生的污染较少（或不良影响较小）且未扩散到、影响到周边，且及时改正、未来不会产生新的污染（或不良影响）影响到周边。</w:t>
      </w:r>
    </w:p>
    <w:p w14:paraId="4DA3DC12">
      <w:pPr>
        <w:keepNext w:val="0"/>
        <w:keepLines w:val="0"/>
        <w:pageBreakBefore w:val="0"/>
        <w:widowControl w:val="0"/>
        <w:kinsoku/>
        <w:wordWrap/>
        <w:overflowPunct/>
        <w:topLinePunct w:val="0"/>
        <w:autoSpaceDE/>
        <w:autoSpaceDN/>
        <w:bidi w:val="0"/>
        <w:adjustRightInd w:val="0"/>
        <w:snapToGrid w:val="0"/>
        <w:spacing w:line="360" w:lineRule="auto"/>
        <w:ind w:firstLine="720" w:firstLineChars="300"/>
        <w:textAlignment w:val="auto"/>
        <w:rPr>
          <w:rFonts w:hint="default" w:ascii="宋体"/>
          <w:color w:val="auto"/>
          <w:sz w:val="24"/>
          <w:szCs w:val="24"/>
          <w:lang w:val="en-US" w:eastAsia="zh-CN"/>
        </w:rPr>
      </w:pPr>
      <w:r>
        <w:rPr>
          <w:rFonts w:hint="eastAsia" w:ascii="宋体"/>
          <w:color w:val="auto"/>
          <w:sz w:val="24"/>
          <w:szCs w:val="24"/>
          <w:lang w:val="en-US" w:eastAsia="zh-CN"/>
        </w:rPr>
        <w:t>③</w:t>
      </w:r>
      <w:r>
        <w:rPr>
          <w:rFonts w:hint="default" w:ascii="宋体"/>
          <w:color w:val="auto"/>
          <w:sz w:val="24"/>
          <w:szCs w:val="24"/>
          <w:lang w:val="en-US" w:eastAsia="zh-CN"/>
        </w:rPr>
        <w:t>违法行为未引起投诉、举报、信访（以经核实的投诉、举报、信访为准）或媒体报道。</w:t>
      </w:r>
    </w:p>
    <w:p w14:paraId="67DB9B28">
      <w:pPr>
        <w:keepNext w:val="0"/>
        <w:keepLines w:val="0"/>
        <w:pageBreakBefore w:val="0"/>
        <w:widowControl w:val="0"/>
        <w:kinsoku/>
        <w:wordWrap/>
        <w:overflowPunct/>
        <w:topLinePunct w:val="0"/>
        <w:autoSpaceDE/>
        <w:autoSpaceDN/>
        <w:bidi w:val="0"/>
        <w:adjustRightInd w:val="0"/>
        <w:snapToGrid w:val="0"/>
        <w:spacing w:line="360" w:lineRule="auto"/>
        <w:ind w:firstLine="720" w:firstLineChars="300"/>
        <w:textAlignment w:val="auto"/>
        <w:rPr>
          <w:rFonts w:hint="default" w:ascii="宋体"/>
          <w:color w:val="auto"/>
          <w:sz w:val="24"/>
          <w:szCs w:val="24"/>
          <w:lang w:val="en-US" w:eastAsia="zh-CN"/>
        </w:rPr>
      </w:pPr>
      <w:r>
        <w:rPr>
          <w:rFonts w:hint="eastAsia" w:ascii="宋体"/>
          <w:color w:val="auto"/>
          <w:sz w:val="24"/>
          <w:szCs w:val="24"/>
          <w:lang w:val="en-US" w:eastAsia="zh-CN"/>
        </w:rPr>
        <w:t>④</w:t>
      </w:r>
      <w:r>
        <w:rPr>
          <w:rFonts w:hint="default" w:ascii="宋体"/>
          <w:color w:val="auto"/>
          <w:sz w:val="24"/>
          <w:szCs w:val="24"/>
          <w:lang w:val="en-US" w:eastAsia="zh-CN"/>
        </w:rPr>
        <w:t>违法行为虽有个别投诉、举报、信访，但与周边生产经营、生活无关。</w:t>
      </w:r>
    </w:p>
    <w:p w14:paraId="2F4E06C0">
      <w:pPr>
        <w:keepNext w:val="0"/>
        <w:keepLines w:val="0"/>
        <w:pageBreakBefore w:val="0"/>
        <w:widowControl w:val="0"/>
        <w:kinsoku/>
        <w:wordWrap/>
        <w:overflowPunct/>
        <w:topLinePunct w:val="0"/>
        <w:autoSpaceDE/>
        <w:autoSpaceDN/>
        <w:bidi w:val="0"/>
        <w:adjustRightInd w:val="0"/>
        <w:snapToGrid w:val="0"/>
        <w:spacing w:line="360" w:lineRule="auto"/>
        <w:ind w:firstLine="720" w:firstLineChars="300"/>
        <w:textAlignment w:val="auto"/>
        <w:rPr>
          <w:rFonts w:hint="default" w:ascii="宋体"/>
          <w:color w:val="auto"/>
          <w:sz w:val="24"/>
          <w:szCs w:val="24"/>
          <w:lang w:val="en-US" w:eastAsia="zh-CN"/>
        </w:rPr>
      </w:pPr>
      <w:r>
        <w:rPr>
          <w:rFonts w:hint="eastAsia" w:ascii="宋体"/>
          <w:color w:val="auto"/>
          <w:sz w:val="24"/>
          <w:szCs w:val="24"/>
          <w:lang w:val="en-US" w:eastAsia="zh-CN"/>
        </w:rPr>
        <w:t>（</w:t>
      </w:r>
      <w:r>
        <w:rPr>
          <w:rFonts w:hint="default" w:ascii="宋体"/>
          <w:color w:val="auto"/>
          <w:sz w:val="24"/>
          <w:szCs w:val="24"/>
          <w:lang w:val="en-US" w:eastAsia="zh-CN"/>
        </w:rPr>
        <w:t>2</w:t>
      </w:r>
      <w:r>
        <w:rPr>
          <w:rFonts w:hint="eastAsia" w:ascii="宋体"/>
          <w:color w:val="auto"/>
          <w:sz w:val="24"/>
          <w:szCs w:val="24"/>
          <w:lang w:val="en-US" w:eastAsia="zh-CN"/>
        </w:rPr>
        <w:t>）“</w:t>
      </w:r>
      <w:r>
        <w:rPr>
          <w:rFonts w:hint="default" w:ascii="宋体"/>
          <w:color w:val="auto"/>
          <w:sz w:val="24"/>
          <w:szCs w:val="24"/>
          <w:lang w:val="en-US" w:eastAsia="zh-CN"/>
        </w:rPr>
        <w:t>对周边生产经营、生活有较轻影响</w:t>
      </w:r>
      <w:r>
        <w:rPr>
          <w:rFonts w:hint="eastAsia" w:ascii="宋体"/>
          <w:color w:val="auto"/>
          <w:sz w:val="24"/>
          <w:szCs w:val="24"/>
          <w:lang w:val="en-US" w:eastAsia="zh-CN"/>
        </w:rPr>
        <w:t>”</w:t>
      </w:r>
      <w:r>
        <w:rPr>
          <w:rFonts w:hint="default" w:ascii="宋体"/>
          <w:color w:val="auto"/>
          <w:sz w:val="24"/>
          <w:szCs w:val="24"/>
          <w:lang w:val="en-US" w:eastAsia="zh-CN"/>
        </w:rPr>
        <w:t>常体现为（下列之一）：</w:t>
      </w:r>
    </w:p>
    <w:p w14:paraId="32FAD22C">
      <w:pPr>
        <w:keepNext w:val="0"/>
        <w:keepLines w:val="0"/>
        <w:pageBreakBefore w:val="0"/>
        <w:widowControl w:val="0"/>
        <w:kinsoku/>
        <w:wordWrap/>
        <w:overflowPunct/>
        <w:topLinePunct w:val="0"/>
        <w:autoSpaceDE/>
        <w:autoSpaceDN/>
        <w:bidi w:val="0"/>
        <w:adjustRightInd w:val="0"/>
        <w:snapToGrid w:val="0"/>
        <w:spacing w:line="360" w:lineRule="auto"/>
        <w:ind w:firstLine="720" w:firstLineChars="300"/>
        <w:textAlignment w:val="auto"/>
        <w:rPr>
          <w:rFonts w:hint="default" w:ascii="宋体"/>
          <w:color w:val="auto"/>
          <w:sz w:val="24"/>
          <w:szCs w:val="24"/>
          <w:lang w:val="en-US" w:eastAsia="zh-CN"/>
        </w:rPr>
      </w:pPr>
      <w:r>
        <w:rPr>
          <w:rFonts w:hint="eastAsia" w:ascii="宋体"/>
          <w:color w:val="auto"/>
          <w:sz w:val="24"/>
          <w:szCs w:val="24"/>
          <w:lang w:val="en-US" w:eastAsia="zh-CN"/>
        </w:rPr>
        <w:t>①</w:t>
      </w:r>
      <w:r>
        <w:rPr>
          <w:rFonts w:hint="default" w:ascii="宋体"/>
          <w:color w:val="auto"/>
          <w:sz w:val="24"/>
          <w:szCs w:val="24"/>
          <w:lang w:val="en-US" w:eastAsia="zh-CN"/>
        </w:rPr>
        <w:t>违法行为影响到周边生产经营、生活日常秩序，但未造成经济损失或健康损害，且已及时改正。</w:t>
      </w:r>
    </w:p>
    <w:p w14:paraId="25751BB0">
      <w:pPr>
        <w:keepNext w:val="0"/>
        <w:keepLines w:val="0"/>
        <w:pageBreakBefore w:val="0"/>
        <w:widowControl w:val="0"/>
        <w:kinsoku/>
        <w:wordWrap/>
        <w:overflowPunct/>
        <w:topLinePunct w:val="0"/>
        <w:autoSpaceDE/>
        <w:autoSpaceDN/>
        <w:bidi w:val="0"/>
        <w:adjustRightInd w:val="0"/>
        <w:snapToGrid w:val="0"/>
        <w:spacing w:line="360" w:lineRule="auto"/>
        <w:ind w:firstLine="720" w:firstLineChars="300"/>
        <w:textAlignment w:val="auto"/>
        <w:rPr>
          <w:rFonts w:hint="default" w:ascii="宋体"/>
          <w:color w:val="auto"/>
          <w:sz w:val="24"/>
          <w:szCs w:val="24"/>
          <w:lang w:val="en-US" w:eastAsia="zh-CN"/>
        </w:rPr>
      </w:pPr>
      <w:r>
        <w:rPr>
          <w:rFonts w:hint="eastAsia" w:ascii="宋体"/>
          <w:color w:val="auto"/>
          <w:sz w:val="24"/>
          <w:szCs w:val="24"/>
          <w:lang w:val="en-US" w:eastAsia="zh-CN"/>
        </w:rPr>
        <w:t>②</w:t>
      </w:r>
      <w:r>
        <w:rPr>
          <w:rFonts w:hint="default" w:ascii="宋体"/>
          <w:color w:val="auto"/>
          <w:sz w:val="24"/>
          <w:szCs w:val="24"/>
          <w:lang w:val="en-US" w:eastAsia="zh-CN"/>
        </w:rPr>
        <w:t>违法行为影响到周边生产经营、生活日常秩序，造成的经济损失较低、健康损害轻微，且已及时改正。</w:t>
      </w:r>
    </w:p>
    <w:p w14:paraId="5DCD6DBC">
      <w:pPr>
        <w:keepNext w:val="0"/>
        <w:keepLines w:val="0"/>
        <w:pageBreakBefore w:val="0"/>
        <w:widowControl w:val="0"/>
        <w:kinsoku/>
        <w:wordWrap/>
        <w:overflowPunct/>
        <w:topLinePunct w:val="0"/>
        <w:autoSpaceDE/>
        <w:autoSpaceDN/>
        <w:bidi w:val="0"/>
        <w:adjustRightInd w:val="0"/>
        <w:snapToGrid w:val="0"/>
        <w:spacing w:line="360" w:lineRule="auto"/>
        <w:ind w:firstLine="720" w:firstLineChars="300"/>
        <w:textAlignment w:val="auto"/>
        <w:rPr>
          <w:rFonts w:hint="default" w:ascii="宋体"/>
          <w:color w:val="auto"/>
          <w:sz w:val="24"/>
          <w:szCs w:val="24"/>
          <w:lang w:val="en-US" w:eastAsia="zh-CN"/>
        </w:rPr>
      </w:pPr>
      <w:r>
        <w:rPr>
          <w:rFonts w:hint="eastAsia" w:ascii="宋体"/>
          <w:color w:val="auto"/>
          <w:sz w:val="24"/>
          <w:szCs w:val="24"/>
          <w:lang w:val="en-US" w:eastAsia="zh-CN"/>
        </w:rPr>
        <w:t>③</w:t>
      </w:r>
      <w:r>
        <w:rPr>
          <w:rFonts w:hint="default" w:ascii="宋体"/>
          <w:color w:val="auto"/>
          <w:sz w:val="24"/>
          <w:szCs w:val="24"/>
          <w:lang w:val="en-US" w:eastAsia="zh-CN"/>
        </w:rPr>
        <w:t>违法行为影响到周边生产经营、生活日常秩序，造成一定经济损失或较轻健康损害，当事人积极赔付已获得受损人谅解，且违法行为已及时改正。</w:t>
      </w:r>
    </w:p>
    <w:p w14:paraId="07008ED2">
      <w:pPr>
        <w:keepNext w:val="0"/>
        <w:keepLines w:val="0"/>
        <w:pageBreakBefore w:val="0"/>
        <w:widowControl w:val="0"/>
        <w:kinsoku/>
        <w:wordWrap/>
        <w:overflowPunct/>
        <w:topLinePunct w:val="0"/>
        <w:autoSpaceDE/>
        <w:autoSpaceDN/>
        <w:bidi w:val="0"/>
        <w:adjustRightInd w:val="0"/>
        <w:snapToGrid w:val="0"/>
        <w:spacing w:line="360" w:lineRule="auto"/>
        <w:ind w:firstLine="720" w:firstLineChars="300"/>
        <w:textAlignment w:val="auto"/>
        <w:rPr>
          <w:rFonts w:hint="default" w:ascii="宋体"/>
          <w:color w:val="auto"/>
          <w:sz w:val="24"/>
          <w:szCs w:val="24"/>
          <w:lang w:val="en-US" w:eastAsia="zh-CN"/>
        </w:rPr>
      </w:pPr>
      <w:r>
        <w:rPr>
          <w:rFonts w:hint="eastAsia" w:ascii="宋体"/>
          <w:color w:val="auto"/>
          <w:sz w:val="24"/>
          <w:szCs w:val="24"/>
          <w:lang w:val="en-US" w:eastAsia="zh-CN"/>
        </w:rPr>
        <w:t>（</w:t>
      </w:r>
      <w:r>
        <w:rPr>
          <w:rFonts w:hint="default" w:ascii="宋体"/>
          <w:color w:val="auto"/>
          <w:sz w:val="24"/>
          <w:szCs w:val="24"/>
          <w:lang w:val="en-US" w:eastAsia="zh-CN"/>
        </w:rPr>
        <w:t>3</w:t>
      </w:r>
      <w:r>
        <w:rPr>
          <w:rFonts w:hint="eastAsia" w:ascii="宋体"/>
          <w:color w:val="auto"/>
          <w:sz w:val="24"/>
          <w:szCs w:val="24"/>
          <w:lang w:val="en-US" w:eastAsia="zh-CN"/>
        </w:rPr>
        <w:t>）“</w:t>
      </w:r>
      <w:r>
        <w:rPr>
          <w:rFonts w:hint="default" w:ascii="宋体"/>
          <w:color w:val="auto"/>
          <w:sz w:val="24"/>
          <w:szCs w:val="24"/>
          <w:lang w:val="en-US" w:eastAsia="zh-CN"/>
        </w:rPr>
        <w:t>对周边生产经营、生活造成较大影响</w:t>
      </w:r>
      <w:r>
        <w:rPr>
          <w:rFonts w:hint="eastAsia" w:ascii="宋体"/>
          <w:color w:val="auto"/>
          <w:sz w:val="24"/>
          <w:szCs w:val="24"/>
          <w:lang w:val="en-US" w:eastAsia="zh-CN"/>
        </w:rPr>
        <w:t>”</w:t>
      </w:r>
      <w:r>
        <w:rPr>
          <w:rFonts w:hint="default" w:ascii="宋体"/>
          <w:color w:val="auto"/>
          <w:sz w:val="24"/>
          <w:szCs w:val="24"/>
          <w:lang w:val="en-US" w:eastAsia="zh-CN"/>
        </w:rPr>
        <w:t>常体现为（下列之一）：</w:t>
      </w:r>
    </w:p>
    <w:p w14:paraId="06DE603E">
      <w:pPr>
        <w:keepNext w:val="0"/>
        <w:keepLines w:val="0"/>
        <w:pageBreakBefore w:val="0"/>
        <w:widowControl w:val="0"/>
        <w:kinsoku/>
        <w:wordWrap/>
        <w:overflowPunct/>
        <w:topLinePunct w:val="0"/>
        <w:autoSpaceDE/>
        <w:autoSpaceDN/>
        <w:bidi w:val="0"/>
        <w:adjustRightInd w:val="0"/>
        <w:snapToGrid w:val="0"/>
        <w:spacing w:line="360" w:lineRule="auto"/>
        <w:ind w:firstLine="720" w:firstLineChars="300"/>
        <w:textAlignment w:val="auto"/>
        <w:rPr>
          <w:rFonts w:hint="default" w:ascii="宋体"/>
          <w:color w:val="auto"/>
          <w:sz w:val="24"/>
          <w:szCs w:val="24"/>
          <w:lang w:val="en-US" w:eastAsia="zh-CN"/>
        </w:rPr>
      </w:pPr>
      <w:r>
        <w:rPr>
          <w:rFonts w:hint="eastAsia" w:ascii="宋体"/>
          <w:color w:val="auto"/>
          <w:sz w:val="24"/>
          <w:szCs w:val="24"/>
          <w:lang w:val="en-US" w:eastAsia="zh-CN"/>
        </w:rPr>
        <w:t>①</w:t>
      </w:r>
      <w:r>
        <w:rPr>
          <w:rFonts w:hint="default" w:ascii="宋体"/>
          <w:color w:val="auto"/>
          <w:sz w:val="24"/>
          <w:szCs w:val="24"/>
          <w:lang w:val="en-US" w:eastAsia="zh-CN"/>
        </w:rPr>
        <w:t>违法行为造成周边生产经营活动中断或者居民无法正常生活。</w:t>
      </w:r>
    </w:p>
    <w:p w14:paraId="36944AB3">
      <w:pPr>
        <w:keepNext w:val="0"/>
        <w:keepLines w:val="0"/>
        <w:pageBreakBefore w:val="0"/>
        <w:widowControl w:val="0"/>
        <w:kinsoku/>
        <w:wordWrap/>
        <w:overflowPunct/>
        <w:topLinePunct w:val="0"/>
        <w:autoSpaceDE/>
        <w:autoSpaceDN/>
        <w:bidi w:val="0"/>
        <w:adjustRightInd w:val="0"/>
        <w:snapToGrid w:val="0"/>
        <w:spacing w:line="360" w:lineRule="auto"/>
        <w:ind w:firstLine="720" w:firstLineChars="300"/>
        <w:textAlignment w:val="auto"/>
        <w:rPr>
          <w:rFonts w:hint="default" w:ascii="宋体"/>
          <w:color w:val="auto"/>
          <w:sz w:val="24"/>
          <w:szCs w:val="24"/>
          <w:lang w:val="en-US" w:eastAsia="zh-CN"/>
        </w:rPr>
      </w:pPr>
      <w:r>
        <w:rPr>
          <w:rFonts w:hint="eastAsia" w:ascii="宋体"/>
          <w:color w:val="auto"/>
          <w:sz w:val="24"/>
          <w:szCs w:val="24"/>
          <w:lang w:val="en-US" w:eastAsia="zh-CN"/>
        </w:rPr>
        <w:t>②</w:t>
      </w:r>
      <w:r>
        <w:rPr>
          <w:rFonts w:hint="default" w:ascii="宋体"/>
          <w:color w:val="auto"/>
          <w:sz w:val="24"/>
          <w:szCs w:val="24"/>
          <w:lang w:val="en-US" w:eastAsia="zh-CN"/>
        </w:rPr>
        <w:t>违法行为影响到周边生产经营、生活日常秩序，被投诉后拒不改正的。</w:t>
      </w:r>
    </w:p>
    <w:p w14:paraId="5C24BF79">
      <w:pPr>
        <w:keepNext w:val="0"/>
        <w:keepLines w:val="0"/>
        <w:pageBreakBefore w:val="0"/>
        <w:widowControl w:val="0"/>
        <w:kinsoku/>
        <w:wordWrap/>
        <w:overflowPunct/>
        <w:topLinePunct w:val="0"/>
        <w:autoSpaceDE/>
        <w:autoSpaceDN/>
        <w:bidi w:val="0"/>
        <w:adjustRightInd w:val="0"/>
        <w:snapToGrid w:val="0"/>
        <w:spacing w:line="360" w:lineRule="auto"/>
        <w:ind w:firstLine="720" w:firstLineChars="300"/>
        <w:textAlignment w:val="auto"/>
        <w:rPr>
          <w:rFonts w:hint="default" w:ascii="宋体"/>
          <w:color w:val="auto"/>
          <w:sz w:val="24"/>
          <w:szCs w:val="24"/>
          <w:lang w:val="en-US" w:eastAsia="zh-CN"/>
        </w:rPr>
      </w:pPr>
      <w:r>
        <w:rPr>
          <w:rFonts w:hint="eastAsia" w:ascii="宋体"/>
          <w:color w:val="auto"/>
          <w:sz w:val="24"/>
          <w:szCs w:val="24"/>
          <w:lang w:val="en-US" w:eastAsia="zh-CN"/>
        </w:rPr>
        <w:t>③</w:t>
      </w:r>
      <w:r>
        <w:rPr>
          <w:rFonts w:hint="default" w:ascii="宋体"/>
          <w:color w:val="auto"/>
          <w:sz w:val="24"/>
          <w:szCs w:val="24"/>
          <w:lang w:val="en-US" w:eastAsia="zh-CN"/>
        </w:rPr>
        <w:t>违法行为对居民健康造成较大损害，甚至危及生命安全。</w:t>
      </w:r>
    </w:p>
    <w:p w14:paraId="61AA6071">
      <w:pPr>
        <w:keepNext w:val="0"/>
        <w:keepLines w:val="0"/>
        <w:pageBreakBefore w:val="0"/>
        <w:widowControl w:val="0"/>
        <w:kinsoku/>
        <w:wordWrap/>
        <w:overflowPunct/>
        <w:topLinePunct w:val="0"/>
        <w:autoSpaceDE/>
        <w:autoSpaceDN/>
        <w:bidi w:val="0"/>
        <w:adjustRightInd w:val="0"/>
        <w:snapToGrid w:val="0"/>
        <w:spacing w:line="360" w:lineRule="auto"/>
        <w:ind w:firstLine="720" w:firstLineChars="300"/>
        <w:textAlignment w:val="auto"/>
        <w:rPr>
          <w:rFonts w:hint="default" w:ascii="宋体"/>
          <w:color w:val="auto"/>
          <w:sz w:val="24"/>
          <w:szCs w:val="24"/>
          <w:lang w:val="en-US" w:eastAsia="zh-CN"/>
        </w:rPr>
      </w:pPr>
      <w:r>
        <w:rPr>
          <w:rFonts w:hint="eastAsia" w:ascii="宋体"/>
          <w:color w:val="auto"/>
          <w:sz w:val="24"/>
          <w:szCs w:val="24"/>
          <w:lang w:val="en-US" w:eastAsia="zh-CN"/>
        </w:rPr>
        <w:t>④</w:t>
      </w:r>
      <w:r>
        <w:rPr>
          <w:rFonts w:hint="default" w:ascii="宋体"/>
          <w:color w:val="auto"/>
          <w:sz w:val="24"/>
          <w:szCs w:val="24"/>
          <w:lang w:val="en-US" w:eastAsia="zh-CN"/>
        </w:rPr>
        <w:t>违法行为造成较大经济损失。</w:t>
      </w:r>
    </w:p>
    <w:p w14:paraId="4DA6C85B">
      <w:pPr>
        <w:keepNext w:val="0"/>
        <w:keepLines w:val="0"/>
        <w:pageBreakBefore w:val="0"/>
        <w:widowControl w:val="0"/>
        <w:kinsoku/>
        <w:wordWrap/>
        <w:overflowPunct/>
        <w:topLinePunct w:val="0"/>
        <w:autoSpaceDE/>
        <w:autoSpaceDN/>
        <w:bidi w:val="0"/>
        <w:adjustRightInd w:val="0"/>
        <w:snapToGrid w:val="0"/>
        <w:spacing w:line="360" w:lineRule="auto"/>
        <w:ind w:firstLine="720" w:firstLineChars="300"/>
        <w:textAlignment w:val="auto"/>
        <w:rPr>
          <w:rFonts w:hint="default" w:ascii="宋体"/>
          <w:color w:val="auto"/>
          <w:sz w:val="24"/>
          <w:szCs w:val="24"/>
          <w:lang w:val="en-US" w:eastAsia="zh-CN"/>
        </w:rPr>
      </w:pPr>
      <w:r>
        <w:rPr>
          <w:rFonts w:hint="eastAsia" w:ascii="宋体"/>
          <w:color w:val="auto"/>
          <w:sz w:val="24"/>
          <w:szCs w:val="24"/>
          <w:lang w:val="en-US" w:eastAsia="zh-CN"/>
        </w:rPr>
        <w:t>⑤</w:t>
      </w:r>
      <w:r>
        <w:rPr>
          <w:rFonts w:hint="default" w:ascii="宋体"/>
          <w:color w:val="auto"/>
          <w:sz w:val="24"/>
          <w:szCs w:val="24"/>
          <w:lang w:val="en-US" w:eastAsia="zh-CN"/>
        </w:rPr>
        <w:t>违法行为造成大量信访投诉，或者引发群体性事件，或者造成较大负面社会影响。</w:t>
      </w:r>
    </w:p>
    <w:tbl>
      <w:tblPr>
        <w:tblStyle w:val="8"/>
        <w:tblW w:w="543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9"/>
        <w:gridCol w:w="7104"/>
        <w:gridCol w:w="1362"/>
      </w:tblGrid>
      <w:tr w14:paraId="13949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1259" w:type="dxa"/>
            <w:tcBorders>
              <w:top w:val="single" w:color="auto" w:sz="4" w:space="0"/>
              <w:left w:val="single" w:color="auto" w:sz="4" w:space="0"/>
              <w:bottom w:val="single" w:color="auto" w:sz="4" w:space="0"/>
              <w:right w:val="single" w:color="auto" w:sz="4" w:space="0"/>
            </w:tcBorders>
            <w:noWrap w:val="0"/>
            <w:vAlign w:val="center"/>
          </w:tcPr>
          <w:p w14:paraId="1B404AC5">
            <w:pPr>
              <w:jc w:val="center"/>
              <w:rPr>
                <w:rFonts w:hint="eastAsia" w:ascii="宋体" w:cs="宋体"/>
                <w:b/>
                <w:bCs/>
                <w:color w:val="auto"/>
                <w:szCs w:val="21"/>
              </w:rPr>
            </w:pPr>
            <w:r>
              <w:rPr>
                <w:rFonts w:hint="eastAsia" w:ascii="宋体" w:cs="宋体"/>
                <w:b/>
                <w:bCs/>
                <w:color w:val="auto"/>
                <w:szCs w:val="21"/>
              </w:rPr>
              <w:t>裁量因素</w:t>
            </w:r>
          </w:p>
        </w:tc>
        <w:tc>
          <w:tcPr>
            <w:tcW w:w="7104" w:type="dxa"/>
            <w:tcBorders>
              <w:top w:val="single" w:color="auto" w:sz="4" w:space="0"/>
              <w:left w:val="single" w:color="auto" w:sz="4" w:space="0"/>
              <w:bottom w:val="single" w:color="auto" w:sz="4" w:space="0"/>
              <w:right w:val="single" w:color="auto" w:sz="4" w:space="0"/>
            </w:tcBorders>
            <w:noWrap w:val="0"/>
            <w:vAlign w:val="center"/>
          </w:tcPr>
          <w:p w14:paraId="67C04DEB">
            <w:pPr>
              <w:jc w:val="center"/>
              <w:rPr>
                <w:rFonts w:hint="eastAsia" w:ascii="宋体" w:cs="宋体"/>
                <w:b/>
                <w:bCs/>
                <w:color w:val="auto"/>
                <w:szCs w:val="21"/>
              </w:rPr>
            </w:pPr>
            <w:r>
              <w:rPr>
                <w:rFonts w:hint="eastAsia" w:ascii="宋体" w:cs="宋体"/>
                <w:b/>
                <w:bCs/>
                <w:color w:val="auto"/>
                <w:szCs w:val="21"/>
              </w:rPr>
              <w:t>裁量因子</w:t>
            </w:r>
          </w:p>
        </w:tc>
        <w:tc>
          <w:tcPr>
            <w:tcW w:w="1362" w:type="dxa"/>
            <w:tcBorders>
              <w:top w:val="single" w:color="auto" w:sz="4" w:space="0"/>
              <w:left w:val="single" w:color="auto" w:sz="4" w:space="0"/>
              <w:bottom w:val="single" w:color="auto" w:sz="4" w:space="0"/>
              <w:right w:val="single" w:color="auto" w:sz="4" w:space="0"/>
            </w:tcBorders>
            <w:noWrap w:val="0"/>
            <w:vAlign w:val="center"/>
          </w:tcPr>
          <w:p w14:paraId="7809FDA1">
            <w:pPr>
              <w:jc w:val="center"/>
              <w:rPr>
                <w:rFonts w:hint="eastAsia" w:ascii="宋体" w:cs="宋体"/>
                <w:b/>
                <w:bCs/>
                <w:color w:val="auto"/>
                <w:szCs w:val="21"/>
              </w:rPr>
            </w:pPr>
            <w:r>
              <w:rPr>
                <w:rFonts w:hint="eastAsia" w:ascii="宋体" w:cs="宋体"/>
                <w:b/>
                <w:bCs/>
                <w:color w:val="auto"/>
                <w:szCs w:val="21"/>
              </w:rPr>
              <w:t>裁量等级</w:t>
            </w:r>
          </w:p>
        </w:tc>
      </w:tr>
      <w:tr w14:paraId="6637C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0" w:hRule="atLeast"/>
          <w:jc w:val="center"/>
        </w:trPr>
        <w:tc>
          <w:tcPr>
            <w:tcW w:w="1259" w:type="dxa"/>
            <w:vMerge w:val="restart"/>
            <w:tcBorders>
              <w:top w:val="single" w:color="auto" w:sz="4" w:space="0"/>
              <w:left w:val="single" w:color="auto" w:sz="4" w:space="0"/>
              <w:right w:val="single" w:color="auto" w:sz="4" w:space="0"/>
            </w:tcBorders>
            <w:noWrap w:val="0"/>
            <w:vAlign w:val="center"/>
          </w:tcPr>
          <w:p w14:paraId="0FDD134B">
            <w:pPr>
              <w:jc w:val="center"/>
              <w:rPr>
                <w:color w:val="auto"/>
              </w:rPr>
            </w:pPr>
            <w:r>
              <w:rPr>
                <w:rFonts w:hint="eastAsia" w:ascii="宋体" w:cs="宋体"/>
                <w:color w:val="auto"/>
                <w:szCs w:val="21"/>
              </w:rPr>
              <w:t>违法行为后果</w:t>
            </w:r>
          </w:p>
        </w:tc>
        <w:tc>
          <w:tcPr>
            <w:tcW w:w="7104" w:type="dxa"/>
            <w:tcBorders>
              <w:top w:val="single" w:color="auto" w:sz="4" w:space="0"/>
              <w:left w:val="single" w:color="auto" w:sz="4" w:space="0"/>
              <w:bottom w:val="single" w:color="auto" w:sz="4" w:space="0"/>
              <w:right w:val="single" w:color="auto" w:sz="4" w:space="0"/>
            </w:tcBorders>
            <w:noWrap w:val="0"/>
            <w:vAlign w:val="center"/>
          </w:tcPr>
          <w:p w14:paraId="4F920D2C">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Times New Roman" w:eastAsia="宋体" w:cs="宋体"/>
                <w:color w:val="auto"/>
                <w:sz w:val="21"/>
                <w:szCs w:val="18"/>
                <w:highlight w:val="none"/>
              </w:rPr>
            </w:pPr>
            <w:r>
              <w:rPr>
                <w:rFonts w:hint="eastAsia" w:ascii="宋体" w:hAnsi="Times New Roman" w:eastAsia="宋体" w:cs="宋体"/>
                <w:color w:val="auto"/>
                <w:sz w:val="21"/>
                <w:szCs w:val="18"/>
                <w:highlight w:val="none"/>
              </w:rPr>
              <w:t>违法行为环境影响程度小</w:t>
            </w:r>
            <w:r>
              <w:rPr>
                <w:rFonts w:hint="eastAsia" w:ascii="宋体" w:hAnsi="Times New Roman" w:eastAsia="宋体" w:cs="宋体"/>
                <w:color w:val="auto"/>
                <w:sz w:val="21"/>
                <w:szCs w:val="18"/>
                <w:highlight w:val="none"/>
                <w:lang w:val="en-US" w:eastAsia="zh-CN"/>
              </w:rPr>
              <w:t>或者</w:t>
            </w:r>
            <w:r>
              <w:rPr>
                <w:rFonts w:hint="eastAsia" w:ascii="宋体" w:hAnsi="Times New Roman" w:eastAsia="宋体" w:cs="宋体"/>
                <w:color w:val="auto"/>
                <w:sz w:val="21"/>
                <w:szCs w:val="18"/>
                <w:highlight w:val="none"/>
              </w:rPr>
              <w:t>造成公私财产损失10万元以下</w:t>
            </w:r>
            <w:r>
              <w:rPr>
                <w:rFonts w:hint="eastAsia" w:ascii="宋体" w:hAnsi="Times New Roman" w:eastAsia="宋体" w:cs="宋体"/>
                <w:color w:val="auto"/>
                <w:sz w:val="21"/>
                <w:szCs w:val="18"/>
                <w:highlight w:val="none"/>
                <w:lang w:val="en-US" w:eastAsia="zh-CN"/>
              </w:rPr>
              <w:t>或者</w:t>
            </w:r>
            <w:r>
              <w:rPr>
                <w:rFonts w:hint="eastAsia" w:ascii="宋体" w:hAnsi="Times New Roman" w:eastAsia="宋体" w:cs="宋体"/>
                <w:color w:val="auto"/>
                <w:sz w:val="21"/>
                <w:szCs w:val="18"/>
                <w:highlight w:val="none"/>
              </w:rPr>
              <w:t>违法所得不足10万元</w:t>
            </w:r>
            <w:r>
              <w:rPr>
                <w:rFonts w:hint="eastAsia" w:ascii="宋体" w:hAnsi="Times New Roman" w:eastAsia="宋体" w:cs="宋体"/>
                <w:color w:val="auto"/>
                <w:sz w:val="21"/>
                <w:szCs w:val="18"/>
                <w:highlight w:val="none"/>
                <w:lang w:val="en-US" w:eastAsia="zh-CN"/>
              </w:rPr>
              <w:t>的</w:t>
            </w:r>
          </w:p>
        </w:tc>
        <w:tc>
          <w:tcPr>
            <w:tcW w:w="1362" w:type="dxa"/>
            <w:tcBorders>
              <w:top w:val="single" w:color="auto" w:sz="4" w:space="0"/>
              <w:left w:val="single" w:color="auto" w:sz="4" w:space="0"/>
              <w:bottom w:val="single" w:color="auto" w:sz="4" w:space="0"/>
              <w:right w:val="single" w:color="auto" w:sz="4" w:space="0"/>
            </w:tcBorders>
            <w:noWrap w:val="0"/>
            <w:vAlign w:val="center"/>
          </w:tcPr>
          <w:p w14:paraId="470E15FF">
            <w:pPr>
              <w:jc w:val="center"/>
              <w:rPr>
                <w:rFonts w:hint="eastAsia" w:ascii="宋体" w:cs="宋体"/>
                <w:color w:val="auto"/>
                <w:szCs w:val="21"/>
              </w:rPr>
            </w:pPr>
            <w:r>
              <w:rPr>
                <w:rFonts w:hint="eastAsia" w:ascii="宋体" w:cs="宋体"/>
                <w:color w:val="auto"/>
                <w:szCs w:val="21"/>
                <w:lang w:val="en-US" w:eastAsia="zh-CN"/>
              </w:rPr>
              <w:t>1</w:t>
            </w:r>
          </w:p>
        </w:tc>
      </w:tr>
      <w:tr w14:paraId="5C0D6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7" w:hRule="atLeast"/>
          <w:jc w:val="center"/>
        </w:trPr>
        <w:tc>
          <w:tcPr>
            <w:tcW w:w="1259" w:type="dxa"/>
            <w:vMerge w:val="continue"/>
            <w:tcBorders>
              <w:left w:val="single" w:color="auto" w:sz="4" w:space="0"/>
              <w:right w:val="single" w:color="auto" w:sz="4" w:space="0"/>
            </w:tcBorders>
            <w:noWrap w:val="0"/>
            <w:vAlign w:val="center"/>
          </w:tcPr>
          <w:p w14:paraId="157BA4E7">
            <w:pPr>
              <w:jc w:val="center"/>
              <w:rPr>
                <w:color w:val="auto"/>
              </w:rPr>
            </w:pPr>
          </w:p>
        </w:tc>
        <w:tc>
          <w:tcPr>
            <w:tcW w:w="7104" w:type="dxa"/>
            <w:tcBorders>
              <w:top w:val="single" w:color="auto" w:sz="4" w:space="0"/>
              <w:left w:val="single" w:color="auto" w:sz="4" w:space="0"/>
              <w:bottom w:val="single" w:color="auto" w:sz="4" w:space="0"/>
              <w:right w:val="single" w:color="auto" w:sz="4" w:space="0"/>
            </w:tcBorders>
            <w:noWrap w:val="0"/>
            <w:vAlign w:val="center"/>
          </w:tcPr>
          <w:p w14:paraId="4F5DEC80">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Times New Roman" w:eastAsia="宋体" w:cs="宋体"/>
                <w:color w:val="auto"/>
                <w:sz w:val="21"/>
                <w:szCs w:val="18"/>
                <w:highlight w:val="none"/>
              </w:rPr>
            </w:pPr>
            <w:r>
              <w:rPr>
                <w:rFonts w:hint="eastAsia" w:ascii="宋体" w:hAnsi="Times New Roman" w:eastAsia="宋体" w:cs="宋体"/>
                <w:color w:val="auto"/>
                <w:sz w:val="21"/>
                <w:szCs w:val="18"/>
                <w:highlight w:val="none"/>
              </w:rPr>
              <w:t>违法行为环境影响程度</w:t>
            </w:r>
            <w:r>
              <w:rPr>
                <w:rFonts w:hint="eastAsia" w:ascii="宋体" w:hAnsi="Times New Roman" w:eastAsia="宋体" w:cs="宋体"/>
                <w:color w:val="auto"/>
                <w:sz w:val="21"/>
                <w:szCs w:val="18"/>
                <w:highlight w:val="none"/>
                <w:lang w:val="en-US" w:eastAsia="zh-CN"/>
              </w:rPr>
              <w:t>中或者</w:t>
            </w:r>
            <w:r>
              <w:rPr>
                <w:rFonts w:hint="eastAsia" w:ascii="宋体" w:hAnsi="Times New Roman" w:eastAsia="宋体" w:cs="宋体"/>
                <w:color w:val="auto"/>
                <w:sz w:val="21"/>
                <w:szCs w:val="18"/>
                <w:highlight w:val="none"/>
              </w:rPr>
              <w:t>造成公私财产损失1</w:t>
            </w:r>
            <w:r>
              <w:rPr>
                <w:rFonts w:hint="eastAsia" w:ascii="宋体" w:hAnsi="Times New Roman" w:eastAsia="宋体" w:cs="宋体"/>
                <w:color w:val="auto"/>
                <w:sz w:val="21"/>
                <w:szCs w:val="18"/>
                <w:highlight w:val="none"/>
                <w:lang w:val="en-US" w:eastAsia="zh-CN"/>
              </w:rPr>
              <w:t>0</w:t>
            </w:r>
            <w:r>
              <w:rPr>
                <w:rFonts w:hint="eastAsia" w:ascii="宋体" w:hAnsi="Times New Roman" w:eastAsia="宋体" w:cs="宋体"/>
                <w:color w:val="auto"/>
                <w:sz w:val="21"/>
                <w:szCs w:val="18"/>
                <w:highlight w:val="none"/>
              </w:rPr>
              <w:t>万</w:t>
            </w:r>
            <w:r>
              <w:rPr>
                <w:rFonts w:hint="eastAsia" w:ascii="宋体" w:hAnsi="Times New Roman" w:eastAsia="宋体" w:cs="宋体"/>
                <w:color w:val="auto"/>
                <w:sz w:val="21"/>
                <w:szCs w:val="18"/>
                <w:highlight w:val="none"/>
                <w:lang w:eastAsia="zh-CN"/>
              </w:rPr>
              <w:t>元</w:t>
            </w:r>
            <w:r>
              <w:rPr>
                <w:rFonts w:hint="eastAsia" w:ascii="宋体" w:hAnsi="Times New Roman" w:eastAsia="宋体" w:cs="宋体"/>
                <w:color w:val="auto"/>
                <w:sz w:val="21"/>
                <w:szCs w:val="18"/>
                <w:highlight w:val="none"/>
              </w:rPr>
              <w:t>以上不足</w:t>
            </w:r>
            <w:r>
              <w:rPr>
                <w:rFonts w:hint="eastAsia" w:ascii="宋体" w:hAnsi="Times New Roman" w:eastAsia="宋体" w:cs="宋体"/>
                <w:color w:val="auto"/>
                <w:sz w:val="21"/>
                <w:szCs w:val="18"/>
                <w:highlight w:val="none"/>
                <w:lang w:val="en-US" w:eastAsia="zh-CN"/>
              </w:rPr>
              <w:t>2</w:t>
            </w:r>
            <w:r>
              <w:rPr>
                <w:rFonts w:hint="eastAsia" w:ascii="宋体" w:hAnsi="Times New Roman" w:eastAsia="宋体" w:cs="宋体"/>
                <w:color w:val="auto"/>
                <w:sz w:val="21"/>
                <w:szCs w:val="18"/>
                <w:highlight w:val="none"/>
              </w:rPr>
              <w:t>0万元</w:t>
            </w:r>
            <w:r>
              <w:rPr>
                <w:rFonts w:hint="eastAsia" w:ascii="宋体" w:hAnsi="Times New Roman" w:eastAsia="宋体" w:cs="宋体"/>
                <w:color w:val="auto"/>
                <w:sz w:val="21"/>
                <w:szCs w:val="18"/>
                <w:highlight w:val="none"/>
                <w:lang w:val="en-US" w:eastAsia="zh-CN"/>
              </w:rPr>
              <w:t>或者</w:t>
            </w:r>
            <w:r>
              <w:rPr>
                <w:rFonts w:hint="eastAsia" w:ascii="宋体" w:hAnsi="Times New Roman" w:eastAsia="宋体" w:cs="宋体"/>
                <w:color w:val="auto"/>
                <w:sz w:val="21"/>
                <w:szCs w:val="18"/>
                <w:highlight w:val="none"/>
              </w:rPr>
              <w:t>违法所得10万元以上不足</w:t>
            </w:r>
            <w:r>
              <w:rPr>
                <w:rFonts w:hint="eastAsia" w:ascii="宋体" w:hAnsi="Times New Roman" w:eastAsia="宋体" w:cs="宋体"/>
                <w:color w:val="auto"/>
                <w:sz w:val="21"/>
                <w:szCs w:val="18"/>
                <w:highlight w:val="none"/>
                <w:lang w:val="en-US" w:eastAsia="zh-CN"/>
              </w:rPr>
              <w:t>30</w:t>
            </w:r>
            <w:r>
              <w:rPr>
                <w:rFonts w:hint="eastAsia" w:ascii="宋体" w:hAnsi="Times New Roman" w:eastAsia="宋体" w:cs="宋体"/>
                <w:color w:val="auto"/>
                <w:sz w:val="21"/>
                <w:szCs w:val="18"/>
                <w:highlight w:val="none"/>
              </w:rPr>
              <w:t>万元</w:t>
            </w:r>
            <w:r>
              <w:rPr>
                <w:rFonts w:hint="eastAsia" w:ascii="宋体" w:hAnsi="Times New Roman" w:eastAsia="宋体" w:cs="宋体"/>
                <w:color w:val="auto"/>
                <w:sz w:val="21"/>
                <w:szCs w:val="18"/>
                <w:highlight w:val="none"/>
                <w:lang w:val="en-US" w:eastAsia="zh-CN"/>
              </w:rPr>
              <w:t>的</w:t>
            </w:r>
          </w:p>
        </w:tc>
        <w:tc>
          <w:tcPr>
            <w:tcW w:w="1362" w:type="dxa"/>
            <w:tcBorders>
              <w:top w:val="single" w:color="auto" w:sz="4" w:space="0"/>
              <w:left w:val="single" w:color="auto" w:sz="4" w:space="0"/>
              <w:bottom w:val="single" w:color="auto" w:sz="4" w:space="0"/>
              <w:right w:val="single" w:color="auto" w:sz="4" w:space="0"/>
            </w:tcBorders>
            <w:noWrap w:val="0"/>
            <w:vAlign w:val="center"/>
          </w:tcPr>
          <w:p w14:paraId="038E0F22">
            <w:pPr>
              <w:jc w:val="center"/>
              <w:rPr>
                <w:rFonts w:hint="eastAsia" w:ascii="宋体" w:cs="宋体"/>
                <w:color w:val="auto"/>
                <w:szCs w:val="21"/>
              </w:rPr>
            </w:pPr>
            <w:r>
              <w:rPr>
                <w:rFonts w:hint="eastAsia" w:ascii="宋体" w:cs="宋体"/>
                <w:color w:val="auto"/>
                <w:szCs w:val="21"/>
                <w:lang w:val="en-US" w:eastAsia="zh-CN"/>
              </w:rPr>
              <w:t>3</w:t>
            </w:r>
          </w:p>
        </w:tc>
      </w:tr>
      <w:tr w14:paraId="7665B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7" w:hRule="atLeast"/>
          <w:jc w:val="center"/>
        </w:trPr>
        <w:tc>
          <w:tcPr>
            <w:tcW w:w="1259" w:type="dxa"/>
            <w:vMerge w:val="continue"/>
            <w:tcBorders>
              <w:left w:val="single" w:color="auto" w:sz="4" w:space="0"/>
              <w:right w:val="single" w:color="auto" w:sz="4" w:space="0"/>
            </w:tcBorders>
            <w:noWrap w:val="0"/>
            <w:vAlign w:val="center"/>
          </w:tcPr>
          <w:p w14:paraId="1C664ED2">
            <w:pPr>
              <w:jc w:val="center"/>
              <w:rPr>
                <w:color w:val="auto"/>
              </w:rPr>
            </w:pPr>
          </w:p>
        </w:tc>
        <w:tc>
          <w:tcPr>
            <w:tcW w:w="7104" w:type="dxa"/>
            <w:tcBorders>
              <w:top w:val="single" w:color="auto" w:sz="4" w:space="0"/>
              <w:left w:val="single" w:color="auto" w:sz="4" w:space="0"/>
              <w:bottom w:val="single" w:color="auto" w:sz="4" w:space="0"/>
              <w:right w:val="single" w:color="auto" w:sz="4" w:space="0"/>
            </w:tcBorders>
            <w:noWrap w:val="0"/>
            <w:vAlign w:val="center"/>
          </w:tcPr>
          <w:p w14:paraId="150A3317">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Times New Roman" w:eastAsia="宋体" w:cs="宋体"/>
                <w:color w:val="auto"/>
                <w:sz w:val="21"/>
                <w:szCs w:val="18"/>
                <w:highlight w:val="none"/>
                <w:lang w:val="en-US" w:eastAsia="zh-CN"/>
              </w:rPr>
            </w:pPr>
            <w:r>
              <w:rPr>
                <w:rFonts w:hint="eastAsia" w:ascii="宋体" w:hAnsi="Times New Roman" w:eastAsia="宋体" w:cs="宋体"/>
                <w:color w:val="auto"/>
                <w:sz w:val="21"/>
                <w:szCs w:val="18"/>
                <w:highlight w:val="none"/>
              </w:rPr>
              <w:t>违法行为环境影响的程度大</w:t>
            </w:r>
            <w:r>
              <w:rPr>
                <w:rFonts w:hint="eastAsia" w:ascii="宋体" w:hAnsi="Times New Roman" w:eastAsia="宋体" w:cs="宋体"/>
                <w:color w:val="auto"/>
                <w:sz w:val="21"/>
                <w:szCs w:val="18"/>
                <w:highlight w:val="none"/>
                <w:lang w:val="en-US" w:eastAsia="zh-CN"/>
              </w:rPr>
              <w:t>或者</w:t>
            </w:r>
            <w:r>
              <w:rPr>
                <w:rFonts w:hint="eastAsia" w:ascii="宋体" w:hAnsi="Times New Roman" w:eastAsia="宋体" w:cs="宋体"/>
                <w:color w:val="auto"/>
                <w:sz w:val="21"/>
                <w:szCs w:val="18"/>
                <w:highlight w:val="none"/>
              </w:rPr>
              <w:t>造成公私财产损失</w:t>
            </w:r>
            <w:r>
              <w:rPr>
                <w:rFonts w:hint="eastAsia" w:ascii="宋体" w:hAnsi="Times New Roman" w:eastAsia="宋体" w:cs="宋体"/>
                <w:color w:val="auto"/>
                <w:sz w:val="21"/>
                <w:szCs w:val="18"/>
                <w:highlight w:val="none"/>
                <w:lang w:val="en-US" w:eastAsia="zh-CN"/>
              </w:rPr>
              <w:t>2</w:t>
            </w:r>
            <w:r>
              <w:rPr>
                <w:rFonts w:hint="eastAsia" w:ascii="宋体" w:hAnsi="Times New Roman" w:eastAsia="宋体" w:cs="宋体"/>
                <w:color w:val="auto"/>
                <w:sz w:val="21"/>
                <w:szCs w:val="18"/>
                <w:highlight w:val="none"/>
              </w:rPr>
              <w:t>0万元以上不足30万元</w:t>
            </w:r>
            <w:r>
              <w:rPr>
                <w:rFonts w:hint="eastAsia" w:ascii="宋体" w:hAnsi="Times New Roman" w:eastAsia="宋体" w:cs="宋体"/>
                <w:color w:val="auto"/>
                <w:sz w:val="21"/>
                <w:szCs w:val="18"/>
                <w:highlight w:val="none"/>
                <w:lang w:val="en-US" w:eastAsia="zh-CN"/>
              </w:rPr>
              <w:t>或者</w:t>
            </w:r>
            <w:r>
              <w:rPr>
                <w:rFonts w:hint="eastAsia" w:ascii="宋体" w:hAnsi="Times New Roman" w:eastAsia="宋体" w:cs="宋体"/>
                <w:color w:val="auto"/>
                <w:sz w:val="21"/>
                <w:szCs w:val="18"/>
                <w:highlight w:val="none"/>
              </w:rPr>
              <w:t>违法所得</w:t>
            </w:r>
            <w:r>
              <w:rPr>
                <w:rFonts w:hint="eastAsia" w:ascii="宋体" w:hAnsi="Times New Roman" w:eastAsia="宋体" w:cs="宋体"/>
                <w:color w:val="auto"/>
                <w:sz w:val="21"/>
                <w:szCs w:val="18"/>
                <w:highlight w:val="none"/>
                <w:lang w:val="en-US" w:eastAsia="zh-CN"/>
              </w:rPr>
              <w:t>3</w:t>
            </w:r>
            <w:r>
              <w:rPr>
                <w:rFonts w:hint="eastAsia" w:ascii="宋体" w:hAnsi="Times New Roman" w:eastAsia="宋体" w:cs="宋体"/>
                <w:color w:val="auto"/>
                <w:sz w:val="21"/>
                <w:szCs w:val="18"/>
                <w:highlight w:val="none"/>
              </w:rPr>
              <w:t>0万元以上</w:t>
            </w:r>
            <w:r>
              <w:rPr>
                <w:rFonts w:hint="eastAsia" w:ascii="宋体" w:hAnsi="Times New Roman" w:cs="宋体"/>
                <w:color w:val="auto"/>
                <w:sz w:val="21"/>
                <w:szCs w:val="18"/>
                <w:highlight w:val="none"/>
                <w:lang w:val="en-US" w:eastAsia="zh-CN"/>
              </w:rPr>
              <w:t>的</w:t>
            </w:r>
          </w:p>
        </w:tc>
        <w:tc>
          <w:tcPr>
            <w:tcW w:w="1362" w:type="dxa"/>
            <w:tcBorders>
              <w:top w:val="single" w:color="auto" w:sz="4" w:space="0"/>
              <w:left w:val="single" w:color="auto" w:sz="4" w:space="0"/>
              <w:bottom w:val="single" w:color="auto" w:sz="4" w:space="0"/>
              <w:right w:val="single" w:color="auto" w:sz="4" w:space="0"/>
            </w:tcBorders>
            <w:noWrap w:val="0"/>
            <w:vAlign w:val="center"/>
          </w:tcPr>
          <w:p w14:paraId="33C79EAE">
            <w:pPr>
              <w:jc w:val="center"/>
              <w:rPr>
                <w:rFonts w:hint="eastAsia" w:ascii="宋体" w:cs="宋体"/>
                <w:color w:val="auto"/>
                <w:szCs w:val="21"/>
              </w:rPr>
            </w:pPr>
            <w:r>
              <w:rPr>
                <w:rFonts w:hint="eastAsia" w:ascii="宋体" w:cs="宋体"/>
                <w:color w:val="auto"/>
                <w:szCs w:val="21"/>
                <w:lang w:val="en-US" w:eastAsia="zh-CN"/>
              </w:rPr>
              <w:t>4</w:t>
            </w:r>
          </w:p>
        </w:tc>
      </w:tr>
      <w:tr w14:paraId="470FE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7" w:hRule="atLeast"/>
          <w:jc w:val="center"/>
        </w:trPr>
        <w:tc>
          <w:tcPr>
            <w:tcW w:w="1259" w:type="dxa"/>
            <w:vMerge w:val="continue"/>
            <w:tcBorders>
              <w:left w:val="single" w:color="auto" w:sz="4" w:space="0"/>
              <w:right w:val="single" w:color="auto" w:sz="4" w:space="0"/>
            </w:tcBorders>
            <w:noWrap w:val="0"/>
            <w:vAlign w:val="center"/>
          </w:tcPr>
          <w:p w14:paraId="51F532A0">
            <w:pPr>
              <w:jc w:val="center"/>
              <w:rPr>
                <w:color w:val="auto"/>
              </w:rPr>
            </w:pPr>
          </w:p>
        </w:tc>
        <w:tc>
          <w:tcPr>
            <w:tcW w:w="7104" w:type="dxa"/>
            <w:tcBorders>
              <w:top w:val="single" w:color="auto" w:sz="4" w:space="0"/>
              <w:left w:val="single" w:color="auto" w:sz="4" w:space="0"/>
              <w:bottom w:val="single" w:color="auto" w:sz="4" w:space="0"/>
              <w:right w:val="single" w:color="auto" w:sz="4" w:space="0"/>
            </w:tcBorders>
            <w:noWrap w:val="0"/>
            <w:vAlign w:val="center"/>
          </w:tcPr>
          <w:p w14:paraId="4BA0F075">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Times New Roman" w:eastAsia="宋体" w:cs="宋体"/>
                <w:color w:val="auto"/>
                <w:sz w:val="21"/>
                <w:szCs w:val="18"/>
                <w:highlight w:val="none"/>
                <w:lang w:eastAsia="zh-CN"/>
              </w:rPr>
            </w:pPr>
            <w:r>
              <w:rPr>
                <w:rFonts w:hint="eastAsia" w:ascii="宋体" w:hAnsi="Times New Roman" w:cs="宋体"/>
                <w:color w:val="auto"/>
                <w:szCs w:val="18"/>
                <w:highlight w:val="none"/>
              </w:rPr>
              <w:t>违法行为环境影响程度重大或者造成公私财产损失30万元以上或者违法所得50万元以上</w:t>
            </w:r>
            <w:r>
              <w:rPr>
                <w:rFonts w:hint="eastAsia" w:ascii="宋体" w:hAnsi="Times New Roman" w:cs="宋体"/>
                <w:color w:val="auto"/>
                <w:szCs w:val="18"/>
                <w:highlight w:val="none"/>
                <w:lang w:eastAsia="zh-CN"/>
              </w:rPr>
              <w:t>的</w:t>
            </w:r>
          </w:p>
        </w:tc>
        <w:tc>
          <w:tcPr>
            <w:tcW w:w="1362" w:type="dxa"/>
            <w:tcBorders>
              <w:top w:val="single" w:color="auto" w:sz="4" w:space="0"/>
              <w:left w:val="single" w:color="auto" w:sz="4" w:space="0"/>
              <w:bottom w:val="single" w:color="auto" w:sz="4" w:space="0"/>
              <w:right w:val="single" w:color="auto" w:sz="4" w:space="0"/>
            </w:tcBorders>
            <w:noWrap w:val="0"/>
            <w:vAlign w:val="center"/>
          </w:tcPr>
          <w:p w14:paraId="17C6F038">
            <w:pPr>
              <w:jc w:val="center"/>
              <w:rPr>
                <w:rFonts w:hint="default" w:ascii="宋体" w:cs="宋体"/>
                <w:color w:val="auto"/>
                <w:szCs w:val="21"/>
                <w:lang w:val="en-US" w:eastAsia="zh-CN"/>
              </w:rPr>
            </w:pPr>
            <w:r>
              <w:rPr>
                <w:rFonts w:hint="eastAsia" w:ascii="宋体" w:cs="宋体"/>
                <w:color w:val="auto"/>
                <w:szCs w:val="21"/>
                <w:lang w:val="en-US" w:eastAsia="zh-CN"/>
              </w:rPr>
              <w:t>5</w:t>
            </w:r>
          </w:p>
        </w:tc>
      </w:tr>
      <w:tr w14:paraId="1D87A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9" w:type="dxa"/>
            <w:vMerge w:val="restart"/>
            <w:tcBorders>
              <w:top w:val="single" w:color="auto" w:sz="4" w:space="0"/>
              <w:left w:val="single" w:color="auto" w:sz="4" w:space="0"/>
              <w:bottom w:val="single" w:color="auto" w:sz="4" w:space="0"/>
              <w:right w:val="single" w:color="auto" w:sz="4" w:space="0"/>
            </w:tcBorders>
            <w:noWrap w:val="0"/>
            <w:vAlign w:val="center"/>
          </w:tcPr>
          <w:p w14:paraId="0A9FF3C8">
            <w:pPr>
              <w:jc w:val="center"/>
              <w:rPr>
                <w:rFonts w:hint="eastAsia" w:ascii="宋体" w:cs="宋体"/>
                <w:color w:val="auto"/>
                <w:szCs w:val="21"/>
              </w:rPr>
            </w:pPr>
            <w:r>
              <w:rPr>
                <w:rFonts w:hint="eastAsia" w:ascii="宋体" w:cs="宋体"/>
                <w:color w:val="auto"/>
                <w:szCs w:val="21"/>
              </w:rPr>
              <w:t>违法行为持续时间</w:t>
            </w:r>
          </w:p>
        </w:tc>
        <w:tc>
          <w:tcPr>
            <w:tcW w:w="7104" w:type="dxa"/>
            <w:tcBorders>
              <w:top w:val="single" w:color="auto" w:sz="4" w:space="0"/>
              <w:left w:val="single" w:color="auto" w:sz="4" w:space="0"/>
              <w:bottom w:val="single" w:color="auto" w:sz="4" w:space="0"/>
              <w:right w:val="single" w:color="auto" w:sz="4" w:space="0"/>
            </w:tcBorders>
            <w:noWrap w:val="0"/>
            <w:vAlign w:val="center"/>
          </w:tcPr>
          <w:p w14:paraId="3914F8FD">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cs="宋体"/>
                <w:color w:val="auto"/>
                <w:szCs w:val="21"/>
              </w:rPr>
            </w:pPr>
            <w:r>
              <w:rPr>
                <w:rFonts w:hint="eastAsia" w:ascii="宋体" w:cs="宋体"/>
                <w:color w:val="auto"/>
                <w:szCs w:val="21"/>
              </w:rPr>
              <w:t>不足1个月</w:t>
            </w:r>
          </w:p>
        </w:tc>
        <w:tc>
          <w:tcPr>
            <w:tcW w:w="1362" w:type="dxa"/>
            <w:tcBorders>
              <w:top w:val="single" w:color="auto" w:sz="4" w:space="0"/>
              <w:left w:val="single" w:color="auto" w:sz="4" w:space="0"/>
              <w:bottom w:val="single" w:color="auto" w:sz="4" w:space="0"/>
              <w:right w:val="single" w:color="auto" w:sz="4" w:space="0"/>
            </w:tcBorders>
            <w:noWrap w:val="0"/>
            <w:vAlign w:val="center"/>
          </w:tcPr>
          <w:p w14:paraId="7E31EDEB">
            <w:pPr>
              <w:jc w:val="center"/>
              <w:rPr>
                <w:rFonts w:hint="eastAsia" w:ascii="宋体" w:cs="宋体"/>
                <w:color w:val="auto"/>
                <w:szCs w:val="21"/>
              </w:rPr>
            </w:pPr>
            <w:r>
              <w:rPr>
                <w:rFonts w:hint="eastAsia" w:ascii="宋体" w:cs="宋体"/>
                <w:color w:val="auto"/>
                <w:szCs w:val="21"/>
              </w:rPr>
              <w:t>1</w:t>
            </w:r>
          </w:p>
        </w:tc>
      </w:tr>
      <w:tr w14:paraId="13531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9" w:type="dxa"/>
            <w:vMerge w:val="continue"/>
            <w:tcBorders>
              <w:top w:val="single" w:color="auto" w:sz="4" w:space="0"/>
              <w:left w:val="single" w:color="auto" w:sz="4" w:space="0"/>
              <w:bottom w:val="single" w:color="auto" w:sz="4" w:space="0"/>
              <w:right w:val="single" w:color="auto" w:sz="4" w:space="0"/>
            </w:tcBorders>
            <w:noWrap w:val="0"/>
            <w:vAlign w:val="center"/>
          </w:tcPr>
          <w:p w14:paraId="1651FC7D">
            <w:pPr>
              <w:jc w:val="center"/>
              <w:rPr>
                <w:color w:val="auto"/>
              </w:rPr>
            </w:pPr>
          </w:p>
        </w:tc>
        <w:tc>
          <w:tcPr>
            <w:tcW w:w="7104" w:type="dxa"/>
            <w:tcBorders>
              <w:top w:val="single" w:color="auto" w:sz="4" w:space="0"/>
              <w:left w:val="single" w:color="auto" w:sz="4" w:space="0"/>
              <w:bottom w:val="single" w:color="auto" w:sz="4" w:space="0"/>
              <w:right w:val="single" w:color="auto" w:sz="4" w:space="0"/>
            </w:tcBorders>
            <w:noWrap w:val="0"/>
            <w:vAlign w:val="center"/>
          </w:tcPr>
          <w:p w14:paraId="10D33E04">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cs="宋体"/>
                <w:color w:val="auto"/>
                <w:szCs w:val="21"/>
              </w:rPr>
            </w:pPr>
            <w:r>
              <w:rPr>
                <w:rFonts w:hint="eastAsia" w:ascii="宋体" w:cs="宋体"/>
                <w:color w:val="auto"/>
                <w:szCs w:val="21"/>
              </w:rPr>
              <w:t>1个月以上，不足3个月</w:t>
            </w:r>
          </w:p>
        </w:tc>
        <w:tc>
          <w:tcPr>
            <w:tcW w:w="1362" w:type="dxa"/>
            <w:tcBorders>
              <w:top w:val="single" w:color="auto" w:sz="4" w:space="0"/>
              <w:left w:val="single" w:color="auto" w:sz="4" w:space="0"/>
              <w:bottom w:val="single" w:color="auto" w:sz="4" w:space="0"/>
              <w:right w:val="single" w:color="auto" w:sz="4" w:space="0"/>
            </w:tcBorders>
            <w:noWrap w:val="0"/>
            <w:vAlign w:val="center"/>
          </w:tcPr>
          <w:p w14:paraId="0CA7C79A">
            <w:pPr>
              <w:jc w:val="center"/>
              <w:rPr>
                <w:rFonts w:hint="eastAsia" w:ascii="宋体" w:cs="宋体"/>
                <w:color w:val="auto"/>
                <w:szCs w:val="21"/>
              </w:rPr>
            </w:pPr>
            <w:r>
              <w:rPr>
                <w:rFonts w:hint="eastAsia" w:ascii="宋体" w:cs="宋体"/>
                <w:color w:val="auto"/>
                <w:szCs w:val="21"/>
              </w:rPr>
              <w:t>2</w:t>
            </w:r>
          </w:p>
        </w:tc>
      </w:tr>
      <w:tr w14:paraId="51A2C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9" w:type="dxa"/>
            <w:vMerge w:val="continue"/>
            <w:tcBorders>
              <w:top w:val="single" w:color="auto" w:sz="4" w:space="0"/>
              <w:left w:val="single" w:color="auto" w:sz="4" w:space="0"/>
              <w:bottom w:val="single" w:color="auto" w:sz="4" w:space="0"/>
              <w:right w:val="single" w:color="auto" w:sz="4" w:space="0"/>
            </w:tcBorders>
            <w:noWrap w:val="0"/>
            <w:vAlign w:val="center"/>
          </w:tcPr>
          <w:p w14:paraId="0CB07354">
            <w:pPr>
              <w:jc w:val="center"/>
              <w:rPr>
                <w:color w:val="auto"/>
              </w:rPr>
            </w:pPr>
          </w:p>
        </w:tc>
        <w:tc>
          <w:tcPr>
            <w:tcW w:w="7104" w:type="dxa"/>
            <w:tcBorders>
              <w:top w:val="single" w:color="auto" w:sz="4" w:space="0"/>
              <w:left w:val="single" w:color="auto" w:sz="4" w:space="0"/>
              <w:bottom w:val="single" w:color="auto" w:sz="4" w:space="0"/>
              <w:right w:val="single" w:color="auto" w:sz="4" w:space="0"/>
            </w:tcBorders>
            <w:noWrap w:val="0"/>
            <w:vAlign w:val="center"/>
          </w:tcPr>
          <w:p w14:paraId="097E89FE">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cs="宋体"/>
                <w:color w:val="auto"/>
                <w:szCs w:val="21"/>
              </w:rPr>
            </w:pPr>
            <w:r>
              <w:rPr>
                <w:rFonts w:hint="eastAsia" w:ascii="宋体" w:cs="宋体"/>
                <w:color w:val="auto"/>
                <w:szCs w:val="21"/>
              </w:rPr>
              <w:t>3个月以上，不足6个月</w:t>
            </w:r>
          </w:p>
        </w:tc>
        <w:tc>
          <w:tcPr>
            <w:tcW w:w="1362" w:type="dxa"/>
            <w:tcBorders>
              <w:top w:val="single" w:color="auto" w:sz="4" w:space="0"/>
              <w:left w:val="single" w:color="auto" w:sz="4" w:space="0"/>
              <w:bottom w:val="single" w:color="auto" w:sz="4" w:space="0"/>
              <w:right w:val="single" w:color="auto" w:sz="4" w:space="0"/>
            </w:tcBorders>
            <w:noWrap w:val="0"/>
            <w:vAlign w:val="center"/>
          </w:tcPr>
          <w:p w14:paraId="10A9D79A">
            <w:pPr>
              <w:jc w:val="center"/>
              <w:rPr>
                <w:rFonts w:hint="eastAsia" w:ascii="宋体" w:cs="宋体"/>
                <w:color w:val="auto"/>
                <w:szCs w:val="21"/>
              </w:rPr>
            </w:pPr>
            <w:r>
              <w:rPr>
                <w:rFonts w:hint="eastAsia" w:ascii="宋体" w:cs="宋体"/>
                <w:color w:val="auto"/>
                <w:szCs w:val="21"/>
              </w:rPr>
              <w:t>3</w:t>
            </w:r>
          </w:p>
        </w:tc>
      </w:tr>
      <w:tr w14:paraId="37E1A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59" w:type="dxa"/>
            <w:vMerge w:val="continue"/>
            <w:tcBorders>
              <w:top w:val="single" w:color="auto" w:sz="4" w:space="0"/>
              <w:left w:val="single" w:color="auto" w:sz="4" w:space="0"/>
              <w:bottom w:val="single" w:color="auto" w:sz="4" w:space="0"/>
              <w:right w:val="single" w:color="auto" w:sz="4" w:space="0"/>
            </w:tcBorders>
            <w:noWrap w:val="0"/>
            <w:vAlign w:val="center"/>
          </w:tcPr>
          <w:p w14:paraId="61B9215D">
            <w:pPr>
              <w:jc w:val="center"/>
              <w:rPr>
                <w:color w:val="auto"/>
              </w:rPr>
            </w:pPr>
          </w:p>
        </w:tc>
        <w:tc>
          <w:tcPr>
            <w:tcW w:w="7104" w:type="dxa"/>
            <w:tcBorders>
              <w:top w:val="single" w:color="auto" w:sz="4" w:space="0"/>
              <w:left w:val="single" w:color="auto" w:sz="4" w:space="0"/>
              <w:bottom w:val="single" w:color="auto" w:sz="4" w:space="0"/>
              <w:right w:val="single" w:color="auto" w:sz="4" w:space="0"/>
            </w:tcBorders>
            <w:noWrap w:val="0"/>
            <w:vAlign w:val="center"/>
          </w:tcPr>
          <w:p w14:paraId="1E6C65DC">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cs="宋体"/>
                <w:color w:val="auto"/>
                <w:szCs w:val="21"/>
              </w:rPr>
            </w:pPr>
            <w:r>
              <w:rPr>
                <w:rFonts w:hint="eastAsia" w:ascii="宋体" w:cs="宋体"/>
                <w:color w:val="auto"/>
                <w:szCs w:val="21"/>
              </w:rPr>
              <w:t>6个月以上，不足12个月</w:t>
            </w:r>
          </w:p>
        </w:tc>
        <w:tc>
          <w:tcPr>
            <w:tcW w:w="1362" w:type="dxa"/>
            <w:tcBorders>
              <w:top w:val="single" w:color="auto" w:sz="4" w:space="0"/>
              <w:left w:val="single" w:color="auto" w:sz="4" w:space="0"/>
              <w:bottom w:val="single" w:color="auto" w:sz="4" w:space="0"/>
              <w:right w:val="single" w:color="auto" w:sz="4" w:space="0"/>
            </w:tcBorders>
            <w:noWrap w:val="0"/>
            <w:vAlign w:val="center"/>
          </w:tcPr>
          <w:p w14:paraId="03A8401E">
            <w:pPr>
              <w:jc w:val="center"/>
              <w:rPr>
                <w:rFonts w:hint="eastAsia" w:ascii="宋体" w:cs="宋体"/>
                <w:color w:val="auto"/>
                <w:szCs w:val="21"/>
              </w:rPr>
            </w:pPr>
            <w:r>
              <w:rPr>
                <w:rFonts w:hint="eastAsia" w:ascii="宋体" w:cs="宋体"/>
                <w:color w:val="auto"/>
                <w:szCs w:val="21"/>
              </w:rPr>
              <w:t>4</w:t>
            </w:r>
          </w:p>
        </w:tc>
      </w:tr>
      <w:tr w14:paraId="38B1D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1259" w:type="dxa"/>
            <w:vMerge w:val="continue"/>
            <w:tcBorders>
              <w:top w:val="single" w:color="auto" w:sz="4" w:space="0"/>
              <w:left w:val="single" w:color="auto" w:sz="4" w:space="0"/>
              <w:bottom w:val="single" w:color="auto" w:sz="4" w:space="0"/>
              <w:right w:val="single" w:color="auto" w:sz="4" w:space="0"/>
            </w:tcBorders>
            <w:noWrap w:val="0"/>
            <w:vAlign w:val="center"/>
          </w:tcPr>
          <w:p w14:paraId="0CD1BFAE">
            <w:pPr>
              <w:jc w:val="center"/>
              <w:rPr>
                <w:color w:val="auto"/>
              </w:rPr>
            </w:pPr>
          </w:p>
        </w:tc>
        <w:tc>
          <w:tcPr>
            <w:tcW w:w="7104" w:type="dxa"/>
            <w:tcBorders>
              <w:top w:val="single" w:color="auto" w:sz="4" w:space="0"/>
              <w:left w:val="single" w:color="auto" w:sz="4" w:space="0"/>
              <w:bottom w:val="single" w:color="auto" w:sz="4" w:space="0"/>
              <w:right w:val="single" w:color="auto" w:sz="4" w:space="0"/>
            </w:tcBorders>
            <w:noWrap w:val="0"/>
            <w:vAlign w:val="center"/>
          </w:tcPr>
          <w:p w14:paraId="2B1E5FC8">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cs="宋体"/>
                <w:color w:val="auto"/>
                <w:szCs w:val="21"/>
              </w:rPr>
            </w:pPr>
            <w:r>
              <w:rPr>
                <w:rFonts w:hint="eastAsia" w:ascii="宋体" w:cs="宋体"/>
                <w:color w:val="auto"/>
                <w:szCs w:val="21"/>
              </w:rPr>
              <w:t>12个月以上</w:t>
            </w:r>
          </w:p>
        </w:tc>
        <w:tc>
          <w:tcPr>
            <w:tcW w:w="1362" w:type="dxa"/>
            <w:tcBorders>
              <w:top w:val="single" w:color="auto" w:sz="4" w:space="0"/>
              <w:left w:val="single" w:color="auto" w:sz="4" w:space="0"/>
              <w:bottom w:val="single" w:color="auto" w:sz="4" w:space="0"/>
              <w:right w:val="single" w:color="auto" w:sz="4" w:space="0"/>
            </w:tcBorders>
            <w:noWrap w:val="0"/>
            <w:vAlign w:val="center"/>
          </w:tcPr>
          <w:p w14:paraId="48F8D91C">
            <w:pPr>
              <w:jc w:val="center"/>
              <w:rPr>
                <w:rFonts w:hint="eastAsia" w:ascii="宋体" w:cs="宋体"/>
                <w:color w:val="auto"/>
                <w:szCs w:val="21"/>
              </w:rPr>
            </w:pPr>
            <w:r>
              <w:rPr>
                <w:rFonts w:hint="eastAsia" w:ascii="宋体" w:cs="宋体"/>
                <w:color w:val="auto"/>
                <w:szCs w:val="21"/>
              </w:rPr>
              <w:t>5</w:t>
            </w:r>
          </w:p>
        </w:tc>
      </w:tr>
      <w:tr w14:paraId="1CF0C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9" w:type="dxa"/>
            <w:vMerge w:val="restart"/>
            <w:tcBorders>
              <w:top w:val="single" w:color="auto" w:sz="4" w:space="0"/>
              <w:left w:val="single" w:color="auto" w:sz="4" w:space="0"/>
              <w:right w:val="single" w:color="auto" w:sz="4" w:space="0"/>
            </w:tcBorders>
            <w:noWrap w:val="0"/>
            <w:vAlign w:val="center"/>
          </w:tcPr>
          <w:p w14:paraId="7FA7FE54">
            <w:pPr>
              <w:jc w:val="both"/>
              <w:rPr>
                <w:rFonts w:hint="default" w:eastAsia="宋体"/>
                <w:color w:val="auto"/>
                <w:lang w:val="en-US" w:eastAsia="zh-CN"/>
              </w:rPr>
            </w:pPr>
            <w:r>
              <w:rPr>
                <w:rFonts w:hint="eastAsia"/>
                <w:color w:val="auto"/>
                <w:lang w:val="en-US" w:eastAsia="zh-CN"/>
              </w:rPr>
              <w:t>环境违法次数（两年内，含本次）</w:t>
            </w:r>
          </w:p>
        </w:tc>
        <w:tc>
          <w:tcPr>
            <w:tcW w:w="7104" w:type="dxa"/>
            <w:tcBorders>
              <w:top w:val="single" w:color="auto" w:sz="4" w:space="0"/>
              <w:left w:val="single" w:color="auto" w:sz="4" w:space="0"/>
              <w:bottom w:val="single" w:color="auto" w:sz="4" w:space="0"/>
              <w:right w:val="single" w:color="auto" w:sz="4" w:space="0"/>
            </w:tcBorders>
            <w:noWrap w:val="0"/>
            <w:vAlign w:val="center"/>
          </w:tcPr>
          <w:p w14:paraId="4C6C0170">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default" w:ascii="宋体" w:cs="宋体"/>
                <w:color w:val="auto"/>
                <w:szCs w:val="21"/>
                <w:lang w:val="en-US" w:eastAsia="zh-CN"/>
              </w:rPr>
            </w:pPr>
            <w:r>
              <w:rPr>
                <w:rFonts w:hint="eastAsia" w:ascii="宋体" w:cs="宋体"/>
                <w:color w:val="auto"/>
                <w:szCs w:val="21"/>
                <w:lang w:val="en-US" w:eastAsia="zh-CN"/>
              </w:rPr>
              <w:t>1次</w:t>
            </w:r>
          </w:p>
        </w:tc>
        <w:tc>
          <w:tcPr>
            <w:tcW w:w="1362" w:type="dxa"/>
            <w:tcBorders>
              <w:top w:val="single" w:color="auto" w:sz="4" w:space="0"/>
              <w:left w:val="single" w:color="auto" w:sz="4" w:space="0"/>
              <w:bottom w:val="single" w:color="auto" w:sz="4" w:space="0"/>
              <w:right w:val="single" w:color="auto" w:sz="4" w:space="0"/>
            </w:tcBorders>
            <w:noWrap w:val="0"/>
            <w:vAlign w:val="center"/>
          </w:tcPr>
          <w:p w14:paraId="62AA9F2A">
            <w:pPr>
              <w:jc w:val="center"/>
              <w:rPr>
                <w:rFonts w:hint="default" w:ascii="宋体" w:cs="宋体"/>
                <w:color w:val="auto"/>
                <w:szCs w:val="21"/>
                <w:lang w:val="en-US" w:eastAsia="zh-CN"/>
              </w:rPr>
            </w:pPr>
            <w:r>
              <w:rPr>
                <w:rFonts w:hint="eastAsia" w:ascii="宋体" w:cs="宋体"/>
                <w:color w:val="auto"/>
                <w:szCs w:val="21"/>
                <w:lang w:val="en-US" w:eastAsia="zh-CN"/>
              </w:rPr>
              <w:t>1</w:t>
            </w:r>
          </w:p>
        </w:tc>
      </w:tr>
      <w:tr w14:paraId="3279F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9" w:type="dxa"/>
            <w:vMerge w:val="continue"/>
            <w:tcBorders>
              <w:left w:val="single" w:color="auto" w:sz="4" w:space="0"/>
              <w:right w:val="single" w:color="auto" w:sz="4" w:space="0"/>
            </w:tcBorders>
            <w:noWrap w:val="0"/>
            <w:vAlign w:val="center"/>
          </w:tcPr>
          <w:p w14:paraId="3DAA189B">
            <w:pPr>
              <w:jc w:val="center"/>
              <w:rPr>
                <w:color w:val="auto"/>
              </w:rPr>
            </w:pPr>
          </w:p>
        </w:tc>
        <w:tc>
          <w:tcPr>
            <w:tcW w:w="7104" w:type="dxa"/>
            <w:tcBorders>
              <w:top w:val="single" w:color="auto" w:sz="4" w:space="0"/>
              <w:left w:val="single" w:color="auto" w:sz="4" w:space="0"/>
              <w:bottom w:val="single" w:color="auto" w:sz="4" w:space="0"/>
              <w:right w:val="single" w:color="auto" w:sz="4" w:space="0"/>
            </w:tcBorders>
            <w:noWrap w:val="0"/>
            <w:vAlign w:val="center"/>
          </w:tcPr>
          <w:p w14:paraId="328CF35A">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default" w:ascii="宋体" w:cs="宋体"/>
                <w:color w:val="auto"/>
                <w:szCs w:val="21"/>
                <w:lang w:val="en-US" w:eastAsia="zh-CN"/>
              </w:rPr>
            </w:pPr>
            <w:r>
              <w:rPr>
                <w:rFonts w:hint="eastAsia" w:ascii="宋体" w:cs="宋体"/>
                <w:color w:val="auto"/>
                <w:szCs w:val="21"/>
                <w:lang w:val="en-US" w:eastAsia="zh-CN"/>
              </w:rPr>
              <w:t>2次</w:t>
            </w:r>
          </w:p>
        </w:tc>
        <w:tc>
          <w:tcPr>
            <w:tcW w:w="1362" w:type="dxa"/>
            <w:tcBorders>
              <w:top w:val="single" w:color="auto" w:sz="4" w:space="0"/>
              <w:left w:val="single" w:color="auto" w:sz="4" w:space="0"/>
              <w:bottom w:val="single" w:color="auto" w:sz="4" w:space="0"/>
              <w:right w:val="single" w:color="auto" w:sz="4" w:space="0"/>
            </w:tcBorders>
            <w:noWrap w:val="0"/>
            <w:vAlign w:val="center"/>
          </w:tcPr>
          <w:p w14:paraId="4C012242">
            <w:pPr>
              <w:jc w:val="center"/>
              <w:rPr>
                <w:rFonts w:hint="default" w:ascii="宋体" w:cs="宋体"/>
                <w:color w:val="auto"/>
                <w:szCs w:val="21"/>
                <w:lang w:val="en-US" w:eastAsia="zh-CN"/>
              </w:rPr>
            </w:pPr>
            <w:r>
              <w:rPr>
                <w:rFonts w:hint="eastAsia" w:ascii="宋体" w:cs="宋体"/>
                <w:color w:val="auto"/>
                <w:szCs w:val="21"/>
                <w:lang w:val="en-US" w:eastAsia="zh-CN"/>
              </w:rPr>
              <w:t>2</w:t>
            </w:r>
          </w:p>
        </w:tc>
      </w:tr>
      <w:tr w14:paraId="14CDA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9" w:type="dxa"/>
            <w:vMerge w:val="continue"/>
            <w:tcBorders>
              <w:left w:val="single" w:color="auto" w:sz="4" w:space="0"/>
              <w:right w:val="single" w:color="auto" w:sz="4" w:space="0"/>
            </w:tcBorders>
            <w:noWrap w:val="0"/>
            <w:vAlign w:val="center"/>
          </w:tcPr>
          <w:p w14:paraId="365A2698">
            <w:pPr>
              <w:jc w:val="center"/>
              <w:rPr>
                <w:color w:val="auto"/>
              </w:rPr>
            </w:pPr>
          </w:p>
        </w:tc>
        <w:tc>
          <w:tcPr>
            <w:tcW w:w="7104" w:type="dxa"/>
            <w:tcBorders>
              <w:top w:val="single" w:color="auto" w:sz="4" w:space="0"/>
              <w:left w:val="single" w:color="auto" w:sz="4" w:space="0"/>
              <w:bottom w:val="single" w:color="auto" w:sz="4" w:space="0"/>
              <w:right w:val="single" w:color="auto" w:sz="4" w:space="0"/>
            </w:tcBorders>
            <w:noWrap w:val="0"/>
            <w:vAlign w:val="center"/>
          </w:tcPr>
          <w:p w14:paraId="7945420F">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default" w:ascii="宋体" w:cs="宋体"/>
                <w:color w:val="auto"/>
                <w:szCs w:val="21"/>
                <w:lang w:val="en-US" w:eastAsia="zh-CN"/>
              </w:rPr>
            </w:pPr>
            <w:r>
              <w:rPr>
                <w:rFonts w:hint="eastAsia" w:ascii="宋体" w:cs="宋体"/>
                <w:color w:val="auto"/>
                <w:szCs w:val="21"/>
                <w:lang w:val="en-US" w:eastAsia="zh-CN"/>
              </w:rPr>
              <w:t>3次</w:t>
            </w:r>
          </w:p>
        </w:tc>
        <w:tc>
          <w:tcPr>
            <w:tcW w:w="1362" w:type="dxa"/>
            <w:tcBorders>
              <w:top w:val="single" w:color="auto" w:sz="4" w:space="0"/>
              <w:left w:val="single" w:color="auto" w:sz="4" w:space="0"/>
              <w:bottom w:val="single" w:color="auto" w:sz="4" w:space="0"/>
              <w:right w:val="single" w:color="auto" w:sz="4" w:space="0"/>
            </w:tcBorders>
            <w:noWrap w:val="0"/>
            <w:vAlign w:val="center"/>
          </w:tcPr>
          <w:p w14:paraId="7803AD21">
            <w:pPr>
              <w:jc w:val="center"/>
              <w:rPr>
                <w:rFonts w:hint="default" w:ascii="宋体" w:cs="宋体"/>
                <w:color w:val="auto"/>
                <w:szCs w:val="21"/>
                <w:lang w:val="en-US" w:eastAsia="zh-CN"/>
              </w:rPr>
            </w:pPr>
            <w:r>
              <w:rPr>
                <w:rFonts w:hint="eastAsia" w:ascii="宋体" w:cs="宋体"/>
                <w:color w:val="auto"/>
                <w:szCs w:val="21"/>
                <w:lang w:val="en-US" w:eastAsia="zh-CN"/>
              </w:rPr>
              <w:t>3</w:t>
            </w:r>
          </w:p>
        </w:tc>
      </w:tr>
      <w:tr w14:paraId="33E84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9" w:type="dxa"/>
            <w:vMerge w:val="continue"/>
            <w:tcBorders>
              <w:left w:val="single" w:color="auto" w:sz="4" w:space="0"/>
              <w:bottom w:val="single" w:color="auto" w:sz="4" w:space="0"/>
              <w:right w:val="single" w:color="auto" w:sz="4" w:space="0"/>
            </w:tcBorders>
            <w:noWrap w:val="0"/>
            <w:vAlign w:val="center"/>
          </w:tcPr>
          <w:p w14:paraId="0AE8214A">
            <w:pPr>
              <w:jc w:val="center"/>
              <w:rPr>
                <w:color w:val="auto"/>
              </w:rPr>
            </w:pPr>
          </w:p>
        </w:tc>
        <w:tc>
          <w:tcPr>
            <w:tcW w:w="7104" w:type="dxa"/>
            <w:tcBorders>
              <w:top w:val="single" w:color="auto" w:sz="4" w:space="0"/>
              <w:left w:val="single" w:color="auto" w:sz="4" w:space="0"/>
              <w:bottom w:val="single" w:color="auto" w:sz="4" w:space="0"/>
              <w:right w:val="single" w:color="auto" w:sz="4" w:space="0"/>
            </w:tcBorders>
            <w:noWrap w:val="0"/>
            <w:vAlign w:val="center"/>
          </w:tcPr>
          <w:p w14:paraId="38EA3D45">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default" w:ascii="宋体" w:cs="宋体"/>
                <w:color w:val="auto"/>
                <w:szCs w:val="21"/>
                <w:lang w:val="en-US" w:eastAsia="zh-CN"/>
              </w:rPr>
            </w:pPr>
            <w:r>
              <w:rPr>
                <w:rFonts w:hint="eastAsia" w:ascii="宋体" w:cs="宋体"/>
                <w:color w:val="auto"/>
                <w:szCs w:val="21"/>
                <w:lang w:val="en-US" w:eastAsia="zh-CN"/>
              </w:rPr>
              <w:t>4次以上</w:t>
            </w:r>
          </w:p>
        </w:tc>
        <w:tc>
          <w:tcPr>
            <w:tcW w:w="1362" w:type="dxa"/>
            <w:tcBorders>
              <w:top w:val="single" w:color="auto" w:sz="4" w:space="0"/>
              <w:left w:val="single" w:color="auto" w:sz="4" w:space="0"/>
              <w:bottom w:val="single" w:color="auto" w:sz="4" w:space="0"/>
              <w:right w:val="single" w:color="auto" w:sz="4" w:space="0"/>
            </w:tcBorders>
            <w:noWrap w:val="0"/>
            <w:vAlign w:val="center"/>
          </w:tcPr>
          <w:p w14:paraId="54181CB1">
            <w:pPr>
              <w:jc w:val="center"/>
              <w:rPr>
                <w:rFonts w:hint="default" w:ascii="宋体" w:cs="宋体"/>
                <w:color w:val="auto"/>
                <w:szCs w:val="21"/>
                <w:lang w:val="en-US" w:eastAsia="zh-CN"/>
              </w:rPr>
            </w:pPr>
            <w:r>
              <w:rPr>
                <w:rFonts w:hint="eastAsia" w:ascii="宋体" w:cs="宋体"/>
                <w:color w:val="auto"/>
                <w:szCs w:val="21"/>
                <w:lang w:val="en-US" w:eastAsia="zh-CN"/>
              </w:rPr>
              <w:t>5</w:t>
            </w:r>
          </w:p>
        </w:tc>
      </w:tr>
      <w:tr w14:paraId="7C6F8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9" w:type="dxa"/>
            <w:vMerge w:val="restart"/>
            <w:tcBorders>
              <w:left w:val="single" w:color="auto" w:sz="4" w:space="0"/>
              <w:right w:val="single" w:color="auto" w:sz="4" w:space="0"/>
            </w:tcBorders>
            <w:noWrap w:val="0"/>
            <w:vAlign w:val="center"/>
          </w:tcPr>
          <w:p w14:paraId="6A3CB098">
            <w:pPr>
              <w:jc w:val="center"/>
              <w:rPr>
                <w:rFonts w:hint="default" w:eastAsia="宋体"/>
                <w:color w:val="auto"/>
                <w:lang w:val="en-US" w:eastAsia="zh-CN"/>
              </w:rPr>
            </w:pPr>
            <w:r>
              <w:rPr>
                <w:rFonts w:hint="eastAsia"/>
                <w:color w:val="auto"/>
                <w:lang w:val="en-US" w:eastAsia="zh-CN"/>
              </w:rPr>
              <w:t>对周边居民、单位等的影响</w:t>
            </w:r>
          </w:p>
        </w:tc>
        <w:tc>
          <w:tcPr>
            <w:tcW w:w="7104" w:type="dxa"/>
            <w:tcBorders>
              <w:top w:val="single" w:color="auto" w:sz="4" w:space="0"/>
              <w:left w:val="single" w:color="auto" w:sz="4" w:space="0"/>
              <w:bottom w:val="single" w:color="auto" w:sz="4" w:space="0"/>
              <w:right w:val="single" w:color="auto" w:sz="4" w:space="0"/>
            </w:tcBorders>
            <w:noWrap w:val="0"/>
            <w:vAlign w:val="center"/>
          </w:tcPr>
          <w:p w14:paraId="0E329634">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default" w:ascii="宋体" w:cs="宋体"/>
                <w:color w:val="auto"/>
                <w:szCs w:val="21"/>
                <w:lang w:val="en-US" w:eastAsia="zh-CN"/>
              </w:rPr>
            </w:pPr>
            <w:r>
              <w:rPr>
                <w:rFonts w:hint="eastAsia" w:ascii="宋体" w:cs="宋体"/>
                <w:color w:val="auto"/>
                <w:szCs w:val="21"/>
                <w:lang w:val="en-US" w:eastAsia="zh-CN"/>
              </w:rPr>
              <w:t>未发现对周边生产经营、生活造成不良影响</w:t>
            </w:r>
          </w:p>
        </w:tc>
        <w:tc>
          <w:tcPr>
            <w:tcW w:w="1362" w:type="dxa"/>
            <w:tcBorders>
              <w:top w:val="single" w:color="auto" w:sz="4" w:space="0"/>
              <w:left w:val="single" w:color="auto" w:sz="4" w:space="0"/>
              <w:bottom w:val="single" w:color="auto" w:sz="4" w:space="0"/>
              <w:right w:val="single" w:color="auto" w:sz="4" w:space="0"/>
            </w:tcBorders>
            <w:noWrap w:val="0"/>
            <w:vAlign w:val="center"/>
          </w:tcPr>
          <w:p w14:paraId="7E0FA04E">
            <w:pPr>
              <w:jc w:val="center"/>
              <w:rPr>
                <w:rFonts w:hint="default" w:ascii="宋体" w:cs="宋体"/>
                <w:color w:val="auto"/>
                <w:szCs w:val="21"/>
                <w:lang w:val="en-US" w:eastAsia="zh-CN"/>
              </w:rPr>
            </w:pPr>
            <w:r>
              <w:rPr>
                <w:rFonts w:hint="eastAsia" w:ascii="宋体" w:cs="宋体"/>
                <w:color w:val="auto"/>
                <w:szCs w:val="21"/>
                <w:lang w:val="en-US" w:eastAsia="zh-CN"/>
              </w:rPr>
              <w:t>1</w:t>
            </w:r>
          </w:p>
        </w:tc>
      </w:tr>
      <w:tr w14:paraId="1B102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9" w:type="dxa"/>
            <w:vMerge w:val="continue"/>
            <w:tcBorders>
              <w:left w:val="single" w:color="auto" w:sz="4" w:space="0"/>
              <w:right w:val="single" w:color="auto" w:sz="4" w:space="0"/>
            </w:tcBorders>
            <w:noWrap w:val="0"/>
            <w:vAlign w:val="center"/>
          </w:tcPr>
          <w:p w14:paraId="045C7FD7">
            <w:pPr>
              <w:rPr>
                <w:color w:val="auto"/>
              </w:rPr>
            </w:pPr>
          </w:p>
        </w:tc>
        <w:tc>
          <w:tcPr>
            <w:tcW w:w="7104" w:type="dxa"/>
            <w:tcBorders>
              <w:top w:val="single" w:color="auto" w:sz="4" w:space="0"/>
              <w:left w:val="single" w:color="auto" w:sz="4" w:space="0"/>
              <w:bottom w:val="single" w:color="auto" w:sz="4" w:space="0"/>
              <w:right w:val="single" w:color="auto" w:sz="4" w:space="0"/>
            </w:tcBorders>
            <w:noWrap w:val="0"/>
            <w:vAlign w:val="center"/>
          </w:tcPr>
          <w:p w14:paraId="09EBA165">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default" w:ascii="宋体" w:cs="宋体"/>
                <w:color w:val="auto"/>
                <w:szCs w:val="21"/>
                <w:lang w:val="en-US" w:eastAsia="zh-CN"/>
              </w:rPr>
            </w:pPr>
            <w:r>
              <w:rPr>
                <w:rFonts w:hint="eastAsia" w:ascii="宋体" w:cs="宋体"/>
                <w:color w:val="auto"/>
                <w:szCs w:val="21"/>
                <w:lang w:val="en-US" w:eastAsia="zh-CN"/>
              </w:rPr>
              <w:t>对周边生产经营、生活有较轻影响</w:t>
            </w:r>
          </w:p>
        </w:tc>
        <w:tc>
          <w:tcPr>
            <w:tcW w:w="1362" w:type="dxa"/>
            <w:tcBorders>
              <w:top w:val="single" w:color="auto" w:sz="4" w:space="0"/>
              <w:left w:val="single" w:color="auto" w:sz="4" w:space="0"/>
              <w:bottom w:val="single" w:color="auto" w:sz="4" w:space="0"/>
              <w:right w:val="single" w:color="auto" w:sz="4" w:space="0"/>
            </w:tcBorders>
            <w:noWrap w:val="0"/>
            <w:vAlign w:val="center"/>
          </w:tcPr>
          <w:p w14:paraId="4B200807">
            <w:pPr>
              <w:jc w:val="center"/>
              <w:rPr>
                <w:rFonts w:hint="default" w:ascii="宋体" w:cs="宋体"/>
                <w:color w:val="auto"/>
                <w:szCs w:val="21"/>
                <w:lang w:val="en-US" w:eastAsia="zh-CN"/>
              </w:rPr>
            </w:pPr>
            <w:r>
              <w:rPr>
                <w:rFonts w:hint="eastAsia" w:ascii="宋体" w:cs="宋体"/>
                <w:color w:val="auto"/>
                <w:szCs w:val="21"/>
                <w:lang w:val="en-US" w:eastAsia="zh-CN"/>
              </w:rPr>
              <w:t>3</w:t>
            </w:r>
          </w:p>
        </w:tc>
      </w:tr>
      <w:tr w14:paraId="6EA09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9" w:type="dxa"/>
            <w:vMerge w:val="continue"/>
            <w:tcBorders>
              <w:left w:val="single" w:color="auto" w:sz="4" w:space="0"/>
              <w:bottom w:val="single" w:color="auto" w:sz="4" w:space="0"/>
              <w:right w:val="single" w:color="auto" w:sz="4" w:space="0"/>
            </w:tcBorders>
            <w:noWrap w:val="0"/>
            <w:vAlign w:val="center"/>
          </w:tcPr>
          <w:p w14:paraId="7E589EAB">
            <w:pPr>
              <w:rPr>
                <w:color w:val="auto"/>
              </w:rPr>
            </w:pPr>
          </w:p>
        </w:tc>
        <w:tc>
          <w:tcPr>
            <w:tcW w:w="7104" w:type="dxa"/>
            <w:tcBorders>
              <w:top w:val="single" w:color="auto" w:sz="4" w:space="0"/>
              <w:left w:val="single" w:color="auto" w:sz="4" w:space="0"/>
              <w:bottom w:val="single" w:color="auto" w:sz="4" w:space="0"/>
              <w:right w:val="single" w:color="auto" w:sz="4" w:space="0"/>
            </w:tcBorders>
            <w:noWrap w:val="0"/>
            <w:vAlign w:val="center"/>
          </w:tcPr>
          <w:p w14:paraId="5F5AEF5B">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default" w:ascii="宋体" w:cs="宋体"/>
                <w:color w:val="auto"/>
                <w:szCs w:val="21"/>
                <w:lang w:val="en-US" w:eastAsia="zh-CN"/>
              </w:rPr>
            </w:pPr>
            <w:r>
              <w:rPr>
                <w:rFonts w:hint="eastAsia" w:ascii="宋体" w:cs="宋体"/>
                <w:color w:val="auto"/>
                <w:szCs w:val="21"/>
                <w:lang w:val="en-US" w:eastAsia="zh-CN"/>
              </w:rPr>
              <w:t>对周边生产经营、生活造成较大影响</w:t>
            </w:r>
          </w:p>
        </w:tc>
        <w:tc>
          <w:tcPr>
            <w:tcW w:w="1362" w:type="dxa"/>
            <w:tcBorders>
              <w:top w:val="single" w:color="auto" w:sz="4" w:space="0"/>
              <w:left w:val="single" w:color="auto" w:sz="4" w:space="0"/>
              <w:bottom w:val="single" w:color="auto" w:sz="4" w:space="0"/>
              <w:right w:val="single" w:color="auto" w:sz="4" w:space="0"/>
            </w:tcBorders>
            <w:noWrap w:val="0"/>
            <w:vAlign w:val="center"/>
          </w:tcPr>
          <w:p w14:paraId="6FCA33EF">
            <w:pPr>
              <w:jc w:val="center"/>
              <w:rPr>
                <w:rFonts w:hint="default" w:ascii="宋体" w:cs="宋体"/>
                <w:color w:val="auto"/>
                <w:szCs w:val="21"/>
                <w:lang w:val="en-US" w:eastAsia="zh-CN"/>
              </w:rPr>
            </w:pPr>
            <w:r>
              <w:rPr>
                <w:rFonts w:hint="eastAsia" w:ascii="宋体" w:cs="宋体"/>
                <w:color w:val="auto"/>
                <w:szCs w:val="21"/>
                <w:lang w:val="en-US" w:eastAsia="zh-CN"/>
              </w:rPr>
              <w:t>5</w:t>
            </w:r>
          </w:p>
        </w:tc>
      </w:tr>
    </w:tbl>
    <w:p w14:paraId="21C11208">
      <w:pPr>
        <w:pStyle w:val="13"/>
        <w:keepNext w:val="0"/>
        <w:keepLines w:val="0"/>
        <w:pageBreakBefore w:val="0"/>
        <w:widowControl w:val="0"/>
        <w:kinsoku/>
        <w:wordWrap/>
        <w:overflowPunct/>
        <w:topLinePunct w:val="0"/>
        <w:autoSpaceDE/>
        <w:autoSpaceDN/>
        <w:bidi w:val="0"/>
        <w:adjustRightInd w:val="0"/>
        <w:snapToGrid w:val="0"/>
        <w:spacing w:before="0" w:after="0" w:line="360" w:lineRule="auto"/>
        <w:ind w:left="0" w:firstLine="560" w:firstLineChars="200"/>
        <w:textAlignment w:val="auto"/>
        <w:outlineLvl w:val="1"/>
        <w:rPr>
          <w:rFonts w:hint="eastAsia" w:ascii="宋体"/>
          <w:bCs w:val="0"/>
          <w:color w:val="auto"/>
        </w:rPr>
      </w:pPr>
      <w:r>
        <w:rPr>
          <w:rFonts w:hint="eastAsia" w:ascii="宋体"/>
          <w:bCs w:val="0"/>
          <w:color w:val="auto"/>
        </w:rPr>
        <w:br w:type="page"/>
      </w:r>
      <w:r>
        <w:rPr>
          <w:rStyle w:val="14"/>
          <w:rFonts w:hint="eastAsia" w:ascii="黑体" w:hAnsi="黑体" w:eastAsia="黑体" w:cs="黑体"/>
          <w:b w:val="0"/>
          <w:bCs w:val="0"/>
          <w:color w:val="auto"/>
          <w:kern w:val="0"/>
          <w:sz w:val="28"/>
          <w:szCs w:val="22"/>
        </w:rPr>
        <w:t>二、违法行为修正裁量基准表</w:t>
      </w:r>
    </w:p>
    <w:p w14:paraId="210C0C6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color w:val="auto"/>
          <w:sz w:val="24"/>
          <w:szCs w:val="24"/>
        </w:rPr>
      </w:pPr>
      <w:r>
        <w:rPr>
          <w:rFonts w:hint="eastAsia" w:ascii="宋体"/>
          <w:color w:val="auto"/>
          <w:sz w:val="24"/>
          <w:lang w:val="en-US" w:eastAsia="zh-CN"/>
        </w:rPr>
        <w:t>1.</w:t>
      </w:r>
      <w:r>
        <w:rPr>
          <w:rFonts w:hint="eastAsia" w:ascii="宋体"/>
          <w:color w:val="auto"/>
          <w:sz w:val="24"/>
        </w:rPr>
        <w:t>下列表格用数值表示裁量因子不同的裁量等级</w:t>
      </w:r>
      <w:r>
        <w:rPr>
          <w:rFonts w:hint="eastAsia" w:ascii="宋体"/>
          <w:color w:val="auto"/>
          <w:sz w:val="24"/>
          <w:szCs w:val="24"/>
        </w:rPr>
        <w:t>。</w:t>
      </w:r>
    </w:p>
    <w:p w14:paraId="0B598F3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color w:val="auto"/>
          <w:sz w:val="24"/>
        </w:rPr>
      </w:pPr>
      <w:r>
        <w:rPr>
          <w:rFonts w:hint="eastAsia" w:ascii="宋体"/>
          <w:color w:val="auto"/>
          <w:sz w:val="24"/>
          <w:szCs w:val="24"/>
          <w:lang w:val="en-US" w:eastAsia="zh-CN"/>
        </w:rPr>
        <w:t>2.</w:t>
      </w:r>
      <w:r>
        <w:rPr>
          <w:rFonts w:hint="eastAsia" w:ascii="宋体"/>
          <w:color w:val="auto"/>
          <w:sz w:val="24"/>
        </w:rPr>
        <w:t>本表所涉及的裁量因素为非必选项。</w:t>
      </w:r>
    </w:p>
    <w:p w14:paraId="063C8EB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宋体" w:eastAsia="宋体"/>
          <w:color w:val="auto"/>
          <w:sz w:val="24"/>
          <w:lang w:val="en-US" w:eastAsia="zh-CN"/>
        </w:rPr>
      </w:pPr>
      <w:r>
        <w:rPr>
          <w:rFonts w:hint="eastAsia" w:ascii="宋体"/>
          <w:color w:val="auto"/>
          <w:sz w:val="24"/>
          <w:lang w:val="en-US" w:eastAsia="zh-CN"/>
        </w:rPr>
        <w:t>3.</w:t>
      </w:r>
      <w:r>
        <w:rPr>
          <w:rFonts w:hint="eastAsia" w:ascii="宋体"/>
          <w:color w:val="auto"/>
          <w:sz w:val="24"/>
          <w:szCs w:val="24"/>
        </w:rPr>
        <w:t>生态环境违法行为根据查明的事实适用此表。</w:t>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11"/>
        <w:gridCol w:w="5576"/>
        <w:gridCol w:w="1461"/>
      </w:tblGrid>
      <w:tr w14:paraId="547A8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1911" w:type="dxa"/>
            <w:noWrap w:val="0"/>
            <w:vAlign w:val="center"/>
          </w:tcPr>
          <w:p w14:paraId="3E28A904">
            <w:pPr>
              <w:jc w:val="center"/>
              <w:rPr>
                <w:rFonts w:hint="eastAsia" w:ascii="宋体" w:cs="宋体"/>
                <w:b/>
                <w:bCs/>
                <w:color w:val="auto"/>
                <w:szCs w:val="21"/>
              </w:rPr>
            </w:pPr>
            <w:r>
              <w:rPr>
                <w:rFonts w:hint="eastAsia" w:ascii="宋体" w:cs="宋体"/>
                <w:b/>
                <w:bCs/>
                <w:color w:val="auto"/>
                <w:szCs w:val="21"/>
              </w:rPr>
              <w:t>修正因素</w:t>
            </w:r>
          </w:p>
        </w:tc>
        <w:tc>
          <w:tcPr>
            <w:tcW w:w="5576" w:type="dxa"/>
            <w:noWrap w:val="0"/>
            <w:vAlign w:val="center"/>
          </w:tcPr>
          <w:p w14:paraId="4525F156">
            <w:pPr>
              <w:jc w:val="center"/>
              <w:rPr>
                <w:rFonts w:hint="eastAsia" w:ascii="宋体" w:cs="宋体"/>
                <w:b/>
                <w:bCs/>
                <w:color w:val="auto"/>
                <w:szCs w:val="21"/>
              </w:rPr>
            </w:pPr>
            <w:r>
              <w:rPr>
                <w:rFonts w:hint="eastAsia" w:ascii="宋体" w:cs="宋体"/>
                <w:b/>
                <w:bCs/>
                <w:color w:val="auto"/>
                <w:szCs w:val="21"/>
              </w:rPr>
              <w:t>裁量因子</w:t>
            </w:r>
          </w:p>
        </w:tc>
        <w:tc>
          <w:tcPr>
            <w:tcW w:w="1461" w:type="dxa"/>
            <w:noWrap w:val="0"/>
            <w:vAlign w:val="center"/>
          </w:tcPr>
          <w:p w14:paraId="3B063DD0">
            <w:pPr>
              <w:jc w:val="center"/>
              <w:rPr>
                <w:rFonts w:hint="eastAsia" w:ascii="宋体" w:cs="宋体"/>
                <w:b/>
                <w:bCs/>
                <w:color w:val="auto"/>
                <w:szCs w:val="21"/>
              </w:rPr>
            </w:pPr>
            <w:r>
              <w:rPr>
                <w:rFonts w:hint="eastAsia" w:ascii="宋体" w:cs="宋体"/>
                <w:b/>
                <w:bCs/>
                <w:color w:val="auto"/>
                <w:szCs w:val="21"/>
              </w:rPr>
              <w:t>裁量等级</w:t>
            </w:r>
          </w:p>
        </w:tc>
      </w:tr>
      <w:tr w14:paraId="13002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1911" w:type="dxa"/>
            <w:vMerge w:val="restart"/>
            <w:noWrap w:val="0"/>
            <w:vAlign w:val="center"/>
          </w:tcPr>
          <w:p w14:paraId="0138C716">
            <w:pPr>
              <w:jc w:val="center"/>
              <w:rPr>
                <w:rFonts w:hint="eastAsia" w:ascii="宋体" w:cs="宋体"/>
                <w:color w:val="auto"/>
                <w:szCs w:val="21"/>
              </w:rPr>
            </w:pPr>
            <w:r>
              <w:rPr>
                <w:rFonts w:hint="eastAsia" w:ascii="宋体" w:cs="宋体"/>
                <w:color w:val="auto"/>
                <w:szCs w:val="21"/>
              </w:rPr>
              <w:t>对违法行为的改正态度</w:t>
            </w:r>
          </w:p>
        </w:tc>
        <w:tc>
          <w:tcPr>
            <w:tcW w:w="5576" w:type="dxa"/>
            <w:noWrap w:val="0"/>
            <w:vAlign w:val="center"/>
          </w:tcPr>
          <w:p w14:paraId="2F9AE82E">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cs="宋体"/>
                <w:color w:val="auto"/>
                <w:szCs w:val="21"/>
              </w:rPr>
            </w:pPr>
            <w:r>
              <w:rPr>
                <w:rFonts w:hint="eastAsia" w:ascii="宋体" w:cs="宋体"/>
                <w:color w:val="auto"/>
                <w:szCs w:val="21"/>
              </w:rPr>
              <w:t>采取</w:t>
            </w:r>
            <w:r>
              <w:rPr>
                <w:rFonts w:hint="eastAsia" w:ascii="宋体" w:cs="宋体"/>
                <w:color w:val="auto"/>
                <w:szCs w:val="21"/>
                <w:lang w:val="en-US" w:eastAsia="zh-CN"/>
              </w:rPr>
              <w:t>整改</w:t>
            </w:r>
            <w:r>
              <w:rPr>
                <w:rFonts w:hint="eastAsia" w:ascii="宋体" w:cs="宋体"/>
                <w:color w:val="auto"/>
                <w:szCs w:val="21"/>
              </w:rPr>
              <w:t>措施，消除环境影响</w:t>
            </w:r>
            <w:r>
              <w:rPr>
                <w:rFonts w:hint="eastAsia" w:ascii="宋体" w:cs="宋体"/>
                <w:color w:val="auto"/>
                <w:szCs w:val="21"/>
                <w:lang w:val="en-US" w:eastAsia="zh-CN"/>
              </w:rPr>
              <w:t>或者</w:t>
            </w:r>
            <w:r>
              <w:rPr>
                <w:rFonts w:hint="eastAsia" w:ascii="宋体" w:cs="宋体"/>
                <w:color w:val="auto"/>
                <w:szCs w:val="21"/>
              </w:rPr>
              <w:t>恢复原状</w:t>
            </w:r>
          </w:p>
        </w:tc>
        <w:tc>
          <w:tcPr>
            <w:tcW w:w="1461" w:type="dxa"/>
            <w:noWrap w:val="0"/>
            <w:vAlign w:val="center"/>
          </w:tcPr>
          <w:p w14:paraId="17EFEE4A">
            <w:pPr>
              <w:jc w:val="center"/>
              <w:rPr>
                <w:rFonts w:hint="eastAsia" w:ascii="宋体" w:cs="宋体"/>
                <w:color w:val="auto"/>
                <w:szCs w:val="21"/>
              </w:rPr>
            </w:pPr>
            <w:r>
              <w:rPr>
                <w:rFonts w:hint="eastAsia" w:ascii="宋体" w:cs="宋体"/>
                <w:color w:val="auto"/>
                <w:szCs w:val="21"/>
              </w:rPr>
              <w:t>-2</w:t>
            </w:r>
          </w:p>
        </w:tc>
      </w:tr>
      <w:tr w14:paraId="304AC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911" w:type="dxa"/>
            <w:vMerge w:val="continue"/>
            <w:noWrap w:val="0"/>
            <w:vAlign w:val="top"/>
          </w:tcPr>
          <w:p w14:paraId="46A88015">
            <w:pPr>
              <w:rPr>
                <w:color w:val="auto"/>
              </w:rPr>
            </w:pPr>
          </w:p>
        </w:tc>
        <w:tc>
          <w:tcPr>
            <w:tcW w:w="5576" w:type="dxa"/>
            <w:noWrap w:val="0"/>
            <w:vAlign w:val="center"/>
          </w:tcPr>
          <w:p w14:paraId="0ACAB7A6">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cs="宋体"/>
                <w:color w:val="auto"/>
                <w:szCs w:val="21"/>
              </w:rPr>
            </w:pPr>
            <w:r>
              <w:rPr>
                <w:rFonts w:hint="eastAsia" w:ascii="宋体" w:cs="宋体"/>
                <w:color w:val="auto"/>
                <w:szCs w:val="21"/>
              </w:rPr>
              <w:t>采取</w:t>
            </w:r>
            <w:r>
              <w:rPr>
                <w:rFonts w:hint="eastAsia" w:ascii="宋体" w:cs="宋体"/>
                <w:color w:val="auto"/>
                <w:szCs w:val="21"/>
                <w:lang w:val="en-US" w:eastAsia="zh-CN"/>
              </w:rPr>
              <w:t>整改</w:t>
            </w:r>
            <w:r>
              <w:rPr>
                <w:rFonts w:hint="eastAsia" w:ascii="宋体" w:cs="宋体"/>
                <w:color w:val="auto"/>
                <w:szCs w:val="21"/>
              </w:rPr>
              <w:t>措施，减轻环境影响</w:t>
            </w:r>
            <w:r>
              <w:rPr>
                <w:rFonts w:hint="eastAsia" w:ascii="宋体" w:cs="宋体"/>
                <w:color w:val="auto"/>
                <w:szCs w:val="21"/>
                <w:lang w:val="en-US" w:eastAsia="zh-CN"/>
              </w:rPr>
              <w:t>或者</w:t>
            </w:r>
            <w:r>
              <w:rPr>
                <w:rFonts w:hint="eastAsia" w:ascii="宋体" w:hAnsi="Times New Roman" w:eastAsia="宋体" w:cs="宋体"/>
                <w:color w:val="auto"/>
                <w:szCs w:val="21"/>
              </w:rPr>
              <w:t>环境影响未扩大</w:t>
            </w:r>
          </w:p>
        </w:tc>
        <w:tc>
          <w:tcPr>
            <w:tcW w:w="1461" w:type="dxa"/>
            <w:noWrap w:val="0"/>
            <w:vAlign w:val="center"/>
          </w:tcPr>
          <w:p w14:paraId="20370E64">
            <w:pPr>
              <w:jc w:val="center"/>
              <w:rPr>
                <w:rFonts w:hint="eastAsia" w:ascii="宋体" w:cs="宋体"/>
                <w:color w:val="auto"/>
                <w:szCs w:val="21"/>
              </w:rPr>
            </w:pPr>
            <w:r>
              <w:rPr>
                <w:rFonts w:hint="eastAsia" w:ascii="宋体" w:cs="宋体"/>
                <w:color w:val="auto"/>
                <w:szCs w:val="21"/>
              </w:rPr>
              <w:t>-1</w:t>
            </w:r>
          </w:p>
        </w:tc>
      </w:tr>
      <w:tr w14:paraId="533B0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911" w:type="dxa"/>
            <w:vMerge w:val="continue"/>
            <w:noWrap w:val="0"/>
            <w:vAlign w:val="top"/>
          </w:tcPr>
          <w:p w14:paraId="2822219C">
            <w:pPr>
              <w:rPr>
                <w:color w:val="auto"/>
              </w:rPr>
            </w:pPr>
          </w:p>
        </w:tc>
        <w:tc>
          <w:tcPr>
            <w:tcW w:w="5576" w:type="dxa"/>
            <w:noWrap w:val="0"/>
            <w:vAlign w:val="center"/>
          </w:tcPr>
          <w:p w14:paraId="71E21A1E">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cs="宋体"/>
                <w:color w:val="auto"/>
                <w:szCs w:val="21"/>
              </w:rPr>
            </w:pPr>
            <w:r>
              <w:rPr>
                <w:rFonts w:hint="eastAsia" w:ascii="宋体" w:cs="宋体"/>
                <w:color w:val="auto"/>
                <w:szCs w:val="21"/>
              </w:rPr>
              <w:t>未采取</w:t>
            </w:r>
            <w:r>
              <w:rPr>
                <w:rFonts w:hint="eastAsia" w:ascii="宋体" w:cs="宋体"/>
                <w:color w:val="auto"/>
                <w:szCs w:val="21"/>
                <w:lang w:val="en-US" w:eastAsia="zh-CN"/>
              </w:rPr>
              <w:t>整改</w:t>
            </w:r>
            <w:r>
              <w:rPr>
                <w:rFonts w:hint="eastAsia" w:ascii="宋体" w:cs="宋体"/>
                <w:color w:val="auto"/>
                <w:szCs w:val="21"/>
              </w:rPr>
              <w:t>措施，环境影响未扩大</w:t>
            </w:r>
          </w:p>
        </w:tc>
        <w:tc>
          <w:tcPr>
            <w:tcW w:w="1461" w:type="dxa"/>
            <w:noWrap w:val="0"/>
            <w:vAlign w:val="center"/>
          </w:tcPr>
          <w:p w14:paraId="081C1BBA">
            <w:pPr>
              <w:jc w:val="center"/>
              <w:rPr>
                <w:rFonts w:hint="eastAsia" w:ascii="宋体" w:cs="宋体"/>
                <w:color w:val="auto"/>
                <w:szCs w:val="21"/>
              </w:rPr>
            </w:pPr>
            <w:r>
              <w:rPr>
                <w:rFonts w:hint="eastAsia" w:ascii="宋体" w:cs="宋体"/>
                <w:color w:val="auto"/>
                <w:szCs w:val="21"/>
              </w:rPr>
              <w:t>0</w:t>
            </w:r>
          </w:p>
        </w:tc>
      </w:tr>
      <w:tr w14:paraId="06AA1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911" w:type="dxa"/>
            <w:vMerge w:val="continue"/>
            <w:noWrap w:val="0"/>
            <w:vAlign w:val="top"/>
          </w:tcPr>
          <w:p w14:paraId="5810B171">
            <w:pPr>
              <w:rPr>
                <w:color w:val="auto"/>
              </w:rPr>
            </w:pPr>
          </w:p>
        </w:tc>
        <w:tc>
          <w:tcPr>
            <w:tcW w:w="5576" w:type="dxa"/>
            <w:noWrap w:val="0"/>
            <w:vAlign w:val="center"/>
          </w:tcPr>
          <w:p w14:paraId="6CE2DA68">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cs="宋体"/>
                <w:color w:val="auto"/>
                <w:szCs w:val="21"/>
              </w:rPr>
            </w:pPr>
            <w:r>
              <w:rPr>
                <w:rFonts w:hint="eastAsia" w:ascii="宋体" w:cs="宋体"/>
                <w:color w:val="auto"/>
                <w:szCs w:val="21"/>
              </w:rPr>
              <w:t>未采取</w:t>
            </w:r>
            <w:r>
              <w:rPr>
                <w:rFonts w:hint="eastAsia" w:ascii="宋体" w:cs="宋体"/>
                <w:color w:val="auto"/>
                <w:szCs w:val="21"/>
                <w:lang w:val="en-US" w:eastAsia="zh-CN"/>
              </w:rPr>
              <w:t>整改</w:t>
            </w:r>
            <w:r>
              <w:rPr>
                <w:rFonts w:hint="eastAsia" w:ascii="宋体" w:cs="宋体"/>
                <w:color w:val="auto"/>
                <w:szCs w:val="21"/>
              </w:rPr>
              <w:t>措施，环境影响扩大</w:t>
            </w:r>
          </w:p>
        </w:tc>
        <w:tc>
          <w:tcPr>
            <w:tcW w:w="1461" w:type="dxa"/>
            <w:noWrap w:val="0"/>
            <w:vAlign w:val="center"/>
          </w:tcPr>
          <w:p w14:paraId="479EFEEF">
            <w:pPr>
              <w:jc w:val="center"/>
              <w:rPr>
                <w:rFonts w:hint="eastAsia" w:ascii="宋体" w:cs="宋体"/>
                <w:color w:val="auto"/>
                <w:szCs w:val="21"/>
              </w:rPr>
            </w:pPr>
            <w:r>
              <w:rPr>
                <w:rFonts w:hint="eastAsia" w:ascii="宋体" w:cs="宋体"/>
                <w:color w:val="auto"/>
                <w:szCs w:val="21"/>
              </w:rPr>
              <w:t>2</w:t>
            </w:r>
          </w:p>
        </w:tc>
      </w:tr>
      <w:tr w14:paraId="2183A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911" w:type="dxa"/>
            <w:vMerge w:val="restart"/>
            <w:noWrap w:val="0"/>
            <w:vAlign w:val="center"/>
          </w:tcPr>
          <w:p w14:paraId="254372C1">
            <w:pPr>
              <w:jc w:val="center"/>
              <w:rPr>
                <w:rFonts w:hint="eastAsia" w:ascii="宋体" w:cs="宋体"/>
                <w:color w:val="auto"/>
                <w:szCs w:val="21"/>
              </w:rPr>
            </w:pPr>
            <w:r>
              <w:rPr>
                <w:rFonts w:hint="eastAsia" w:ascii="宋体" w:cs="宋体"/>
                <w:color w:val="auto"/>
                <w:szCs w:val="21"/>
              </w:rPr>
              <w:t>配合调查情况</w:t>
            </w:r>
          </w:p>
        </w:tc>
        <w:tc>
          <w:tcPr>
            <w:tcW w:w="5576" w:type="dxa"/>
            <w:noWrap w:val="0"/>
            <w:vAlign w:val="center"/>
          </w:tcPr>
          <w:p w14:paraId="02676491">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cs="宋体"/>
                <w:color w:val="auto"/>
                <w:szCs w:val="21"/>
              </w:rPr>
            </w:pPr>
            <w:r>
              <w:rPr>
                <w:rFonts w:hint="eastAsia" w:ascii="宋体" w:cs="宋体"/>
                <w:color w:val="auto"/>
                <w:szCs w:val="21"/>
              </w:rPr>
              <w:t>配合调查</w:t>
            </w:r>
          </w:p>
        </w:tc>
        <w:tc>
          <w:tcPr>
            <w:tcW w:w="1461" w:type="dxa"/>
            <w:noWrap w:val="0"/>
            <w:vAlign w:val="center"/>
          </w:tcPr>
          <w:p w14:paraId="0FCAD0CC">
            <w:pPr>
              <w:jc w:val="center"/>
              <w:rPr>
                <w:rFonts w:hint="eastAsia" w:ascii="宋体" w:cs="宋体"/>
                <w:color w:val="auto"/>
                <w:szCs w:val="21"/>
              </w:rPr>
            </w:pPr>
            <w:r>
              <w:rPr>
                <w:rFonts w:hint="eastAsia" w:ascii="宋体" w:cs="宋体"/>
                <w:color w:val="auto"/>
                <w:szCs w:val="21"/>
              </w:rPr>
              <w:t>-2</w:t>
            </w:r>
          </w:p>
        </w:tc>
      </w:tr>
      <w:tr w14:paraId="0404A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911" w:type="dxa"/>
            <w:vMerge w:val="continue"/>
            <w:noWrap w:val="0"/>
            <w:vAlign w:val="top"/>
          </w:tcPr>
          <w:p w14:paraId="3DDA7C0C">
            <w:pPr>
              <w:rPr>
                <w:color w:val="auto"/>
              </w:rPr>
            </w:pPr>
          </w:p>
        </w:tc>
        <w:tc>
          <w:tcPr>
            <w:tcW w:w="5576" w:type="dxa"/>
            <w:noWrap w:val="0"/>
            <w:vAlign w:val="center"/>
          </w:tcPr>
          <w:p w14:paraId="0D2AA224">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cs="宋体"/>
                <w:color w:val="auto"/>
                <w:szCs w:val="21"/>
              </w:rPr>
            </w:pPr>
            <w:r>
              <w:rPr>
                <w:rFonts w:hint="eastAsia" w:ascii="宋体" w:cs="宋体"/>
                <w:color w:val="auto"/>
                <w:szCs w:val="21"/>
              </w:rPr>
              <w:t>不配合调查</w:t>
            </w:r>
          </w:p>
        </w:tc>
        <w:tc>
          <w:tcPr>
            <w:tcW w:w="1461" w:type="dxa"/>
            <w:noWrap w:val="0"/>
            <w:vAlign w:val="center"/>
          </w:tcPr>
          <w:p w14:paraId="7344EDB3">
            <w:pPr>
              <w:jc w:val="center"/>
              <w:rPr>
                <w:rFonts w:hint="eastAsia" w:ascii="宋体" w:cs="宋体"/>
                <w:color w:val="auto"/>
                <w:szCs w:val="21"/>
              </w:rPr>
            </w:pPr>
            <w:r>
              <w:rPr>
                <w:rFonts w:hint="eastAsia" w:ascii="宋体" w:cs="宋体"/>
                <w:color w:val="auto"/>
                <w:szCs w:val="21"/>
              </w:rPr>
              <w:t>2</w:t>
            </w:r>
          </w:p>
        </w:tc>
      </w:tr>
      <w:tr w14:paraId="4CB72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911" w:type="dxa"/>
            <w:vMerge w:val="restart"/>
            <w:noWrap w:val="0"/>
            <w:vAlign w:val="center"/>
          </w:tcPr>
          <w:p w14:paraId="33D9393A">
            <w:pPr>
              <w:jc w:val="center"/>
              <w:rPr>
                <w:rFonts w:hint="default" w:eastAsia="宋体"/>
                <w:color w:val="auto"/>
                <w:lang w:val="en-US" w:eastAsia="zh-CN"/>
              </w:rPr>
            </w:pPr>
            <w:r>
              <w:rPr>
                <w:rFonts w:hint="eastAsia"/>
                <w:color w:val="auto"/>
                <w:lang w:val="en-US" w:eastAsia="zh-CN"/>
              </w:rPr>
              <w:t>主观过错程度</w:t>
            </w:r>
          </w:p>
        </w:tc>
        <w:tc>
          <w:tcPr>
            <w:tcW w:w="5576" w:type="dxa"/>
            <w:noWrap w:val="0"/>
            <w:vAlign w:val="center"/>
          </w:tcPr>
          <w:p w14:paraId="56569C6E">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eastAsia="宋体" w:cs="宋体"/>
                <w:color w:val="auto"/>
                <w:szCs w:val="21"/>
                <w:lang w:val="en-US" w:eastAsia="zh-CN"/>
              </w:rPr>
            </w:pPr>
            <w:r>
              <w:rPr>
                <w:rFonts w:hint="eastAsia" w:ascii="宋体" w:cs="宋体"/>
                <w:color w:val="auto"/>
                <w:szCs w:val="21"/>
                <w:lang w:val="en-US" w:eastAsia="zh-CN"/>
              </w:rPr>
              <w:t>过失</w:t>
            </w:r>
          </w:p>
        </w:tc>
        <w:tc>
          <w:tcPr>
            <w:tcW w:w="1461" w:type="dxa"/>
            <w:noWrap w:val="0"/>
            <w:vAlign w:val="center"/>
          </w:tcPr>
          <w:p w14:paraId="7F35905D">
            <w:pPr>
              <w:jc w:val="center"/>
              <w:rPr>
                <w:rFonts w:hint="default" w:ascii="宋体" w:eastAsia="宋体" w:cs="宋体"/>
                <w:color w:val="auto"/>
                <w:szCs w:val="21"/>
                <w:lang w:val="en-US" w:eastAsia="zh-CN"/>
              </w:rPr>
            </w:pPr>
            <w:r>
              <w:rPr>
                <w:rFonts w:hint="eastAsia" w:ascii="宋体" w:cs="宋体"/>
                <w:color w:val="auto"/>
                <w:szCs w:val="21"/>
                <w:lang w:val="en-US" w:eastAsia="zh-CN"/>
              </w:rPr>
              <w:t>-2</w:t>
            </w:r>
          </w:p>
        </w:tc>
      </w:tr>
      <w:tr w14:paraId="716DC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911" w:type="dxa"/>
            <w:vMerge w:val="continue"/>
            <w:noWrap w:val="0"/>
            <w:vAlign w:val="top"/>
          </w:tcPr>
          <w:p w14:paraId="072362CA">
            <w:pPr>
              <w:rPr>
                <w:color w:val="auto"/>
              </w:rPr>
            </w:pPr>
          </w:p>
        </w:tc>
        <w:tc>
          <w:tcPr>
            <w:tcW w:w="5576" w:type="dxa"/>
            <w:noWrap w:val="0"/>
            <w:vAlign w:val="center"/>
          </w:tcPr>
          <w:p w14:paraId="5C57BE36">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eastAsia="宋体" w:cs="宋体"/>
                <w:color w:val="auto"/>
                <w:szCs w:val="21"/>
                <w:lang w:val="en-US" w:eastAsia="zh-CN"/>
              </w:rPr>
            </w:pPr>
            <w:r>
              <w:rPr>
                <w:rFonts w:hint="eastAsia" w:ascii="宋体" w:cs="宋体"/>
                <w:color w:val="auto"/>
                <w:szCs w:val="21"/>
                <w:lang w:val="en-US" w:eastAsia="zh-CN"/>
              </w:rPr>
              <w:t>故意</w:t>
            </w:r>
          </w:p>
        </w:tc>
        <w:tc>
          <w:tcPr>
            <w:tcW w:w="1461" w:type="dxa"/>
            <w:noWrap w:val="0"/>
            <w:vAlign w:val="center"/>
          </w:tcPr>
          <w:p w14:paraId="11FFA926">
            <w:pPr>
              <w:jc w:val="center"/>
              <w:rPr>
                <w:rFonts w:hint="eastAsia" w:ascii="宋体" w:eastAsia="宋体" w:cs="宋体"/>
                <w:color w:val="auto"/>
                <w:szCs w:val="21"/>
                <w:lang w:val="en-US" w:eastAsia="zh-CN"/>
              </w:rPr>
            </w:pPr>
            <w:r>
              <w:rPr>
                <w:rFonts w:hint="eastAsia" w:ascii="宋体" w:cs="宋体"/>
                <w:color w:val="auto"/>
                <w:szCs w:val="21"/>
                <w:lang w:val="en-US" w:eastAsia="zh-CN"/>
              </w:rPr>
              <w:t>2</w:t>
            </w:r>
          </w:p>
        </w:tc>
      </w:tr>
    </w:tbl>
    <w:p w14:paraId="44BC7BCE">
      <w:pPr>
        <w:rPr>
          <w:rFonts w:hint="eastAsia" w:ascii="黑体" w:hAnsi="黑体" w:eastAsia="黑体" w:cs="黑体"/>
          <w:bCs/>
          <w:color w:val="auto"/>
          <w:sz w:val="28"/>
          <w:szCs w:val="22"/>
        </w:rPr>
      </w:pPr>
      <w:r>
        <w:rPr>
          <w:rFonts w:hint="eastAsia" w:ascii="黑体" w:hAnsi="黑体" w:eastAsia="黑体" w:cs="黑体"/>
          <w:bCs/>
          <w:color w:val="auto"/>
          <w:sz w:val="28"/>
          <w:szCs w:val="22"/>
        </w:rPr>
        <w:br w:type="page"/>
      </w:r>
    </w:p>
    <w:p w14:paraId="6A688432">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宋体" w:hAnsi="宋体" w:eastAsia="宋体" w:cs="宋体"/>
          <w:color w:val="auto"/>
          <w:sz w:val="28"/>
          <w:szCs w:val="22"/>
        </w:rPr>
      </w:pPr>
      <w:r>
        <w:rPr>
          <w:rFonts w:hint="eastAsia" w:ascii="黑体" w:hAnsi="黑体" w:eastAsia="黑体" w:cs="黑体"/>
          <w:bCs/>
          <w:color w:val="auto"/>
          <w:sz w:val="28"/>
          <w:szCs w:val="22"/>
        </w:rPr>
        <w:t>三、违法行为个性裁量基准表</w:t>
      </w:r>
    </w:p>
    <w:p w14:paraId="0237D170">
      <w:pPr>
        <w:widowControl w:val="0"/>
        <w:adjustRightInd w:val="0"/>
        <w:snapToGrid w:val="0"/>
        <w:spacing w:line="360" w:lineRule="auto"/>
        <w:ind w:firstLine="480" w:firstLineChars="200"/>
        <w:jc w:val="both"/>
        <w:rPr>
          <w:rFonts w:hint="eastAsia" w:ascii="宋体" w:hAnsi="Times New Roman" w:cs="Times New Roman"/>
          <w:color w:val="auto"/>
          <w:kern w:val="0"/>
          <w:sz w:val="24"/>
        </w:rPr>
      </w:pPr>
      <w:bookmarkStart w:id="11" w:name="_Toc30507"/>
      <w:bookmarkStart w:id="12" w:name="_Toc22438"/>
      <w:bookmarkStart w:id="13" w:name="_Toc13252"/>
      <w:bookmarkStart w:id="14" w:name="_Toc14807"/>
      <w:bookmarkStart w:id="15" w:name="_Toc4468"/>
      <w:r>
        <w:rPr>
          <w:rFonts w:hint="eastAsia" w:ascii="宋体" w:hAnsi="Times New Roman" w:cs="Times New Roman"/>
          <w:color w:val="auto"/>
          <w:kern w:val="0"/>
          <w:sz w:val="24"/>
        </w:rPr>
        <w:t>1.仅适用于本表规定的生态环境违法行为。</w:t>
      </w:r>
      <w:bookmarkEnd w:id="11"/>
      <w:bookmarkEnd w:id="12"/>
      <w:bookmarkEnd w:id="13"/>
      <w:bookmarkEnd w:id="14"/>
      <w:bookmarkEnd w:id="15"/>
    </w:p>
    <w:p w14:paraId="6512CF03">
      <w:pPr>
        <w:widowControl w:val="0"/>
        <w:adjustRightInd w:val="0"/>
        <w:snapToGrid w:val="0"/>
        <w:spacing w:line="360" w:lineRule="auto"/>
        <w:ind w:firstLine="480" w:firstLineChars="200"/>
        <w:jc w:val="both"/>
        <w:rPr>
          <w:rFonts w:hint="eastAsia" w:ascii="宋体" w:hAnsi="Times New Roman" w:cs="Times New Roman"/>
          <w:color w:val="auto"/>
          <w:kern w:val="0"/>
          <w:sz w:val="24"/>
        </w:rPr>
      </w:pPr>
      <w:r>
        <w:rPr>
          <w:rFonts w:hint="eastAsia" w:ascii="宋体" w:hAnsi="Times New Roman" w:cs="Times New Roman"/>
          <w:color w:val="auto"/>
          <w:kern w:val="0"/>
          <w:sz w:val="24"/>
        </w:rPr>
        <w:t>2.表格用数值表示裁量因子不同的裁量等级。</w:t>
      </w:r>
    </w:p>
    <w:p w14:paraId="74790594">
      <w:pPr>
        <w:widowControl w:val="0"/>
        <w:adjustRightInd w:val="0"/>
        <w:snapToGrid w:val="0"/>
        <w:spacing w:line="360" w:lineRule="auto"/>
        <w:ind w:firstLine="480" w:firstLineChars="200"/>
        <w:jc w:val="both"/>
        <w:rPr>
          <w:rFonts w:hint="eastAsia" w:ascii="宋体" w:hAnsi="Times New Roman" w:cs="Times New Roman"/>
          <w:color w:val="auto"/>
          <w:kern w:val="0"/>
          <w:sz w:val="24"/>
        </w:rPr>
      </w:pPr>
      <w:r>
        <w:rPr>
          <w:rFonts w:hint="eastAsia" w:ascii="宋体" w:hAnsi="Times New Roman" w:cs="Times New Roman"/>
          <w:color w:val="auto"/>
          <w:kern w:val="0"/>
          <w:sz w:val="24"/>
        </w:rPr>
        <w:t>3.本表所涉及的裁量因素均为必选项。</w:t>
      </w:r>
    </w:p>
    <w:p w14:paraId="2738AAE0">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4.“情节较重”“情节严重”等情形，由执法人员结合案件调查情况综合判定。</w:t>
      </w:r>
    </w:p>
    <w:p w14:paraId="22570A88">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5.</w:t>
      </w:r>
      <w:r>
        <w:rPr>
          <w:rFonts w:hint="eastAsia" w:ascii="宋体" w:hAnsi="Times New Roman"/>
          <w:color w:val="auto"/>
          <w:kern w:val="0"/>
          <w:sz w:val="24"/>
        </w:rPr>
        <w:t>裁量基准表中所称的“以上”包括本数，“不足”不包括本数</w:t>
      </w:r>
      <w:r>
        <w:rPr>
          <w:rFonts w:hint="eastAsia" w:ascii="宋体" w:hAnsi="Times New Roman" w:cs="Times New Roman"/>
          <w:color w:val="auto"/>
          <w:kern w:val="0"/>
          <w:sz w:val="24"/>
          <w:lang w:val="en-US" w:eastAsia="zh-CN"/>
        </w:rPr>
        <w:t>。</w:t>
      </w:r>
    </w:p>
    <w:p w14:paraId="0B0A00AA">
      <w:pPr>
        <w:widowControl w:val="0"/>
        <w:adjustRightInd w:val="0"/>
        <w:snapToGrid w:val="0"/>
        <w:spacing w:line="360" w:lineRule="auto"/>
        <w:ind w:firstLine="480" w:firstLineChars="200"/>
        <w:jc w:val="both"/>
        <w:rPr>
          <w:rFonts w:hint="default"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6.违法行为后果存在两种以上情形的，按照较重的情形选择裁量等级。</w:t>
      </w:r>
    </w:p>
    <w:p w14:paraId="32B4A1F3">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楷体_GB2312" w:hAnsi="楷体_GB2312" w:eastAsia="楷体_GB2312" w:cs="楷体_GB2312"/>
          <w:b/>
          <w:bCs w:val="0"/>
          <w:color w:val="auto"/>
          <w:sz w:val="28"/>
          <w:szCs w:val="22"/>
          <w:lang w:val="en-US" w:eastAsia="zh-CN"/>
        </w:rPr>
      </w:pPr>
      <w:r>
        <w:rPr>
          <w:rFonts w:hint="eastAsia" w:ascii="楷体_GB2312" w:hAnsi="楷体_GB2312" w:eastAsia="楷体_GB2312" w:cs="楷体_GB2312"/>
          <w:b/>
          <w:bCs w:val="0"/>
          <w:color w:val="auto"/>
          <w:sz w:val="28"/>
          <w:szCs w:val="22"/>
          <w:lang w:val="en-US" w:eastAsia="zh-CN"/>
        </w:rPr>
        <w:br w:type="page"/>
      </w:r>
    </w:p>
    <w:p w14:paraId="4D7D9238">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楷体_GB2312" w:hAnsi="楷体_GB2312" w:eastAsia="楷体_GB2312" w:cs="楷体_GB2312"/>
          <w:b/>
          <w:bCs w:val="0"/>
          <w:color w:val="auto"/>
          <w:sz w:val="28"/>
          <w:szCs w:val="22"/>
          <w:lang w:val="en-US" w:eastAsia="zh-CN"/>
        </w:rPr>
      </w:pPr>
      <w:r>
        <w:rPr>
          <w:rFonts w:hint="eastAsia" w:ascii="楷体_GB2312" w:hAnsi="楷体_GB2312" w:eastAsia="楷体_GB2312" w:cs="楷体_GB2312"/>
          <w:b/>
          <w:bCs w:val="0"/>
          <w:color w:val="auto"/>
          <w:sz w:val="28"/>
          <w:szCs w:val="22"/>
          <w:lang w:val="en-US" w:eastAsia="zh-CN"/>
        </w:rPr>
        <w:t>（一）生态环境监测管理类</w:t>
      </w:r>
    </w:p>
    <w:p w14:paraId="5F0517BD">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1.</w:t>
      </w:r>
      <w:r>
        <w:rPr>
          <w:rFonts w:hint="eastAsia" w:ascii="宋体" w:hAnsi="Times New Roman" w:cs="Times New Roman"/>
          <w:color w:val="auto"/>
          <w:kern w:val="0"/>
          <w:sz w:val="24"/>
        </w:rPr>
        <w:t>未对所排放的污染物、养殖尾水自行监测，未制定自行监测方案，未建立管理台账，未保存原始监测记录和管理台账，以及未如实报告的</w:t>
      </w:r>
      <w:r>
        <w:rPr>
          <w:rFonts w:hint="eastAsia" w:ascii="宋体" w:hAnsi="Times New Roman" w:cs="Times New Roman"/>
          <w:color w:val="auto"/>
          <w:kern w:val="0"/>
          <w:sz w:val="24"/>
          <w:lang w:eastAsia="zh-CN"/>
        </w:rPr>
        <w:t>；</w:t>
      </w:r>
    </w:p>
    <w:p w14:paraId="01AC9300">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2.未安装、使用、维护、正常运行污染物排放自动监测、监控设备，未与主管部门的监控设备联网，未保存原始监测记录，以及未如实报告的；</w:t>
      </w:r>
    </w:p>
    <w:p w14:paraId="7C593EE3">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3.未对排放有毒有害污染物的排污口和周边环境进行监测，以及未公开有毒有害污染物信息的；</w:t>
      </w:r>
    </w:p>
    <w:p w14:paraId="1B038414">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4.生活垃圾处理单位未安装、使用污染物排放监测设备，实时监测污染物的排放情况并公开污染排放数据的；</w:t>
      </w:r>
    </w:p>
    <w:p w14:paraId="4AE0939C">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5-1.企业事业单位和其他生产经营者对生态环境监测数据弄虚作假的；</w:t>
      </w:r>
    </w:p>
    <w:p w14:paraId="7C852777">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5-2.企业事业单位和其他生产经营者指使其委托的生态环境监测机构对监测数据弄虚作假的；</w:t>
      </w:r>
    </w:p>
    <w:p w14:paraId="70B725EE">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6-1.生态环境监测机构不具备相应的设施、设备、技术人员、技术能力、管理能力的；</w:t>
      </w:r>
    </w:p>
    <w:p w14:paraId="619D3DCC">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6-2.生态环境监测机构不依法备案的；</w:t>
      </w:r>
    </w:p>
    <w:p w14:paraId="5BAA1648">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7.从事放射性污染监测的生态环境监测机构未取得许可证或者未按照许可证规定开展监测业务的；</w:t>
      </w:r>
    </w:p>
    <w:p w14:paraId="2A6566D8">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8.生态环境监测机构对监测数据弄虚作假的；</w:t>
      </w:r>
    </w:p>
    <w:p w14:paraId="7AEC0F39">
      <w:pPr>
        <w:widowControl w:val="0"/>
        <w:adjustRightInd w:val="0"/>
        <w:snapToGrid w:val="0"/>
        <w:spacing w:line="360" w:lineRule="auto"/>
        <w:ind w:firstLine="480" w:firstLineChars="200"/>
        <w:jc w:val="both"/>
        <w:rPr>
          <w:rFonts w:hint="eastAsia" w:ascii="宋体" w:hAnsi="Times New Roman" w:cs="Times New Roman"/>
          <w:color w:val="auto"/>
          <w:kern w:val="0"/>
          <w:sz w:val="24"/>
        </w:rPr>
        <w:sectPr>
          <w:footerReference r:id="rId7" w:type="default"/>
          <w:footerReference r:id="rId8" w:type="even"/>
          <w:pgSz w:w="11906" w:h="16838"/>
          <w:pgMar w:top="2098" w:right="1587" w:bottom="2098" w:left="1587" w:header="851" w:footer="1417" w:gutter="0"/>
          <w:pgNumType w:fmt="decimal" w:start="1"/>
          <w:cols w:space="0" w:num="1"/>
          <w:rtlGutter w:val="0"/>
          <w:docGrid w:type="lines" w:linePitch="312" w:charSpace="0"/>
        </w:sectPr>
      </w:pP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97"/>
        <w:gridCol w:w="5827"/>
        <w:gridCol w:w="1324"/>
      </w:tblGrid>
      <w:tr w14:paraId="46A67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48" w:type="dxa"/>
            <w:gridSpan w:val="3"/>
            <w:noWrap w:val="0"/>
            <w:vAlign w:val="top"/>
          </w:tcPr>
          <w:p w14:paraId="570EF1A2">
            <w:pPr>
              <w:jc w:val="center"/>
              <w:rPr>
                <w:rFonts w:hint="eastAsia" w:ascii="宋体" w:hAnsi="宋体" w:eastAsia="宋体" w:cs="宋体"/>
                <w:bCs/>
                <w:color w:val="auto"/>
                <w:sz w:val="21"/>
                <w:szCs w:val="21"/>
                <w:highlight w:val="none"/>
                <w:lang w:eastAsia="zh-CN"/>
              </w:rPr>
            </w:pPr>
            <w:r>
              <w:rPr>
                <w:rFonts w:hint="eastAsia" w:ascii="宋体" w:hAnsi="宋体" w:cs="宋体"/>
                <w:bCs/>
                <w:color w:val="auto"/>
                <w:sz w:val="21"/>
                <w:szCs w:val="21"/>
                <w:highlight w:val="none"/>
                <w:lang w:eastAsia="zh-CN"/>
              </w:rPr>
              <w:t>（一）生态环境监测管理类</w:t>
            </w:r>
          </w:p>
        </w:tc>
      </w:tr>
      <w:tr w14:paraId="3724B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7" w:type="dxa"/>
            <w:noWrap w:val="0"/>
            <w:vAlign w:val="center"/>
          </w:tcPr>
          <w:p w14:paraId="7929ACA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7151" w:type="dxa"/>
            <w:gridSpan w:val="2"/>
            <w:noWrap w:val="0"/>
            <w:vAlign w:val="top"/>
          </w:tcPr>
          <w:p w14:paraId="2B0C0AA3">
            <w:pPr>
              <w:jc w:val="center"/>
              <w:rPr>
                <w:rFonts w:hint="eastAsia" w:ascii="宋体" w:hAnsi="宋体" w:eastAsia="宋体" w:cs="宋体"/>
                <w:strike/>
                <w:dstrike w:val="0"/>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1</w:t>
            </w:r>
          </w:p>
        </w:tc>
      </w:tr>
      <w:tr w14:paraId="32E34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7" w:type="dxa"/>
            <w:noWrap w:val="0"/>
            <w:vAlign w:val="center"/>
          </w:tcPr>
          <w:p w14:paraId="0A8E8F2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7151" w:type="dxa"/>
            <w:gridSpan w:val="2"/>
            <w:noWrap w:val="0"/>
            <w:vAlign w:val="center"/>
          </w:tcPr>
          <w:p w14:paraId="78CFEA6D">
            <w:pPr>
              <w:adjustRightInd w:val="0"/>
              <w:ind w:firstLine="420" w:firstLineChars="200"/>
              <w:jc w:val="both"/>
              <w:rPr>
                <w:rFonts w:hint="eastAsia" w:ascii="宋体" w:hAnsi="宋体" w:eastAsia="宋体" w:cs="宋体"/>
                <w:strike/>
                <w:dstrike w:val="0"/>
                <w:color w:val="C00000"/>
                <w:sz w:val="21"/>
                <w:szCs w:val="21"/>
                <w:highlight w:val="none"/>
              </w:rPr>
            </w:pPr>
            <w:r>
              <w:rPr>
                <w:rFonts w:hint="eastAsia" w:ascii="宋体" w:hAnsi="宋体" w:eastAsia="宋体" w:cs="宋体"/>
                <w:bCs/>
                <w:color w:val="auto"/>
                <w:sz w:val="21"/>
                <w:szCs w:val="21"/>
                <w:highlight w:val="none"/>
              </w:rPr>
              <w:t>未对所排放的污染物、养殖尾水自行监测，未制定自行监测方案，未建立管理台账，未保存原始监测记录和管理台账</w:t>
            </w:r>
            <w:r>
              <w:rPr>
                <w:rFonts w:hint="eastAsia" w:ascii="宋体" w:hAnsi="宋体" w:eastAsia="宋体" w:cs="宋体"/>
                <w:bCs/>
                <w:strike w:val="0"/>
                <w:dstrike w:val="0"/>
                <w:color w:val="auto"/>
                <w:sz w:val="21"/>
                <w:szCs w:val="21"/>
                <w:highlight w:val="none"/>
              </w:rPr>
              <w:t>，以及未如实报告</w:t>
            </w:r>
            <w:r>
              <w:rPr>
                <w:rFonts w:hint="eastAsia" w:ascii="宋体" w:hAnsi="宋体" w:eastAsia="宋体" w:cs="宋体"/>
                <w:bCs/>
                <w:strike w:val="0"/>
                <w:color w:val="auto"/>
                <w:sz w:val="21"/>
                <w:szCs w:val="21"/>
                <w:highlight w:val="none"/>
              </w:rPr>
              <w:t>的</w:t>
            </w:r>
          </w:p>
        </w:tc>
      </w:tr>
      <w:tr w14:paraId="5937B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797" w:type="dxa"/>
            <w:noWrap w:val="0"/>
            <w:vAlign w:val="center"/>
          </w:tcPr>
          <w:p w14:paraId="4EA4B36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7151" w:type="dxa"/>
            <w:gridSpan w:val="2"/>
            <w:noWrap w:val="0"/>
            <w:vAlign w:val="top"/>
          </w:tcPr>
          <w:p w14:paraId="7165E826">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《中华人民共和国生态环境法典》第一百八十三条  实行排污许可管理的企业事业单位和其他生产经营者应当按照排污许可证的要求和有关标准规范，依法开展自行监测，建立管理台账，并保存原始监测记录和管理台账。原始监测记录和管理台账保存期限不得少于五年。</w:t>
            </w:r>
          </w:p>
          <w:p w14:paraId="0E8E922D">
            <w:pPr>
              <w:ind w:firstLine="420" w:firstLineChars="200"/>
              <w:rPr>
                <w:rFonts w:hint="eastAsia" w:ascii="宋体" w:hAnsi="宋体" w:eastAsia="宋体" w:cs="宋体"/>
                <w:strike w:val="0"/>
                <w:dstrike w:val="0"/>
                <w:color w:val="auto"/>
                <w:sz w:val="21"/>
                <w:szCs w:val="21"/>
                <w:highlight w:val="none"/>
              </w:rPr>
            </w:pPr>
            <w:r>
              <w:rPr>
                <w:rFonts w:hint="eastAsia" w:ascii="宋体" w:hAnsi="宋体" w:eastAsia="宋体" w:cs="宋体"/>
                <w:strike w:val="0"/>
                <w:dstrike w:val="0"/>
                <w:color w:val="auto"/>
                <w:sz w:val="21"/>
                <w:szCs w:val="21"/>
                <w:highlight w:val="none"/>
              </w:rPr>
              <w:t>《中华人民共和国生态环境法典》第三百一十条第二款　工厂化养殖和设置统一排污口的集中连片养殖的单位和其他生产经营者，应当按照规定对养殖尾水自行监测。</w:t>
            </w:r>
          </w:p>
          <w:p w14:paraId="66A80C79">
            <w:pPr>
              <w:ind w:firstLine="420" w:firstLineChars="200"/>
              <w:rPr>
                <w:rFonts w:hint="eastAsia" w:ascii="宋体" w:hAnsi="宋体" w:eastAsia="宋体" w:cs="宋体"/>
                <w:strike w:val="0"/>
                <w:dstrike w:val="0"/>
                <w:color w:val="auto"/>
                <w:sz w:val="21"/>
                <w:szCs w:val="21"/>
                <w:highlight w:val="none"/>
                <w:lang w:eastAsia="zh-CN"/>
              </w:rPr>
            </w:pPr>
            <w:r>
              <w:rPr>
                <w:rFonts w:hint="eastAsia" w:ascii="宋体" w:hAnsi="宋体" w:eastAsia="宋体" w:cs="宋体"/>
                <w:strike w:val="0"/>
                <w:dstrike w:val="0"/>
                <w:color w:val="auto"/>
                <w:sz w:val="21"/>
                <w:szCs w:val="21"/>
                <w:highlight w:val="none"/>
              </w:rPr>
              <w:t>《中华人民共和国生态环境法典》第三百四十三条</w:t>
            </w:r>
            <w:r>
              <w:rPr>
                <w:rFonts w:hint="eastAsia" w:ascii="宋体" w:hAnsi="宋体" w:eastAsia="宋体" w:cs="宋体"/>
                <w:strike w:val="0"/>
                <w:dstrike w:val="0"/>
                <w:color w:val="auto"/>
                <w:sz w:val="21"/>
                <w:szCs w:val="21"/>
                <w:highlight w:val="none"/>
                <w:lang w:val="en-US" w:eastAsia="zh-CN"/>
              </w:rPr>
              <w:t>第三款</w:t>
            </w:r>
            <w:r>
              <w:rPr>
                <w:rFonts w:hint="eastAsia" w:ascii="宋体" w:hAnsi="宋体" w:eastAsia="宋体" w:cs="宋体"/>
                <w:strike w:val="0"/>
                <w:dstrike w:val="0"/>
                <w:color w:val="auto"/>
                <w:sz w:val="21"/>
                <w:szCs w:val="21"/>
                <w:highlight w:val="none"/>
              </w:rPr>
              <w:t xml:space="preserve"> </w:t>
            </w:r>
            <w:r>
              <w:rPr>
                <w:rFonts w:hint="eastAsia" w:ascii="宋体" w:hAnsi="宋体" w:eastAsia="宋体" w:cs="宋体"/>
                <w:strike w:val="0"/>
                <w:dstrike w:val="0"/>
                <w:color w:val="auto"/>
                <w:sz w:val="21"/>
                <w:szCs w:val="21"/>
                <w:highlight w:val="none"/>
                <w:lang w:val="en-US" w:eastAsia="zh-CN"/>
              </w:rPr>
              <w:t xml:space="preserve"> </w:t>
            </w:r>
            <w:r>
              <w:rPr>
                <w:rFonts w:hint="eastAsia" w:ascii="宋体" w:hAnsi="宋体" w:eastAsia="宋体" w:cs="宋体"/>
                <w:strike w:val="0"/>
                <w:dstrike w:val="0"/>
                <w:color w:val="auto"/>
                <w:sz w:val="21"/>
                <w:szCs w:val="21"/>
                <w:highlight w:val="none"/>
              </w:rPr>
              <w:t>向海洋排放养殖尾水污染物等应当符合污染物排放标准。沿海省、自治区、直辖市人民政府应当制定海水养殖污染物排放相关地方标准，加强养殖尾水污染防治的监督管理。工厂化养殖和设置统一排污口的集中连片养殖的单位和其他生产经营者，应当按照规定对养殖尾水自行监测。</w:t>
            </w:r>
          </w:p>
          <w:p w14:paraId="76FD5A4A">
            <w:pPr>
              <w:ind w:firstLine="420" w:firstLineChars="200"/>
              <w:rPr>
                <w:rFonts w:hint="eastAsia" w:ascii="宋体" w:hAnsi="宋体" w:eastAsia="宋体" w:cs="宋体"/>
                <w:color w:val="auto"/>
                <w:sz w:val="21"/>
                <w:szCs w:val="21"/>
                <w:highlight w:val="none"/>
              </w:rPr>
            </w:pPr>
            <w:r>
              <w:rPr>
                <w:rFonts w:hint="eastAsia" w:ascii="宋体" w:hAnsi="宋体" w:eastAsia="宋体" w:cs="宋体"/>
                <w:strike w:val="0"/>
                <w:dstrike w:val="0"/>
                <w:color w:val="auto"/>
                <w:sz w:val="21"/>
                <w:szCs w:val="21"/>
                <w:highlight w:val="none"/>
              </w:rPr>
              <w:t>《中华人民共和国生态环境法典》第六百六十条 运行一类、二类电磁辐射设施的企业事业单位，应当按照国家规定采取发射功率控制、发射方向调整、紧急制动、屏蔽、接地、隔离等电磁辐射污染防治措施，开展自行监测，保存原始监测记录，监测结果定期向生态环境主管部门报告。</w:t>
            </w:r>
          </w:p>
        </w:tc>
      </w:tr>
      <w:tr w14:paraId="0B32F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7" w:type="dxa"/>
            <w:noWrap w:val="0"/>
            <w:vAlign w:val="center"/>
          </w:tcPr>
          <w:p w14:paraId="6A2E550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7151" w:type="dxa"/>
            <w:gridSpan w:val="2"/>
            <w:noWrap w:val="0"/>
            <w:vAlign w:val="top"/>
          </w:tcPr>
          <w:p w14:paraId="0FA8FD63">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《中华人民共和国生态环境法典》第一千零八十六条</w:t>
            </w:r>
            <w:r>
              <w:rPr>
                <w:rFonts w:hint="eastAsia" w:ascii="宋体" w:hAnsi="宋体" w:eastAsia="宋体" w:cs="宋体"/>
                <w:color w:val="auto"/>
                <w:sz w:val="21"/>
                <w:szCs w:val="21"/>
                <w:highlight w:val="none"/>
                <w:lang w:val="en-US" w:eastAsia="zh-CN"/>
              </w:rPr>
              <w:t>第一款第一项</w:t>
            </w:r>
            <w:r>
              <w:rPr>
                <w:rFonts w:hint="eastAsia" w:ascii="宋体" w:hAnsi="宋体" w:eastAsia="宋体" w:cs="宋体"/>
                <w:color w:val="auto"/>
                <w:sz w:val="21"/>
                <w:szCs w:val="21"/>
                <w:highlight w:val="none"/>
              </w:rPr>
              <w:t xml:space="preserve">  违反本法规定，有下列情形之一的，由负有生态环境保护监督管理职责的部门、机构按照职责分工责令改正，处二万元以上二十万元以下的罚款；拒不改正的，可以责令限制生产、停产整治：</w:t>
            </w:r>
          </w:p>
          <w:p w14:paraId="76DB037A">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（一）未对所排放的污染物、养殖尾水、土壤污染状况自行监测，未制定自行监测方案，未建立管理台账，未保存原始监测记录和管理台账，以及未如实报告；</w:t>
            </w:r>
          </w:p>
        </w:tc>
      </w:tr>
      <w:tr w14:paraId="45573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7" w:type="dxa"/>
            <w:noWrap w:val="0"/>
            <w:vAlign w:val="center"/>
          </w:tcPr>
          <w:p w14:paraId="3CAAABB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827" w:type="dxa"/>
            <w:noWrap w:val="0"/>
            <w:vAlign w:val="top"/>
          </w:tcPr>
          <w:p w14:paraId="141AF58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324" w:type="dxa"/>
            <w:noWrap w:val="0"/>
            <w:vAlign w:val="top"/>
          </w:tcPr>
          <w:p w14:paraId="0D0CD72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3C90F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7" w:type="dxa"/>
            <w:vMerge w:val="restart"/>
            <w:noWrap w:val="0"/>
            <w:vAlign w:val="center"/>
          </w:tcPr>
          <w:p w14:paraId="2F96D7FC">
            <w:pPr>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违法事实</w:t>
            </w:r>
          </w:p>
        </w:tc>
        <w:tc>
          <w:tcPr>
            <w:tcW w:w="5827" w:type="dxa"/>
            <w:noWrap w:val="0"/>
            <w:vAlign w:val="center"/>
          </w:tcPr>
          <w:p w14:paraId="18EF5ED9">
            <w:pPr>
              <w:adjustRightInd w:val="0"/>
              <w:ind w:firstLine="420" w:firstLineChars="200"/>
              <w:jc w:val="both"/>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rPr>
              <w:t>已按频次开展自行监测但存在下列一项行为的：1.未制定自行监测方案；2.未建立管理台账；3.未保存原始监测记录和管理台账；4.未如实报告</w:t>
            </w:r>
          </w:p>
        </w:tc>
        <w:tc>
          <w:tcPr>
            <w:tcW w:w="1324" w:type="dxa"/>
            <w:noWrap w:val="0"/>
            <w:vAlign w:val="center"/>
          </w:tcPr>
          <w:p w14:paraId="107A542C">
            <w:pPr>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w:t>
            </w:r>
          </w:p>
        </w:tc>
      </w:tr>
      <w:tr w14:paraId="6F611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7" w:type="dxa"/>
            <w:vMerge w:val="continue"/>
            <w:noWrap w:val="0"/>
            <w:vAlign w:val="center"/>
          </w:tcPr>
          <w:p w14:paraId="417101ED">
            <w:pPr>
              <w:jc w:val="center"/>
              <w:rPr>
                <w:rFonts w:hint="eastAsia" w:ascii="宋体" w:hAnsi="宋体" w:eastAsia="宋体" w:cs="宋体"/>
                <w:b w:val="0"/>
                <w:bCs w:val="0"/>
                <w:color w:val="auto"/>
                <w:sz w:val="21"/>
                <w:szCs w:val="21"/>
                <w:highlight w:val="none"/>
              </w:rPr>
            </w:pPr>
          </w:p>
        </w:tc>
        <w:tc>
          <w:tcPr>
            <w:tcW w:w="5827" w:type="dxa"/>
            <w:noWrap w:val="0"/>
            <w:vAlign w:val="center"/>
          </w:tcPr>
          <w:p w14:paraId="0087D5A9">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已按频次开展自行监测但存在下列两项行为的：1.未制定自行监测方案；2.未建立管理台账；3.未保存原始监测记录和管理台账；4.未如实报告</w:t>
            </w:r>
          </w:p>
        </w:tc>
        <w:tc>
          <w:tcPr>
            <w:tcW w:w="1324" w:type="dxa"/>
            <w:noWrap w:val="0"/>
            <w:vAlign w:val="center"/>
          </w:tcPr>
          <w:p w14:paraId="2151E7DF">
            <w:pPr>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w:t>
            </w:r>
          </w:p>
        </w:tc>
      </w:tr>
      <w:tr w14:paraId="30D9D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7" w:type="dxa"/>
            <w:vMerge w:val="continue"/>
            <w:noWrap w:val="0"/>
            <w:vAlign w:val="center"/>
          </w:tcPr>
          <w:p w14:paraId="5DC5BF40">
            <w:pPr>
              <w:jc w:val="center"/>
              <w:rPr>
                <w:rFonts w:hint="eastAsia" w:ascii="宋体" w:hAnsi="宋体" w:eastAsia="宋体" w:cs="宋体"/>
                <w:b w:val="0"/>
                <w:bCs w:val="0"/>
                <w:color w:val="auto"/>
                <w:sz w:val="21"/>
                <w:szCs w:val="21"/>
                <w:highlight w:val="none"/>
              </w:rPr>
            </w:pPr>
          </w:p>
        </w:tc>
        <w:tc>
          <w:tcPr>
            <w:tcW w:w="5827" w:type="dxa"/>
            <w:noWrap w:val="0"/>
            <w:vAlign w:val="center"/>
          </w:tcPr>
          <w:p w14:paraId="213311D5">
            <w:pPr>
              <w:adjustRightInd w:val="0"/>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已按频次开展自行监测但存在下列三项行为的：1.未制定自行监测方案；2.未建立管理台账；3.未保存原始监测记录和管理台账；4.未如实报告</w:t>
            </w:r>
          </w:p>
        </w:tc>
        <w:tc>
          <w:tcPr>
            <w:tcW w:w="1324" w:type="dxa"/>
            <w:noWrap w:val="0"/>
            <w:vAlign w:val="center"/>
          </w:tcPr>
          <w:p w14:paraId="6505DA97">
            <w:pPr>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3</w:t>
            </w:r>
          </w:p>
        </w:tc>
      </w:tr>
      <w:tr w14:paraId="6C562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7" w:type="dxa"/>
            <w:vMerge w:val="continue"/>
            <w:noWrap w:val="0"/>
            <w:vAlign w:val="center"/>
          </w:tcPr>
          <w:p w14:paraId="077D03D7">
            <w:pPr>
              <w:jc w:val="center"/>
              <w:rPr>
                <w:rFonts w:hint="eastAsia" w:ascii="宋体" w:hAnsi="宋体" w:eastAsia="宋体" w:cs="宋体"/>
                <w:b w:val="0"/>
                <w:bCs w:val="0"/>
                <w:color w:val="auto"/>
                <w:sz w:val="21"/>
                <w:szCs w:val="21"/>
                <w:highlight w:val="none"/>
              </w:rPr>
            </w:pPr>
          </w:p>
        </w:tc>
        <w:tc>
          <w:tcPr>
            <w:tcW w:w="5827" w:type="dxa"/>
            <w:noWrap w:val="0"/>
            <w:vAlign w:val="center"/>
          </w:tcPr>
          <w:p w14:paraId="546FDABE">
            <w:pPr>
              <w:adjustRightInd w:val="0"/>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未按频次开展自行监测，或已按频次开展自行监测但存在下列四项行为的：1.未制定自行监测方案；2.未建立管理台账；3.未保存原始监测记录和管理台账；4.未如实报告</w:t>
            </w:r>
          </w:p>
        </w:tc>
        <w:tc>
          <w:tcPr>
            <w:tcW w:w="1324" w:type="dxa"/>
            <w:noWrap w:val="0"/>
            <w:vAlign w:val="center"/>
          </w:tcPr>
          <w:p w14:paraId="1DC693DF">
            <w:pPr>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w:t>
            </w:r>
          </w:p>
        </w:tc>
      </w:tr>
      <w:tr w14:paraId="7AE46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1797" w:type="dxa"/>
            <w:vMerge w:val="continue"/>
            <w:noWrap w:val="0"/>
            <w:vAlign w:val="center"/>
          </w:tcPr>
          <w:p w14:paraId="254D7526">
            <w:pPr>
              <w:jc w:val="center"/>
              <w:rPr>
                <w:rFonts w:hint="eastAsia" w:ascii="宋体" w:hAnsi="宋体" w:eastAsia="宋体" w:cs="宋体"/>
                <w:b w:val="0"/>
                <w:bCs w:val="0"/>
                <w:color w:val="auto"/>
                <w:sz w:val="21"/>
                <w:szCs w:val="21"/>
                <w:highlight w:val="none"/>
              </w:rPr>
            </w:pPr>
          </w:p>
        </w:tc>
        <w:tc>
          <w:tcPr>
            <w:tcW w:w="5827" w:type="dxa"/>
            <w:noWrap w:val="0"/>
            <w:vAlign w:val="center"/>
          </w:tcPr>
          <w:p w14:paraId="20A6B019">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未开展自行监测的</w:t>
            </w:r>
          </w:p>
        </w:tc>
        <w:tc>
          <w:tcPr>
            <w:tcW w:w="1324" w:type="dxa"/>
            <w:noWrap w:val="0"/>
            <w:vAlign w:val="center"/>
          </w:tcPr>
          <w:p w14:paraId="4F6FAD45">
            <w:pPr>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5</w:t>
            </w:r>
          </w:p>
        </w:tc>
      </w:tr>
      <w:tr w14:paraId="3D296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7" w:type="dxa"/>
            <w:vMerge w:val="restart"/>
            <w:noWrap w:val="0"/>
            <w:vAlign w:val="center"/>
          </w:tcPr>
          <w:p w14:paraId="3A55EAEC">
            <w:pPr>
              <w:jc w:val="center"/>
              <w:rPr>
                <w:rFonts w:hint="eastAsia" w:ascii="宋体" w:hAnsi="宋体" w:eastAsia="宋体" w:cs="宋体"/>
                <w:b w:val="0"/>
                <w:bCs w:val="0"/>
                <w:color w:val="auto"/>
                <w:sz w:val="21"/>
                <w:szCs w:val="21"/>
                <w:highlight w:val="none"/>
                <w:lang w:eastAsia="zh-CN"/>
              </w:rPr>
            </w:pPr>
            <w:r>
              <w:rPr>
                <w:rFonts w:hint="eastAsia" w:ascii="宋体" w:hAnsi="宋体" w:cs="宋体"/>
                <w:b w:val="0"/>
                <w:bCs w:val="0"/>
                <w:color w:val="auto"/>
                <w:sz w:val="21"/>
                <w:szCs w:val="21"/>
                <w:highlight w:val="none"/>
                <w:lang w:eastAsia="zh-CN"/>
              </w:rPr>
              <w:t>排污许可</w:t>
            </w:r>
          </w:p>
          <w:p w14:paraId="6E55E9BD">
            <w:pPr>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管理类别</w:t>
            </w:r>
          </w:p>
        </w:tc>
        <w:tc>
          <w:tcPr>
            <w:tcW w:w="5827" w:type="dxa"/>
            <w:noWrap w:val="0"/>
            <w:vAlign w:val="center"/>
          </w:tcPr>
          <w:p w14:paraId="01DAB5EB">
            <w:pPr>
              <w:adjustRightInd w:val="0"/>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简化管理</w:t>
            </w:r>
          </w:p>
        </w:tc>
        <w:tc>
          <w:tcPr>
            <w:tcW w:w="1324" w:type="dxa"/>
            <w:noWrap w:val="0"/>
            <w:vAlign w:val="center"/>
          </w:tcPr>
          <w:p w14:paraId="484C5537">
            <w:pPr>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w:t>
            </w:r>
          </w:p>
        </w:tc>
      </w:tr>
      <w:tr w14:paraId="459B6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7" w:type="dxa"/>
            <w:vMerge w:val="continue"/>
            <w:noWrap w:val="0"/>
            <w:vAlign w:val="center"/>
          </w:tcPr>
          <w:p w14:paraId="6E54DFE1">
            <w:pPr>
              <w:jc w:val="center"/>
              <w:rPr>
                <w:rFonts w:hint="eastAsia" w:ascii="宋体" w:hAnsi="宋体" w:eastAsia="宋体" w:cs="宋体"/>
                <w:b w:val="0"/>
                <w:bCs w:val="0"/>
                <w:color w:val="auto"/>
                <w:sz w:val="21"/>
                <w:szCs w:val="21"/>
                <w:highlight w:val="none"/>
              </w:rPr>
            </w:pPr>
          </w:p>
        </w:tc>
        <w:tc>
          <w:tcPr>
            <w:tcW w:w="5827" w:type="dxa"/>
            <w:noWrap w:val="0"/>
            <w:vAlign w:val="center"/>
          </w:tcPr>
          <w:p w14:paraId="0A941FBA">
            <w:pPr>
              <w:adjustRightInd w:val="0"/>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重点管理</w:t>
            </w:r>
          </w:p>
        </w:tc>
        <w:tc>
          <w:tcPr>
            <w:tcW w:w="1324" w:type="dxa"/>
            <w:noWrap w:val="0"/>
            <w:vAlign w:val="center"/>
          </w:tcPr>
          <w:p w14:paraId="5E79CA15">
            <w:pPr>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3</w:t>
            </w:r>
          </w:p>
        </w:tc>
      </w:tr>
      <w:tr w14:paraId="3242C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7" w:type="dxa"/>
            <w:vMerge w:val="continue"/>
            <w:noWrap w:val="0"/>
            <w:vAlign w:val="center"/>
          </w:tcPr>
          <w:p w14:paraId="2B20EAFE">
            <w:pPr>
              <w:jc w:val="center"/>
              <w:rPr>
                <w:rFonts w:hint="eastAsia" w:ascii="宋体" w:hAnsi="宋体" w:eastAsia="宋体" w:cs="宋体"/>
                <w:b w:val="0"/>
                <w:bCs w:val="0"/>
                <w:color w:val="auto"/>
                <w:sz w:val="21"/>
                <w:szCs w:val="21"/>
                <w:highlight w:val="none"/>
              </w:rPr>
            </w:pPr>
          </w:p>
        </w:tc>
        <w:tc>
          <w:tcPr>
            <w:tcW w:w="5827" w:type="dxa"/>
            <w:noWrap w:val="0"/>
            <w:vAlign w:val="center"/>
          </w:tcPr>
          <w:p w14:paraId="630236FC">
            <w:pPr>
              <w:adjustRightInd w:val="0"/>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重点管理（钢铁、石化、化工、电镀、皮革、造纸、冶炼、印染、染料、水泥、煤电、陶瓷、采矿、放射性、危废经营、垃圾焚烧发电、平板玻璃，“两高”项目）</w:t>
            </w:r>
          </w:p>
        </w:tc>
        <w:tc>
          <w:tcPr>
            <w:tcW w:w="1324" w:type="dxa"/>
            <w:noWrap w:val="0"/>
            <w:vAlign w:val="center"/>
          </w:tcPr>
          <w:p w14:paraId="423164DC">
            <w:pPr>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5</w:t>
            </w:r>
          </w:p>
        </w:tc>
      </w:tr>
      <w:tr w14:paraId="7EA4F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1797" w:type="dxa"/>
            <w:vMerge w:val="restart"/>
            <w:noWrap w:val="0"/>
            <w:vAlign w:val="center"/>
          </w:tcPr>
          <w:p w14:paraId="0DDB3B2E">
            <w:pPr>
              <w:jc w:val="center"/>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lang w:val="en-US" w:eastAsia="zh-CN"/>
              </w:rPr>
              <w:t>污染物</w:t>
            </w:r>
            <w:r>
              <w:rPr>
                <w:rFonts w:hint="eastAsia" w:ascii="宋体" w:hAnsi="宋体" w:eastAsia="宋体" w:cs="宋体"/>
                <w:color w:val="auto"/>
                <w:sz w:val="21"/>
                <w:szCs w:val="21"/>
                <w:highlight w:val="none"/>
              </w:rPr>
              <w:t>类别</w:t>
            </w:r>
          </w:p>
        </w:tc>
        <w:tc>
          <w:tcPr>
            <w:tcW w:w="5827" w:type="dxa"/>
            <w:noWrap w:val="0"/>
            <w:vAlign w:val="top"/>
          </w:tcPr>
          <w:p w14:paraId="4860DD65">
            <w:pPr>
              <w:adjustRightInd w:val="0"/>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一般废气、废水、固体废物、噪声、畜禽养殖废水</w:t>
            </w:r>
          </w:p>
        </w:tc>
        <w:tc>
          <w:tcPr>
            <w:tcW w:w="1324" w:type="dxa"/>
            <w:shd w:val="clear" w:color="auto" w:fill="auto"/>
            <w:noWrap w:val="0"/>
            <w:vAlign w:val="center"/>
          </w:tcPr>
          <w:p w14:paraId="2C23B72E">
            <w:pPr>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1</w:t>
            </w:r>
          </w:p>
        </w:tc>
      </w:tr>
      <w:tr w14:paraId="56531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797" w:type="dxa"/>
            <w:vMerge w:val="continue"/>
            <w:noWrap w:val="0"/>
            <w:vAlign w:val="center"/>
          </w:tcPr>
          <w:p w14:paraId="1F396364">
            <w:pPr>
              <w:jc w:val="center"/>
              <w:rPr>
                <w:rFonts w:hint="eastAsia" w:ascii="宋体" w:hAnsi="宋体" w:eastAsia="宋体" w:cs="宋体"/>
                <w:color w:val="auto"/>
                <w:sz w:val="21"/>
                <w:szCs w:val="21"/>
                <w:highlight w:val="none"/>
                <w:lang w:val="en-US" w:eastAsia="zh-CN"/>
              </w:rPr>
            </w:pPr>
          </w:p>
        </w:tc>
        <w:tc>
          <w:tcPr>
            <w:tcW w:w="5827" w:type="dxa"/>
            <w:noWrap w:val="0"/>
            <w:vAlign w:val="top"/>
          </w:tcPr>
          <w:p w14:paraId="05AED915">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火电、钢铁、石化、水泥、炼焦、有色、化工废气/医疗废水</w:t>
            </w:r>
          </w:p>
        </w:tc>
        <w:tc>
          <w:tcPr>
            <w:tcW w:w="1324" w:type="dxa"/>
            <w:shd w:val="clear" w:color="auto" w:fill="auto"/>
            <w:noWrap w:val="0"/>
            <w:vAlign w:val="center"/>
          </w:tcPr>
          <w:p w14:paraId="482FEF3E">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r>
      <w:tr w14:paraId="0169A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7" w:type="dxa"/>
            <w:vMerge w:val="continue"/>
            <w:noWrap w:val="0"/>
            <w:vAlign w:val="center"/>
          </w:tcPr>
          <w:p w14:paraId="686C5EDC">
            <w:pPr>
              <w:jc w:val="center"/>
              <w:rPr>
                <w:rFonts w:hint="eastAsia" w:ascii="宋体" w:hAnsi="宋体" w:eastAsia="宋体" w:cs="宋体"/>
                <w:b/>
                <w:bCs/>
                <w:color w:val="auto"/>
                <w:sz w:val="21"/>
                <w:szCs w:val="21"/>
                <w:highlight w:val="none"/>
              </w:rPr>
            </w:pPr>
          </w:p>
        </w:tc>
        <w:tc>
          <w:tcPr>
            <w:tcW w:w="5827" w:type="dxa"/>
            <w:noWrap w:val="0"/>
            <w:vAlign w:val="top"/>
          </w:tcPr>
          <w:p w14:paraId="58BC0DD5">
            <w:pPr>
              <w:adjustRightInd w:val="0"/>
              <w:ind w:firstLine="420" w:firstLineChars="200"/>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含有毒有害物质的废气、废水／含一类污染物或重金属、病原体、放射性物质的废水／危险废物</w:t>
            </w:r>
          </w:p>
        </w:tc>
        <w:tc>
          <w:tcPr>
            <w:tcW w:w="1324" w:type="dxa"/>
            <w:shd w:val="clear" w:color="auto" w:fill="auto"/>
            <w:noWrap w:val="0"/>
            <w:vAlign w:val="center"/>
          </w:tcPr>
          <w:p w14:paraId="77664DAD">
            <w:pPr>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5</w:t>
            </w:r>
          </w:p>
        </w:tc>
      </w:tr>
      <w:tr w14:paraId="0A2ED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7" w:type="dxa"/>
            <w:vMerge w:val="restart"/>
            <w:noWrap w:val="0"/>
            <w:vAlign w:val="center"/>
          </w:tcPr>
          <w:p w14:paraId="4A6DD8A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排放去向或</w:t>
            </w:r>
          </w:p>
          <w:p w14:paraId="18DAB420">
            <w:pPr>
              <w:jc w:val="center"/>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区域</w:t>
            </w:r>
          </w:p>
        </w:tc>
        <w:tc>
          <w:tcPr>
            <w:tcW w:w="5827" w:type="dxa"/>
            <w:noWrap w:val="0"/>
            <w:vAlign w:val="top"/>
          </w:tcPr>
          <w:p w14:paraId="561EE198">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eastAsia="zh-CN"/>
              </w:rPr>
              <w:t>二类环境空气功能区</w:t>
            </w:r>
            <w:r>
              <w:rPr>
                <w:rFonts w:hint="eastAsia" w:ascii="宋体" w:hAnsi="宋体" w:eastAsia="宋体" w:cs="宋体"/>
                <w:color w:val="auto"/>
                <w:sz w:val="21"/>
                <w:szCs w:val="21"/>
                <w:highlight w:val="none"/>
              </w:rPr>
              <w:t>（工业区和农村地区）</w:t>
            </w:r>
            <w:r>
              <w:rPr>
                <w:rFonts w:hint="eastAsia" w:ascii="宋体" w:hAnsi="宋体" w:cs="宋体"/>
                <w:color w:val="auto"/>
                <w:sz w:val="21"/>
                <w:szCs w:val="21"/>
                <w:highlight w:val="none"/>
                <w:lang w:val="en-US" w:eastAsia="zh-CN"/>
              </w:rPr>
              <w:t>/V类水体（或者污水集中处理设施）/</w:t>
            </w:r>
            <w:r>
              <w:rPr>
                <w:rFonts w:hint="eastAsia" w:ascii="宋体" w:hAnsi="宋体" w:eastAsia="宋体" w:cs="宋体"/>
                <w:color w:val="auto"/>
                <w:sz w:val="21"/>
                <w:szCs w:val="21"/>
                <w:highlight w:val="none"/>
              </w:rPr>
              <w:t>4类声环境功能区</w:t>
            </w:r>
            <w:r>
              <w:rPr>
                <w:rFonts w:hint="eastAsia" w:ascii="宋体" w:hAnsi="宋体" w:eastAsia="宋体" w:cs="宋体"/>
                <w:color w:val="auto"/>
                <w:sz w:val="21"/>
                <w:szCs w:val="21"/>
                <w:highlight w:val="none"/>
                <w:lang w:val="en-US" w:eastAsia="zh-CN"/>
              </w:rPr>
              <w:t>/第四类海水水质的区域</w:t>
            </w:r>
          </w:p>
        </w:tc>
        <w:tc>
          <w:tcPr>
            <w:tcW w:w="1324" w:type="dxa"/>
            <w:shd w:val="clear" w:color="auto" w:fill="auto"/>
            <w:noWrap w:val="0"/>
            <w:vAlign w:val="center"/>
          </w:tcPr>
          <w:p w14:paraId="570E0473">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1</w:t>
            </w:r>
          </w:p>
        </w:tc>
      </w:tr>
      <w:tr w14:paraId="1140D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7" w:type="dxa"/>
            <w:vMerge w:val="continue"/>
            <w:noWrap w:val="0"/>
            <w:vAlign w:val="center"/>
          </w:tcPr>
          <w:p w14:paraId="0834CD3D">
            <w:pPr>
              <w:jc w:val="center"/>
              <w:rPr>
                <w:rFonts w:hint="eastAsia" w:ascii="宋体" w:hAnsi="宋体" w:eastAsia="宋体" w:cs="宋体"/>
                <w:b/>
                <w:bCs/>
                <w:color w:val="auto"/>
                <w:sz w:val="21"/>
                <w:szCs w:val="21"/>
                <w:highlight w:val="none"/>
              </w:rPr>
            </w:pPr>
          </w:p>
        </w:tc>
        <w:tc>
          <w:tcPr>
            <w:tcW w:w="5827" w:type="dxa"/>
            <w:noWrap w:val="0"/>
            <w:vAlign w:val="top"/>
          </w:tcPr>
          <w:p w14:paraId="0EEDEDC8">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eastAsia="zh-CN"/>
              </w:rPr>
              <w:t>Ⅳ类</w:t>
            </w:r>
            <w:r>
              <w:rPr>
                <w:rFonts w:hint="eastAsia" w:ascii="宋体" w:hAnsi="宋体" w:eastAsia="宋体" w:cs="宋体"/>
                <w:color w:val="auto"/>
                <w:sz w:val="21"/>
                <w:szCs w:val="21"/>
                <w:highlight w:val="none"/>
              </w:rPr>
              <w:t>水体</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3类声环境功能区</w:t>
            </w:r>
            <w:r>
              <w:rPr>
                <w:rFonts w:hint="eastAsia" w:ascii="宋体" w:hAnsi="宋体" w:eastAsia="宋体" w:cs="宋体"/>
                <w:color w:val="auto"/>
                <w:sz w:val="21"/>
                <w:szCs w:val="21"/>
                <w:highlight w:val="none"/>
                <w:lang w:val="en-US" w:eastAsia="zh-CN"/>
              </w:rPr>
              <w:t>/第三类海水水质的区域</w:t>
            </w:r>
          </w:p>
        </w:tc>
        <w:tc>
          <w:tcPr>
            <w:tcW w:w="1324" w:type="dxa"/>
            <w:shd w:val="clear" w:color="auto" w:fill="auto"/>
            <w:noWrap w:val="0"/>
            <w:vAlign w:val="center"/>
          </w:tcPr>
          <w:p w14:paraId="3474974D">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r>
      <w:tr w14:paraId="638FF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7" w:type="dxa"/>
            <w:vMerge w:val="continue"/>
            <w:noWrap w:val="0"/>
            <w:vAlign w:val="center"/>
          </w:tcPr>
          <w:p w14:paraId="5988CA33">
            <w:pPr>
              <w:jc w:val="center"/>
              <w:rPr>
                <w:rFonts w:hint="eastAsia" w:ascii="宋体" w:hAnsi="宋体" w:eastAsia="宋体" w:cs="宋体"/>
                <w:b/>
                <w:bCs/>
                <w:color w:val="auto"/>
                <w:sz w:val="21"/>
                <w:szCs w:val="21"/>
                <w:highlight w:val="none"/>
              </w:rPr>
            </w:pPr>
          </w:p>
        </w:tc>
        <w:tc>
          <w:tcPr>
            <w:tcW w:w="5827" w:type="dxa"/>
            <w:noWrap w:val="0"/>
            <w:vAlign w:val="top"/>
          </w:tcPr>
          <w:p w14:paraId="080A97BC">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eastAsia="zh-CN"/>
              </w:rPr>
              <w:t>二类环境空气功能区</w:t>
            </w:r>
            <w:r>
              <w:rPr>
                <w:rFonts w:hint="eastAsia" w:ascii="宋体" w:hAnsi="宋体" w:eastAsia="宋体" w:cs="宋体"/>
                <w:color w:val="auto"/>
                <w:sz w:val="21"/>
                <w:szCs w:val="21"/>
                <w:highlight w:val="none"/>
                <w:lang w:eastAsia="zh-CN"/>
              </w:rPr>
              <w:t>（居民区、商业交通居民混合区、文化区）/</w:t>
            </w:r>
            <w:r>
              <w:rPr>
                <w:rFonts w:hint="eastAsia" w:ascii="宋体" w:hAnsi="宋体" w:cs="宋体"/>
                <w:color w:val="auto"/>
                <w:sz w:val="21"/>
                <w:szCs w:val="21"/>
                <w:highlight w:val="none"/>
                <w:lang w:eastAsia="zh-CN"/>
              </w:rPr>
              <w:t>Ⅲ类</w:t>
            </w:r>
            <w:r>
              <w:rPr>
                <w:rFonts w:hint="eastAsia" w:ascii="宋体" w:hAnsi="宋体" w:eastAsia="宋体" w:cs="宋体"/>
                <w:color w:val="auto"/>
                <w:sz w:val="21"/>
                <w:szCs w:val="21"/>
                <w:highlight w:val="none"/>
                <w:lang w:eastAsia="zh-CN"/>
              </w:rPr>
              <w:t>水体/2类声环境功能区/饮用水水源准保护区/自然保护地外的生态保护红线区域</w:t>
            </w:r>
          </w:p>
        </w:tc>
        <w:tc>
          <w:tcPr>
            <w:tcW w:w="1324" w:type="dxa"/>
            <w:shd w:val="clear" w:color="auto" w:fill="auto"/>
            <w:noWrap w:val="0"/>
            <w:vAlign w:val="center"/>
          </w:tcPr>
          <w:p w14:paraId="0F6AFF95">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3</w:t>
            </w:r>
          </w:p>
        </w:tc>
      </w:tr>
      <w:tr w14:paraId="163B8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7" w:type="dxa"/>
            <w:vMerge w:val="continue"/>
            <w:noWrap w:val="0"/>
            <w:vAlign w:val="center"/>
          </w:tcPr>
          <w:p w14:paraId="01903444">
            <w:pPr>
              <w:jc w:val="center"/>
              <w:rPr>
                <w:rFonts w:hint="eastAsia" w:ascii="宋体" w:hAnsi="宋体" w:eastAsia="宋体" w:cs="宋体"/>
                <w:b/>
                <w:bCs/>
                <w:color w:val="auto"/>
                <w:sz w:val="21"/>
                <w:szCs w:val="21"/>
                <w:highlight w:val="none"/>
              </w:rPr>
            </w:pPr>
          </w:p>
        </w:tc>
        <w:tc>
          <w:tcPr>
            <w:tcW w:w="5827" w:type="dxa"/>
            <w:noWrap w:val="0"/>
            <w:vAlign w:val="top"/>
          </w:tcPr>
          <w:p w14:paraId="38C53480">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Ⅱ类</w:t>
            </w:r>
            <w:r>
              <w:rPr>
                <w:rFonts w:hint="eastAsia" w:ascii="宋体" w:hAnsi="宋体" w:eastAsia="宋体" w:cs="宋体"/>
                <w:color w:val="auto"/>
                <w:sz w:val="21"/>
                <w:szCs w:val="21"/>
                <w:highlight w:val="none"/>
              </w:rPr>
              <w:t>水体</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1类声环境功能区／自然保护地一般控制区</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饮用水水源二级保护区</w:t>
            </w:r>
            <w:r>
              <w:rPr>
                <w:rFonts w:hint="eastAsia" w:ascii="宋体" w:hAnsi="宋体" w:eastAsia="宋体" w:cs="宋体"/>
                <w:color w:val="auto"/>
                <w:sz w:val="21"/>
                <w:szCs w:val="21"/>
                <w:highlight w:val="none"/>
                <w:lang w:val="en-US" w:eastAsia="zh-CN"/>
              </w:rPr>
              <w:t>/第二类海水水质的区域</w:t>
            </w:r>
          </w:p>
        </w:tc>
        <w:tc>
          <w:tcPr>
            <w:tcW w:w="1324" w:type="dxa"/>
            <w:shd w:val="clear" w:color="auto" w:fill="auto"/>
            <w:noWrap w:val="0"/>
            <w:vAlign w:val="center"/>
          </w:tcPr>
          <w:p w14:paraId="29F5EC2D">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r>
      <w:tr w14:paraId="33E49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7" w:type="dxa"/>
            <w:vMerge w:val="continue"/>
            <w:noWrap w:val="0"/>
            <w:vAlign w:val="center"/>
          </w:tcPr>
          <w:p w14:paraId="139746D2">
            <w:pPr>
              <w:jc w:val="center"/>
              <w:rPr>
                <w:rFonts w:hint="eastAsia" w:ascii="宋体" w:hAnsi="宋体" w:eastAsia="宋体" w:cs="宋体"/>
                <w:b/>
                <w:bCs/>
                <w:color w:val="auto"/>
                <w:sz w:val="21"/>
                <w:szCs w:val="21"/>
                <w:highlight w:val="none"/>
              </w:rPr>
            </w:pPr>
          </w:p>
        </w:tc>
        <w:tc>
          <w:tcPr>
            <w:tcW w:w="5827" w:type="dxa"/>
            <w:noWrap w:val="0"/>
            <w:vAlign w:val="top"/>
          </w:tcPr>
          <w:p w14:paraId="3EECC0E8">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eastAsia="zh-CN"/>
              </w:rPr>
              <w:t>一类环境空气功能区</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I类水体</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0类声环境功能区／自然保护地核心保护区</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饮用水水源一级保护区</w:t>
            </w:r>
            <w:r>
              <w:rPr>
                <w:rFonts w:hint="eastAsia" w:ascii="宋体" w:hAnsi="宋体" w:eastAsia="宋体" w:cs="宋体"/>
                <w:color w:val="auto"/>
                <w:sz w:val="21"/>
                <w:szCs w:val="21"/>
                <w:highlight w:val="none"/>
                <w:lang w:val="en-US" w:eastAsia="zh-CN"/>
              </w:rPr>
              <w:t>/第一类海水水质的区域</w:t>
            </w:r>
          </w:p>
        </w:tc>
        <w:tc>
          <w:tcPr>
            <w:tcW w:w="1324" w:type="dxa"/>
            <w:shd w:val="clear" w:color="auto" w:fill="auto"/>
            <w:noWrap w:val="0"/>
            <w:vAlign w:val="center"/>
          </w:tcPr>
          <w:p w14:paraId="25AA0B94">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5</w:t>
            </w:r>
          </w:p>
        </w:tc>
      </w:tr>
      <w:tr w14:paraId="1485C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7" w:type="dxa"/>
            <w:noWrap w:val="0"/>
            <w:vAlign w:val="center"/>
          </w:tcPr>
          <w:p w14:paraId="63BC705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备注</w:t>
            </w:r>
          </w:p>
        </w:tc>
        <w:tc>
          <w:tcPr>
            <w:tcW w:w="7151" w:type="dxa"/>
            <w:gridSpan w:val="2"/>
            <w:noWrap w:val="0"/>
            <w:vAlign w:val="top"/>
          </w:tcPr>
          <w:p w14:paraId="2FBC876D">
            <w:pPr>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涉及多种污染物类别时，</w:t>
            </w:r>
            <w:r>
              <w:rPr>
                <w:rFonts w:hint="eastAsia" w:ascii="宋体" w:hAnsi="宋体" w:cs="宋体"/>
                <w:color w:val="auto"/>
                <w:sz w:val="21"/>
                <w:szCs w:val="21"/>
                <w:highlight w:val="none"/>
                <w:lang w:eastAsia="zh-CN"/>
              </w:rPr>
              <w:t>裁量</w:t>
            </w:r>
            <w:r>
              <w:rPr>
                <w:rFonts w:hint="eastAsia" w:ascii="宋体" w:hAnsi="宋体" w:eastAsia="宋体" w:cs="宋体"/>
                <w:color w:val="auto"/>
                <w:sz w:val="21"/>
                <w:szCs w:val="21"/>
                <w:highlight w:val="none"/>
              </w:rPr>
              <w:t>标准以裁量等级最高为准</w:t>
            </w:r>
            <w:r>
              <w:rPr>
                <w:rFonts w:hint="eastAsia" w:ascii="宋体" w:hAnsi="宋体" w:eastAsia="宋体" w:cs="宋体"/>
                <w:color w:val="auto"/>
                <w:sz w:val="21"/>
                <w:szCs w:val="21"/>
                <w:highlight w:val="none"/>
                <w:lang w:eastAsia="zh-CN"/>
              </w:rPr>
              <w:t>。</w:t>
            </w:r>
          </w:p>
          <w:p w14:paraId="3966D662">
            <w:pPr>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2.涉及</w:t>
            </w:r>
            <w:r>
              <w:rPr>
                <w:rFonts w:hint="eastAsia" w:ascii="宋体" w:hAnsi="宋体" w:eastAsia="宋体" w:cs="宋体"/>
                <w:color w:val="auto"/>
                <w:sz w:val="21"/>
                <w:szCs w:val="21"/>
                <w:highlight w:val="none"/>
                <w:lang w:eastAsia="zh-CN"/>
              </w:rPr>
              <w:t>养殖尾水的，</w:t>
            </w:r>
            <w:r>
              <w:rPr>
                <w:rFonts w:hint="eastAsia" w:ascii="宋体" w:hAnsi="宋体" w:eastAsia="宋体" w:cs="宋体"/>
                <w:color w:val="auto"/>
                <w:sz w:val="21"/>
                <w:szCs w:val="21"/>
                <w:highlight w:val="none"/>
                <w:lang w:val="en-US" w:eastAsia="zh-CN"/>
              </w:rPr>
              <w:t>不适用污染物</w:t>
            </w:r>
            <w:r>
              <w:rPr>
                <w:rFonts w:hint="eastAsia" w:ascii="宋体" w:hAnsi="宋体" w:eastAsia="宋体" w:cs="宋体"/>
                <w:color w:val="auto"/>
                <w:sz w:val="21"/>
                <w:szCs w:val="21"/>
                <w:highlight w:val="none"/>
              </w:rPr>
              <w:t>类别</w:t>
            </w:r>
            <w:r>
              <w:rPr>
                <w:rFonts w:hint="eastAsia" w:ascii="宋体" w:hAnsi="宋体" w:eastAsia="宋体" w:cs="宋体"/>
                <w:color w:val="auto"/>
                <w:sz w:val="21"/>
                <w:szCs w:val="21"/>
                <w:highlight w:val="none"/>
                <w:lang w:val="en-US" w:eastAsia="zh-CN"/>
              </w:rPr>
              <w:t>的裁量因子。</w:t>
            </w:r>
          </w:p>
        </w:tc>
      </w:tr>
    </w:tbl>
    <w:p w14:paraId="65137818">
      <w:pPr>
        <w:rPr>
          <w:rFonts w:hint="eastAsia" w:ascii="宋体" w:hAnsi="宋体" w:eastAsia="宋体" w:cs="宋体"/>
          <w:sz w:val="21"/>
          <w:szCs w:val="21"/>
          <w:highlight w:val="none"/>
        </w:rPr>
        <w:sectPr>
          <w:pgSz w:w="11906" w:h="16838"/>
          <w:pgMar w:top="2098" w:right="1587" w:bottom="2098" w:left="1587" w:header="851" w:footer="1417" w:gutter="0"/>
          <w:pgNumType w:fmt="decimal"/>
          <w:cols w:space="0" w:num="1"/>
          <w:rtlGutter w:val="0"/>
          <w:docGrid w:type="lines" w:linePitch="312" w:charSpace="0"/>
        </w:sectPr>
      </w:pPr>
    </w:p>
    <w:tbl>
      <w:tblPr>
        <w:tblStyle w:val="8"/>
        <w:tblW w:w="475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34"/>
        <w:gridCol w:w="5761"/>
        <w:gridCol w:w="1220"/>
      </w:tblGrid>
      <w:tr w14:paraId="38B44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5" w:type="dxa"/>
            <w:gridSpan w:val="3"/>
            <w:noWrap w:val="0"/>
            <w:vAlign w:val="top"/>
          </w:tcPr>
          <w:p w14:paraId="7C9C3168">
            <w:pPr>
              <w:jc w:val="center"/>
              <w:rPr>
                <w:rFonts w:hint="eastAsia" w:ascii="宋体" w:hAnsi="宋体" w:eastAsia="宋体" w:cs="宋体"/>
                <w:bCs/>
                <w:color w:val="auto"/>
                <w:sz w:val="21"/>
                <w:szCs w:val="21"/>
                <w:highlight w:val="none"/>
                <w:lang w:eastAsia="zh-CN"/>
              </w:rPr>
            </w:pPr>
            <w:r>
              <w:rPr>
                <w:rFonts w:hint="eastAsia" w:ascii="宋体" w:hAnsi="宋体" w:cs="宋体"/>
                <w:bCs/>
                <w:color w:val="auto"/>
                <w:sz w:val="21"/>
                <w:szCs w:val="21"/>
                <w:highlight w:val="none"/>
                <w:lang w:eastAsia="zh-CN"/>
              </w:rPr>
              <w:t>（一）生态环境监测管理类</w:t>
            </w:r>
          </w:p>
        </w:tc>
      </w:tr>
      <w:tr w14:paraId="7FCE9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34" w:type="dxa"/>
            <w:noWrap w:val="0"/>
            <w:vAlign w:val="center"/>
          </w:tcPr>
          <w:p w14:paraId="5C354BB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981" w:type="dxa"/>
            <w:gridSpan w:val="2"/>
            <w:noWrap w:val="0"/>
            <w:vAlign w:val="top"/>
          </w:tcPr>
          <w:p w14:paraId="03D74A5A">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r>
      <w:tr w14:paraId="57890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34" w:type="dxa"/>
            <w:noWrap w:val="0"/>
            <w:vAlign w:val="center"/>
          </w:tcPr>
          <w:p w14:paraId="30746F7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6981" w:type="dxa"/>
            <w:gridSpan w:val="2"/>
            <w:noWrap w:val="0"/>
            <w:vAlign w:val="center"/>
          </w:tcPr>
          <w:p w14:paraId="4B5A44E8">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未安装、使用、维护、正常运行污染物排放自动监测、监控设备，未与主管部门的监控设备联网，未保存原始监测记录，以及未如实报告的</w:t>
            </w:r>
          </w:p>
        </w:tc>
      </w:tr>
      <w:tr w14:paraId="3FC5A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8" w:hRule="atLeast"/>
          <w:jc w:val="center"/>
        </w:trPr>
        <w:tc>
          <w:tcPr>
            <w:tcW w:w="1534" w:type="dxa"/>
            <w:noWrap w:val="0"/>
            <w:vAlign w:val="center"/>
          </w:tcPr>
          <w:p w14:paraId="0A65F3A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6981" w:type="dxa"/>
            <w:gridSpan w:val="2"/>
            <w:noWrap w:val="0"/>
            <w:vAlign w:val="center"/>
          </w:tcPr>
          <w:p w14:paraId="174B1BEA">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《中华人民共和国生态环境法典》第一百八十四条  实行排污许可重点管理的企业事业单位和其他生产经营者，应当按照国家规定安装、使用、维护污染物排放自动监测设备，开展监控、自动监测，并与生态环境主管部门的监控设备联网，保证自动监测设备正常运行，保存原始监测记录。监测的具体办法由国务院生态环境主管部门制定。</w:t>
            </w:r>
          </w:p>
          <w:p w14:paraId="41A15F09">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实行排污许可重点管理的企业事业单位和其他生产经营者发现污染物排放自动监测设备传输数据异常，应当及时报告生态环境主管部门，并进行检查、修复。生态环境主管部门发现实行排污许可重点管理的企业事业单位和其他生产经营者的污染物排放自动监测设备传输数据异常，应当及时进行调查。</w:t>
            </w:r>
          </w:p>
          <w:p w14:paraId="749C2EAB">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《中华人民共和国生态环境法典》第二百九十八条第二款　工业园区等区域应当配套建设相应的污水集中处理设施，按照规定安装自动监测设备，与生态环境主管部门的监控设备联网，并保证监测设备正常运行。</w:t>
            </w:r>
          </w:p>
          <w:p w14:paraId="37A4B7B6">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w:t>
            </w:r>
            <w:r>
              <w:rPr>
                <w:rFonts w:hint="eastAsia" w:ascii="宋体" w:hAnsi="宋体" w:cs="宋体"/>
                <w:color w:val="auto"/>
                <w:szCs w:val="21"/>
                <w:highlight w:val="none"/>
              </w:rPr>
              <w:t>第五百七十一条　在噪声敏感建筑物集中区域施工作业或者因施工作业可能造成严重污染的，建设单位应当按照国家规定，设置噪声自动监测系统，与监督管理部门联网，保存原始监测记录。</w:t>
            </w:r>
          </w:p>
        </w:tc>
      </w:tr>
      <w:tr w14:paraId="391BD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1534" w:type="dxa"/>
            <w:noWrap w:val="0"/>
            <w:vAlign w:val="center"/>
          </w:tcPr>
          <w:p w14:paraId="6204E87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6981" w:type="dxa"/>
            <w:gridSpan w:val="2"/>
            <w:noWrap w:val="0"/>
            <w:vAlign w:val="center"/>
          </w:tcPr>
          <w:p w14:paraId="2169CD78">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《中华人民共和国生态环境法典》第一千零八十六条</w:t>
            </w:r>
            <w:r>
              <w:rPr>
                <w:rFonts w:hint="eastAsia" w:ascii="宋体" w:hAnsi="宋体" w:eastAsia="宋体" w:cs="宋体"/>
                <w:color w:val="auto"/>
                <w:sz w:val="21"/>
                <w:szCs w:val="21"/>
                <w:highlight w:val="none"/>
                <w:lang w:val="en-US" w:eastAsia="zh-CN"/>
              </w:rPr>
              <w:t>第一款第二项</w:t>
            </w:r>
            <w:r>
              <w:rPr>
                <w:rFonts w:hint="eastAsia" w:ascii="宋体" w:hAnsi="宋体" w:eastAsia="宋体" w:cs="宋体"/>
                <w:color w:val="auto"/>
                <w:sz w:val="21"/>
                <w:szCs w:val="21"/>
                <w:highlight w:val="none"/>
              </w:rPr>
              <w:t xml:space="preserve">  违反本法规定，有下列情形之一的，由负有生态环境保护监督管理职责的部门、机构按照职责分工责令改正，处二万元以上二十万元以下的罚款；拒不改正的，可以责令限制生产、停产整治：</w:t>
            </w:r>
          </w:p>
          <w:p w14:paraId="4C7068BD">
            <w:pPr>
              <w:ind w:firstLine="420" w:firstLineChars="200"/>
              <w:rPr>
                <w:rFonts w:hint="eastAsia" w:ascii="宋体" w:hAnsi="宋体" w:eastAsia="宋体" w:cs="宋体"/>
                <w:strike/>
                <w:dstrike w:val="0"/>
                <w:color w:val="C00000"/>
                <w:sz w:val="21"/>
                <w:szCs w:val="21"/>
                <w:highlight w:val="none"/>
              </w:rPr>
            </w:pPr>
            <w:r>
              <w:rPr>
                <w:rFonts w:hint="eastAsia" w:ascii="宋体" w:hAnsi="宋体" w:eastAsia="宋体" w:cs="宋体"/>
                <w:color w:val="auto"/>
                <w:sz w:val="21"/>
                <w:szCs w:val="21"/>
                <w:highlight w:val="none"/>
              </w:rPr>
              <w:t>（二）未安装、使用、维护、正常运行污染物排放自动监测、监控设备，未与主管部门的监控设备联网，未保存原始监测记录，以及未如实报告；</w:t>
            </w:r>
          </w:p>
        </w:tc>
      </w:tr>
      <w:tr w14:paraId="41A68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34" w:type="dxa"/>
            <w:noWrap w:val="0"/>
            <w:vAlign w:val="center"/>
          </w:tcPr>
          <w:p w14:paraId="2C529BA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761" w:type="dxa"/>
            <w:noWrap w:val="0"/>
            <w:vAlign w:val="top"/>
          </w:tcPr>
          <w:p w14:paraId="519E8AB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220" w:type="dxa"/>
            <w:noWrap w:val="0"/>
            <w:vAlign w:val="top"/>
          </w:tcPr>
          <w:p w14:paraId="41C6502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33616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34" w:type="dxa"/>
            <w:vMerge w:val="restart"/>
            <w:shd w:val="clear" w:color="auto" w:fill="auto"/>
            <w:noWrap w:val="0"/>
            <w:vAlign w:val="center"/>
          </w:tcPr>
          <w:p w14:paraId="5373D6C9">
            <w:pPr>
              <w:jc w:val="center"/>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违法事实</w:t>
            </w:r>
          </w:p>
        </w:tc>
        <w:tc>
          <w:tcPr>
            <w:tcW w:w="5761" w:type="dxa"/>
            <w:shd w:val="clear" w:color="auto" w:fill="auto"/>
            <w:noWrap w:val="0"/>
            <w:vAlign w:val="center"/>
          </w:tcPr>
          <w:p w14:paraId="4055FE16">
            <w:pPr>
              <w:adjustRightInd w:val="0"/>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已安装并使用自动监测、监控设备，但存在下列一项行为：</w:t>
            </w:r>
            <w:r>
              <w:rPr>
                <w:rFonts w:hint="eastAsia" w:ascii="宋体" w:hAnsi="宋体" w:eastAsia="宋体" w:cs="宋体"/>
                <w:color w:val="auto"/>
                <w:sz w:val="21"/>
                <w:szCs w:val="21"/>
                <w:highlight w:val="none"/>
              </w:rPr>
              <w:t>未保存原始监测记录</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未如实报告</w:t>
            </w:r>
          </w:p>
        </w:tc>
        <w:tc>
          <w:tcPr>
            <w:tcW w:w="1220" w:type="dxa"/>
            <w:noWrap w:val="0"/>
            <w:vAlign w:val="center"/>
          </w:tcPr>
          <w:p w14:paraId="26782DA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58F97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34" w:type="dxa"/>
            <w:vMerge w:val="continue"/>
            <w:noWrap w:val="0"/>
            <w:vAlign w:val="center"/>
          </w:tcPr>
          <w:p w14:paraId="16496214">
            <w:pPr>
              <w:jc w:val="center"/>
              <w:rPr>
                <w:rFonts w:hint="eastAsia" w:ascii="宋体" w:hAnsi="宋体" w:eastAsia="宋体" w:cs="宋体"/>
                <w:b/>
                <w:bCs/>
                <w:color w:val="auto"/>
                <w:sz w:val="21"/>
                <w:szCs w:val="21"/>
                <w:highlight w:val="none"/>
              </w:rPr>
            </w:pPr>
          </w:p>
        </w:tc>
        <w:tc>
          <w:tcPr>
            <w:tcW w:w="5761" w:type="dxa"/>
            <w:shd w:val="clear" w:color="auto" w:fill="auto"/>
            <w:noWrap w:val="0"/>
            <w:vAlign w:val="center"/>
          </w:tcPr>
          <w:p w14:paraId="4BF4E774">
            <w:pPr>
              <w:adjustRightInd w:val="0"/>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已安装并使用自动监测、监控设备，但存在下列两项行为：</w:t>
            </w:r>
            <w:r>
              <w:rPr>
                <w:rFonts w:hint="eastAsia" w:ascii="宋体" w:hAnsi="宋体" w:eastAsia="宋体" w:cs="宋体"/>
                <w:color w:val="auto"/>
                <w:sz w:val="21"/>
                <w:szCs w:val="21"/>
                <w:highlight w:val="none"/>
              </w:rPr>
              <w:t>未保存原始监测记录</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未如实报告</w:t>
            </w:r>
          </w:p>
        </w:tc>
        <w:tc>
          <w:tcPr>
            <w:tcW w:w="1220" w:type="dxa"/>
            <w:noWrap w:val="0"/>
            <w:vAlign w:val="center"/>
          </w:tcPr>
          <w:p w14:paraId="19AA2863">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w:t>
            </w:r>
          </w:p>
        </w:tc>
      </w:tr>
      <w:tr w14:paraId="7362D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34" w:type="dxa"/>
            <w:vMerge w:val="continue"/>
            <w:noWrap w:val="0"/>
            <w:vAlign w:val="center"/>
          </w:tcPr>
          <w:p w14:paraId="3F1750BE">
            <w:pPr>
              <w:jc w:val="center"/>
              <w:rPr>
                <w:rFonts w:hint="eastAsia" w:ascii="宋体" w:hAnsi="宋体" w:eastAsia="宋体" w:cs="宋体"/>
                <w:b/>
                <w:bCs/>
                <w:color w:val="auto"/>
                <w:sz w:val="21"/>
                <w:szCs w:val="21"/>
                <w:highlight w:val="none"/>
              </w:rPr>
            </w:pPr>
          </w:p>
        </w:tc>
        <w:tc>
          <w:tcPr>
            <w:tcW w:w="5761" w:type="dxa"/>
            <w:shd w:val="clear" w:color="auto" w:fill="auto"/>
            <w:noWrap w:val="0"/>
            <w:vAlign w:val="center"/>
          </w:tcPr>
          <w:p w14:paraId="0BAA9CE9">
            <w:pPr>
              <w:adjustRightInd w:val="0"/>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已安装并使用自动监测、监控设备，未按照国家规定维护、正常运行</w:t>
            </w:r>
          </w:p>
        </w:tc>
        <w:tc>
          <w:tcPr>
            <w:tcW w:w="1220" w:type="dxa"/>
            <w:noWrap w:val="0"/>
            <w:vAlign w:val="center"/>
          </w:tcPr>
          <w:p w14:paraId="5774A484">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r>
      <w:tr w14:paraId="21E93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34" w:type="dxa"/>
            <w:vMerge w:val="continue"/>
            <w:noWrap w:val="0"/>
            <w:vAlign w:val="center"/>
          </w:tcPr>
          <w:p w14:paraId="0189FA52">
            <w:pPr>
              <w:jc w:val="center"/>
              <w:rPr>
                <w:rFonts w:hint="eastAsia" w:ascii="宋体" w:hAnsi="宋体" w:eastAsia="宋体" w:cs="宋体"/>
                <w:b/>
                <w:bCs/>
                <w:color w:val="auto"/>
                <w:sz w:val="21"/>
                <w:szCs w:val="21"/>
                <w:highlight w:val="none"/>
              </w:rPr>
            </w:pPr>
          </w:p>
        </w:tc>
        <w:tc>
          <w:tcPr>
            <w:tcW w:w="5761" w:type="dxa"/>
            <w:shd w:val="clear" w:color="auto" w:fill="auto"/>
            <w:noWrap w:val="0"/>
            <w:vAlign w:val="center"/>
          </w:tcPr>
          <w:p w14:paraId="1A8790BD">
            <w:pPr>
              <w:adjustRightInd w:val="0"/>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已安装并使用自动监测、监控设备，未与主管部门的监控设备联网</w:t>
            </w:r>
          </w:p>
        </w:tc>
        <w:tc>
          <w:tcPr>
            <w:tcW w:w="1220" w:type="dxa"/>
            <w:noWrap w:val="0"/>
            <w:vAlign w:val="center"/>
          </w:tcPr>
          <w:p w14:paraId="2D4F2A92">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r>
      <w:tr w14:paraId="2368E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34" w:type="dxa"/>
            <w:vMerge w:val="continue"/>
            <w:noWrap w:val="0"/>
            <w:vAlign w:val="center"/>
          </w:tcPr>
          <w:p w14:paraId="2FBC3336">
            <w:pPr>
              <w:jc w:val="center"/>
              <w:rPr>
                <w:rFonts w:hint="eastAsia" w:ascii="宋体" w:hAnsi="宋体" w:eastAsia="宋体" w:cs="宋体"/>
                <w:b/>
                <w:bCs/>
                <w:color w:val="auto"/>
                <w:sz w:val="21"/>
                <w:szCs w:val="21"/>
                <w:highlight w:val="none"/>
              </w:rPr>
            </w:pPr>
          </w:p>
          <w:p w14:paraId="73C7D150">
            <w:pPr>
              <w:jc w:val="center"/>
              <w:rPr>
                <w:rFonts w:hint="eastAsia" w:ascii="宋体" w:hAnsi="宋体" w:eastAsia="宋体" w:cs="宋体"/>
                <w:b/>
                <w:bCs/>
                <w:color w:val="auto"/>
                <w:sz w:val="21"/>
                <w:szCs w:val="21"/>
                <w:highlight w:val="none"/>
              </w:rPr>
            </w:pPr>
          </w:p>
        </w:tc>
        <w:tc>
          <w:tcPr>
            <w:tcW w:w="5761" w:type="dxa"/>
            <w:shd w:val="clear" w:color="auto" w:fill="auto"/>
            <w:noWrap w:val="0"/>
            <w:vAlign w:val="center"/>
          </w:tcPr>
          <w:p w14:paraId="07D63BE9">
            <w:pPr>
              <w:adjustRightInd w:val="0"/>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未安装或未使用自动监测、监控设备</w:t>
            </w:r>
          </w:p>
        </w:tc>
        <w:tc>
          <w:tcPr>
            <w:tcW w:w="1220" w:type="dxa"/>
            <w:noWrap w:val="0"/>
            <w:vAlign w:val="center"/>
          </w:tcPr>
          <w:p w14:paraId="0C9069C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01E2F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34" w:type="dxa"/>
            <w:vMerge w:val="restart"/>
            <w:noWrap w:val="0"/>
            <w:vAlign w:val="center"/>
          </w:tcPr>
          <w:p w14:paraId="74D9FD34">
            <w:pPr>
              <w:jc w:val="center"/>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lang w:val="en-US" w:eastAsia="zh-CN"/>
              </w:rPr>
              <w:t>污染物</w:t>
            </w:r>
            <w:r>
              <w:rPr>
                <w:rFonts w:hint="eastAsia" w:ascii="宋体" w:hAnsi="宋体" w:eastAsia="宋体" w:cs="宋体"/>
                <w:color w:val="auto"/>
                <w:sz w:val="21"/>
                <w:szCs w:val="21"/>
                <w:highlight w:val="none"/>
              </w:rPr>
              <w:t>类别</w:t>
            </w:r>
          </w:p>
        </w:tc>
        <w:tc>
          <w:tcPr>
            <w:tcW w:w="5761" w:type="dxa"/>
            <w:shd w:val="clear" w:color="auto" w:fill="auto"/>
            <w:noWrap w:val="0"/>
            <w:vAlign w:val="top"/>
          </w:tcPr>
          <w:p w14:paraId="3524523F">
            <w:pPr>
              <w:adjustRightInd w:val="0"/>
              <w:ind w:firstLine="420" w:firstLineChars="200"/>
              <w:jc w:val="both"/>
              <w:rPr>
                <w:rFonts w:hint="eastAsia" w:ascii="宋体" w:hAnsi="宋体" w:eastAsia="宋体" w:cs="宋体"/>
                <w:b/>
                <w:bCs/>
                <w:sz w:val="21"/>
                <w:szCs w:val="21"/>
                <w:highlight w:val="none"/>
                <w:lang w:val="en-US" w:eastAsia="zh-CN"/>
              </w:rPr>
            </w:pPr>
            <w:r>
              <w:rPr>
                <w:rFonts w:hint="eastAsia" w:ascii="宋体" w:hAnsi="宋体" w:eastAsia="宋体" w:cs="宋体"/>
                <w:color w:val="auto"/>
                <w:sz w:val="21"/>
                <w:szCs w:val="21"/>
                <w:highlight w:val="none"/>
                <w:lang w:val="en-US" w:eastAsia="zh-CN"/>
              </w:rPr>
              <w:t>一般废气、废水、固体废物、噪声、畜禽养殖废水</w:t>
            </w:r>
          </w:p>
        </w:tc>
        <w:tc>
          <w:tcPr>
            <w:tcW w:w="1220" w:type="dxa"/>
            <w:noWrap w:val="0"/>
            <w:vAlign w:val="center"/>
          </w:tcPr>
          <w:p w14:paraId="37C36D5F">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1</w:t>
            </w:r>
          </w:p>
        </w:tc>
      </w:tr>
      <w:tr w14:paraId="42912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34" w:type="dxa"/>
            <w:vMerge w:val="continue"/>
            <w:noWrap w:val="0"/>
            <w:vAlign w:val="center"/>
          </w:tcPr>
          <w:p w14:paraId="5538F05C">
            <w:pPr>
              <w:jc w:val="center"/>
              <w:rPr>
                <w:rFonts w:hint="eastAsia" w:ascii="宋体" w:hAnsi="宋体" w:eastAsia="宋体" w:cs="宋体"/>
                <w:b/>
                <w:bCs/>
                <w:color w:val="auto"/>
                <w:sz w:val="21"/>
                <w:szCs w:val="21"/>
                <w:highlight w:val="none"/>
              </w:rPr>
            </w:pPr>
          </w:p>
        </w:tc>
        <w:tc>
          <w:tcPr>
            <w:tcW w:w="5761" w:type="dxa"/>
            <w:shd w:val="clear" w:color="auto" w:fill="auto"/>
            <w:noWrap w:val="0"/>
            <w:vAlign w:val="top"/>
          </w:tcPr>
          <w:p w14:paraId="49302AEE">
            <w:pPr>
              <w:adjustRightInd w:val="0"/>
              <w:ind w:firstLine="420" w:firstLineChars="200"/>
              <w:jc w:val="both"/>
              <w:rPr>
                <w:rFonts w:hint="eastAsia" w:ascii="宋体" w:hAnsi="宋体" w:eastAsia="宋体" w:cs="宋体"/>
                <w:b/>
                <w:bCs/>
                <w:sz w:val="21"/>
                <w:szCs w:val="21"/>
                <w:highlight w:val="none"/>
                <w:lang w:val="en-US" w:eastAsia="zh-CN"/>
              </w:rPr>
            </w:pPr>
            <w:r>
              <w:rPr>
                <w:rFonts w:hint="eastAsia" w:ascii="宋体" w:hAnsi="宋体" w:eastAsia="宋体" w:cs="宋体"/>
                <w:color w:val="auto"/>
                <w:sz w:val="21"/>
                <w:szCs w:val="21"/>
                <w:highlight w:val="none"/>
              </w:rPr>
              <w:t>火电、钢铁、石化、水泥、炼焦、有色、化工废气/医疗废水</w:t>
            </w:r>
          </w:p>
        </w:tc>
        <w:tc>
          <w:tcPr>
            <w:tcW w:w="1220" w:type="dxa"/>
            <w:noWrap w:val="0"/>
            <w:vAlign w:val="center"/>
          </w:tcPr>
          <w:p w14:paraId="59B9C55A">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r>
      <w:tr w14:paraId="69F37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34" w:type="dxa"/>
            <w:vMerge w:val="continue"/>
            <w:noWrap w:val="0"/>
            <w:vAlign w:val="center"/>
          </w:tcPr>
          <w:p w14:paraId="65410D98">
            <w:pPr>
              <w:jc w:val="center"/>
              <w:rPr>
                <w:rFonts w:hint="eastAsia" w:ascii="宋体" w:hAnsi="宋体" w:eastAsia="宋体" w:cs="宋体"/>
                <w:b/>
                <w:bCs/>
                <w:color w:val="auto"/>
                <w:sz w:val="21"/>
                <w:szCs w:val="21"/>
                <w:highlight w:val="none"/>
              </w:rPr>
            </w:pPr>
          </w:p>
        </w:tc>
        <w:tc>
          <w:tcPr>
            <w:tcW w:w="5761" w:type="dxa"/>
            <w:shd w:val="clear" w:color="auto" w:fill="auto"/>
            <w:noWrap w:val="0"/>
            <w:vAlign w:val="top"/>
          </w:tcPr>
          <w:p w14:paraId="77219958">
            <w:pPr>
              <w:adjustRightInd w:val="0"/>
              <w:ind w:firstLine="420" w:firstLineChars="200"/>
              <w:jc w:val="both"/>
              <w:rPr>
                <w:rFonts w:hint="eastAsia" w:ascii="宋体" w:hAnsi="宋体" w:eastAsia="宋体" w:cs="宋体"/>
                <w:b/>
                <w:bCs/>
                <w:sz w:val="21"/>
                <w:szCs w:val="21"/>
                <w:highlight w:val="none"/>
                <w:lang w:val="en-US" w:eastAsia="zh-CN"/>
              </w:rPr>
            </w:pPr>
            <w:r>
              <w:rPr>
                <w:rFonts w:hint="eastAsia" w:ascii="宋体" w:hAnsi="宋体" w:eastAsia="宋体" w:cs="宋体"/>
                <w:color w:val="auto"/>
                <w:sz w:val="21"/>
                <w:szCs w:val="21"/>
                <w:highlight w:val="none"/>
              </w:rPr>
              <w:t>含有毒有害物质的废气、废水／含一类污染物或重金属、病原体、放射性物质的废水／危险废物</w:t>
            </w:r>
          </w:p>
        </w:tc>
        <w:tc>
          <w:tcPr>
            <w:tcW w:w="1220" w:type="dxa"/>
            <w:noWrap w:val="0"/>
            <w:vAlign w:val="center"/>
          </w:tcPr>
          <w:p w14:paraId="7010839C">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r>
      <w:tr w14:paraId="1DFA6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34" w:type="dxa"/>
            <w:vMerge w:val="restart"/>
            <w:noWrap w:val="0"/>
            <w:vAlign w:val="center"/>
          </w:tcPr>
          <w:p w14:paraId="74FF4D7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排放去向或</w:t>
            </w:r>
          </w:p>
          <w:p w14:paraId="444C3CAB">
            <w:pPr>
              <w:jc w:val="center"/>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区域</w:t>
            </w:r>
          </w:p>
        </w:tc>
        <w:tc>
          <w:tcPr>
            <w:tcW w:w="5761" w:type="dxa"/>
            <w:shd w:val="clear" w:color="auto" w:fill="auto"/>
            <w:noWrap w:val="0"/>
            <w:vAlign w:val="top"/>
          </w:tcPr>
          <w:p w14:paraId="11C52F4B">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b/>
                <w:bCs/>
                <w:color w:val="auto"/>
                <w:sz w:val="21"/>
                <w:szCs w:val="21"/>
                <w:highlight w:val="none"/>
                <w:lang w:eastAsia="zh-CN"/>
              </w:rPr>
            </w:pPr>
            <w:r>
              <w:rPr>
                <w:rFonts w:hint="eastAsia" w:ascii="宋体" w:hAnsi="宋体" w:cs="宋体"/>
                <w:color w:val="auto"/>
                <w:sz w:val="21"/>
                <w:szCs w:val="21"/>
                <w:highlight w:val="none"/>
                <w:lang w:eastAsia="zh-CN"/>
              </w:rPr>
              <w:t>二类环境空气功能区</w:t>
            </w:r>
            <w:r>
              <w:rPr>
                <w:rFonts w:hint="eastAsia" w:ascii="宋体" w:hAnsi="宋体" w:eastAsia="宋体" w:cs="宋体"/>
                <w:color w:val="auto"/>
                <w:sz w:val="21"/>
                <w:szCs w:val="21"/>
                <w:highlight w:val="none"/>
              </w:rPr>
              <w:t>（工业区和农村地区）</w:t>
            </w:r>
            <w:r>
              <w:rPr>
                <w:rFonts w:hint="eastAsia" w:ascii="宋体" w:hAnsi="宋体" w:cs="宋体"/>
                <w:color w:val="auto"/>
                <w:sz w:val="21"/>
                <w:szCs w:val="21"/>
                <w:highlight w:val="none"/>
                <w:lang w:val="en-US" w:eastAsia="zh-CN"/>
              </w:rPr>
              <w:t>/V类水体（或者污水集中处理设施）/</w:t>
            </w:r>
            <w:r>
              <w:rPr>
                <w:rFonts w:hint="eastAsia" w:ascii="宋体" w:hAnsi="宋体" w:eastAsia="宋体" w:cs="宋体"/>
                <w:color w:val="auto"/>
                <w:sz w:val="21"/>
                <w:szCs w:val="21"/>
                <w:highlight w:val="none"/>
              </w:rPr>
              <w:t>4类声环境功能区</w:t>
            </w:r>
            <w:r>
              <w:rPr>
                <w:rFonts w:hint="eastAsia" w:ascii="宋体" w:hAnsi="宋体" w:eastAsia="宋体" w:cs="宋体"/>
                <w:color w:val="auto"/>
                <w:sz w:val="21"/>
                <w:szCs w:val="21"/>
                <w:highlight w:val="none"/>
                <w:lang w:val="en-US" w:eastAsia="zh-CN"/>
              </w:rPr>
              <w:t>/第四类海水水质的区域</w:t>
            </w:r>
          </w:p>
        </w:tc>
        <w:tc>
          <w:tcPr>
            <w:tcW w:w="1220" w:type="dxa"/>
            <w:shd w:val="clear" w:color="auto" w:fill="auto"/>
            <w:noWrap w:val="0"/>
            <w:vAlign w:val="center"/>
          </w:tcPr>
          <w:p w14:paraId="2781302C">
            <w:pPr>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1</w:t>
            </w:r>
          </w:p>
        </w:tc>
      </w:tr>
      <w:tr w14:paraId="2886B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34" w:type="dxa"/>
            <w:vMerge w:val="continue"/>
            <w:noWrap w:val="0"/>
            <w:vAlign w:val="center"/>
          </w:tcPr>
          <w:p w14:paraId="4EF1AC1F">
            <w:pPr>
              <w:jc w:val="center"/>
              <w:rPr>
                <w:rFonts w:hint="eastAsia" w:ascii="宋体" w:hAnsi="宋体" w:eastAsia="宋体" w:cs="宋体"/>
                <w:b/>
                <w:bCs/>
                <w:color w:val="auto"/>
                <w:sz w:val="21"/>
                <w:szCs w:val="21"/>
                <w:highlight w:val="none"/>
              </w:rPr>
            </w:pPr>
          </w:p>
        </w:tc>
        <w:tc>
          <w:tcPr>
            <w:tcW w:w="5761" w:type="dxa"/>
            <w:shd w:val="clear" w:color="auto" w:fill="auto"/>
            <w:noWrap w:val="0"/>
            <w:vAlign w:val="top"/>
          </w:tcPr>
          <w:p w14:paraId="0C8E1CC7">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b/>
                <w:bCs/>
                <w:color w:val="auto"/>
                <w:sz w:val="21"/>
                <w:szCs w:val="21"/>
                <w:highlight w:val="none"/>
                <w:lang w:eastAsia="zh-CN"/>
              </w:rPr>
            </w:pPr>
            <w:r>
              <w:rPr>
                <w:rFonts w:hint="eastAsia" w:ascii="宋体" w:hAnsi="宋体" w:cs="宋体"/>
                <w:color w:val="auto"/>
                <w:sz w:val="21"/>
                <w:szCs w:val="21"/>
                <w:highlight w:val="none"/>
                <w:lang w:eastAsia="zh-CN"/>
              </w:rPr>
              <w:t>Ⅳ类</w:t>
            </w:r>
            <w:r>
              <w:rPr>
                <w:rFonts w:hint="eastAsia" w:ascii="宋体" w:hAnsi="宋体" w:eastAsia="宋体" w:cs="宋体"/>
                <w:color w:val="auto"/>
                <w:sz w:val="21"/>
                <w:szCs w:val="21"/>
                <w:highlight w:val="none"/>
              </w:rPr>
              <w:t>水体</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3类声环境功能区</w:t>
            </w:r>
            <w:r>
              <w:rPr>
                <w:rFonts w:hint="eastAsia" w:ascii="宋体" w:hAnsi="宋体" w:eastAsia="宋体" w:cs="宋体"/>
                <w:color w:val="auto"/>
                <w:sz w:val="21"/>
                <w:szCs w:val="21"/>
                <w:highlight w:val="none"/>
                <w:lang w:val="en-US" w:eastAsia="zh-CN"/>
              </w:rPr>
              <w:t>/第三类海水水质的区域</w:t>
            </w:r>
          </w:p>
        </w:tc>
        <w:tc>
          <w:tcPr>
            <w:tcW w:w="1220" w:type="dxa"/>
            <w:shd w:val="clear" w:color="auto" w:fill="auto"/>
            <w:noWrap w:val="0"/>
            <w:vAlign w:val="center"/>
          </w:tcPr>
          <w:p w14:paraId="7E9DF10C">
            <w:pPr>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2</w:t>
            </w:r>
          </w:p>
        </w:tc>
      </w:tr>
      <w:tr w14:paraId="5924C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34" w:type="dxa"/>
            <w:vMerge w:val="continue"/>
            <w:noWrap w:val="0"/>
            <w:vAlign w:val="center"/>
          </w:tcPr>
          <w:p w14:paraId="15BC0304">
            <w:pPr>
              <w:jc w:val="center"/>
              <w:rPr>
                <w:rFonts w:hint="eastAsia" w:ascii="宋体" w:hAnsi="宋体" w:eastAsia="宋体" w:cs="宋体"/>
                <w:b/>
                <w:bCs/>
                <w:color w:val="auto"/>
                <w:sz w:val="21"/>
                <w:szCs w:val="21"/>
                <w:highlight w:val="none"/>
              </w:rPr>
            </w:pPr>
          </w:p>
        </w:tc>
        <w:tc>
          <w:tcPr>
            <w:tcW w:w="5761" w:type="dxa"/>
            <w:shd w:val="clear" w:color="auto" w:fill="auto"/>
            <w:noWrap w:val="0"/>
            <w:vAlign w:val="top"/>
          </w:tcPr>
          <w:p w14:paraId="0BF08F18">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b/>
                <w:bCs/>
                <w:color w:val="auto"/>
                <w:sz w:val="21"/>
                <w:szCs w:val="21"/>
                <w:highlight w:val="none"/>
                <w:lang w:val="en-US" w:eastAsia="zh-CN"/>
              </w:rPr>
            </w:pPr>
            <w:r>
              <w:rPr>
                <w:rFonts w:hint="eastAsia" w:ascii="宋体" w:hAnsi="宋体" w:cs="宋体"/>
                <w:color w:val="auto"/>
                <w:sz w:val="21"/>
                <w:szCs w:val="21"/>
                <w:highlight w:val="none"/>
                <w:lang w:eastAsia="zh-CN"/>
              </w:rPr>
              <w:t>二类环境空气功能区</w:t>
            </w:r>
            <w:r>
              <w:rPr>
                <w:rFonts w:hint="eastAsia" w:ascii="宋体" w:hAnsi="宋体" w:eastAsia="宋体" w:cs="宋体"/>
                <w:color w:val="auto"/>
                <w:sz w:val="21"/>
                <w:szCs w:val="21"/>
                <w:highlight w:val="none"/>
                <w:lang w:eastAsia="zh-CN"/>
              </w:rPr>
              <w:t>（居民区、商业交通居民混合区、文化区）/</w:t>
            </w:r>
            <w:r>
              <w:rPr>
                <w:rFonts w:hint="eastAsia" w:ascii="宋体" w:hAnsi="宋体" w:cs="宋体"/>
                <w:color w:val="auto"/>
                <w:sz w:val="21"/>
                <w:szCs w:val="21"/>
                <w:highlight w:val="none"/>
                <w:lang w:eastAsia="zh-CN"/>
              </w:rPr>
              <w:t>Ⅲ类</w:t>
            </w:r>
            <w:r>
              <w:rPr>
                <w:rFonts w:hint="eastAsia" w:ascii="宋体" w:hAnsi="宋体" w:eastAsia="宋体" w:cs="宋体"/>
                <w:color w:val="auto"/>
                <w:sz w:val="21"/>
                <w:szCs w:val="21"/>
                <w:highlight w:val="none"/>
                <w:lang w:eastAsia="zh-CN"/>
              </w:rPr>
              <w:t>水体/2类声环境功能区/饮用水水源准保护区/自然保护地外的生态保护红线区域</w:t>
            </w:r>
          </w:p>
        </w:tc>
        <w:tc>
          <w:tcPr>
            <w:tcW w:w="1220" w:type="dxa"/>
            <w:shd w:val="clear" w:color="auto" w:fill="auto"/>
            <w:noWrap w:val="0"/>
            <w:vAlign w:val="center"/>
          </w:tcPr>
          <w:p w14:paraId="2254195C">
            <w:pPr>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3</w:t>
            </w:r>
          </w:p>
        </w:tc>
      </w:tr>
      <w:tr w14:paraId="541B4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34" w:type="dxa"/>
            <w:vMerge w:val="continue"/>
            <w:noWrap w:val="0"/>
            <w:vAlign w:val="center"/>
          </w:tcPr>
          <w:p w14:paraId="684FDE59">
            <w:pPr>
              <w:jc w:val="center"/>
              <w:rPr>
                <w:rFonts w:hint="eastAsia" w:ascii="宋体" w:hAnsi="宋体" w:eastAsia="宋体" w:cs="宋体"/>
                <w:b/>
                <w:bCs/>
                <w:color w:val="auto"/>
                <w:sz w:val="21"/>
                <w:szCs w:val="21"/>
                <w:highlight w:val="none"/>
              </w:rPr>
            </w:pPr>
          </w:p>
        </w:tc>
        <w:tc>
          <w:tcPr>
            <w:tcW w:w="5761" w:type="dxa"/>
            <w:shd w:val="clear" w:color="auto" w:fill="auto"/>
            <w:noWrap w:val="0"/>
            <w:vAlign w:val="top"/>
          </w:tcPr>
          <w:p w14:paraId="6238B6BD">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b/>
                <w:bCs/>
                <w:color w:val="auto"/>
                <w:sz w:val="21"/>
                <w:szCs w:val="21"/>
                <w:highlight w:val="none"/>
                <w:lang w:eastAsia="zh-CN"/>
              </w:rPr>
            </w:pPr>
            <w:r>
              <w:rPr>
                <w:rFonts w:hint="eastAsia" w:ascii="宋体" w:hAnsi="宋体" w:cs="宋体"/>
                <w:color w:val="auto"/>
                <w:sz w:val="21"/>
                <w:szCs w:val="21"/>
                <w:highlight w:val="none"/>
                <w:lang w:eastAsia="zh-CN"/>
              </w:rPr>
              <w:t>Ⅱ类</w:t>
            </w:r>
            <w:r>
              <w:rPr>
                <w:rFonts w:hint="eastAsia" w:ascii="宋体" w:hAnsi="宋体" w:eastAsia="宋体" w:cs="宋体"/>
                <w:color w:val="auto"/>
                <w:sz w:val="21"/>
                <w:szCs w:val="21"/>
                <w:highlight w:val="none"/>
              </w:rPr>
              <w:t>水体</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1类声环境功能区／自然保护地一般控制区</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饮用水水源二级保护区</w:t>
            </w:r>
            <w:r>
              <w:rPr>
                <w:rFonts w:hint="eastAsia" w:ascii="宋体" w:hAnsi="宋体" w:eastAsia="宋体" w:cs="宋体"/>
                <w:color w:val="auto"/>
                <w:sz w:val="21"/>
                <w:szCs w:val="21"/>
                <w:highlight w:val="none"/>
                <w:lang w:val="en-US" w:eastAsia="zh-CN"/>
              </w:rPr>
              <w:t>/第二类海水水质的区域</w:t>
            </w:r>
          </w:p>
        </w:tc>
        <w:tc>
          <w:tcPr>
            <w:tcW w:w="1220" w:type="dxa"/>
            <w:shd w:val="clear" w:color="auto" w:fill="auto"/>
            <w:noWrap w:val="0"/>
            <w:vAlign w:val="center"/>
          </w:tcPr>
          <w:p w14:paraId="6018B218">
            <w:pPr>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4</w:t>
            </w:r>
          </w:p>
        </w:tc>
      </w:tr>
      <w:tr w14:paraId="494EC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34" w:type="dxa"/>
            <w:vMerge w:val="continue"/>
            <w:noWrap w:val="0"/>
            <w:vAlign w:val="center"/>
          </w:tcPr>
          <w:p w14:paraId="68850104">
            <w:pPr>
              <w:jc w:val="center"/>
              <w:rPr>
                <w:rFonts w:hint="eastAsia" w:ascii="宋体" w:hAnsi="宋体" w:eastAsia="宋体" w:cs="宋体"/>
                <w:b/>
                <w:bCs/>
                <w:color w:val="auto"/>
                <w:sz w:val="21"/>
                <w:szCs w:val="21"/>
                <w:highlight w:val="none"/>
              </w:rPr>
            </w:pPr>
          </w:p>
        </w:tc>
        <w:tc>
          <w:tcPr>
            <w:tcW w:w="5761" w:type="dxa"/>
            <w:shd w:val="clear" w:color="auto" w:fill="auto"/>
            <w:noWrap w:val="0"/>
            <w:vAlign w:val="top"/>
          </w:tcPr>
          <w:p w14:paraId="677FEB87">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b/>
                <w:bCs/>
                <w:color w:val="auto"/>
                <w:sz w:val="21"/>
                <w:szCs w:val="21"/>
                <w:highlight w:val="none"/>
                <w:lang w:eastAsia="zh-CN"/>
              </w:rPr>
            </w:pPr>
            <w:r>
              <w:rPr>
                <w:rFonts w:hint="eastAsia" w:ascii="宋体" w:hAnsi="宋体" w:cs="宋体"/>
                <w:color w:val="auto"/>
                <w:sz w:val="21"/>
                <w:szCs w:val="21"/>
                <w:highlight w:val="none"/>
                <w:lang w:eastAsia="zh-CN"/>
              </w:rPr>
              <w:t>一类环境空气功能区</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I类水体</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0类声环境功能区／自然保护地核心保护区</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饮用水水源一级保护区</w:t>
            </w:r>
            <w:r>
              <w:rPr>
                <w:rFonts w:hint="eastAsia" w:ascii="宋体" w:hAnsi="宋体" w:eastAsia="宋体" w:cs="宋体"/>
                <w:color w:val="auto"/>
                <w:sz w:val="21"/>
                <w:szCs w:val="21"/>
                <w:highlight w:val="none"/>
                <w:lang w:val="en-US" w:eastAsia="zh-CN"/>
              </w:rPr>
              <w:t>/第一类海水水质的区域</w:t>
            </w:r>
          </w:p>
        </w:tc>
        <w:tc>
          <w:tcPr>
            <w:tcW w:w="1220" w:type="dxa"/>
            <w:shd w:val="clear" w:color="auto" w:fill="auto"/>
            <w:noWrap w:val="0"/>
            <w:vAlign w:val="center"/>
          </w:tcPr>
          <w:p w14:paraId="155700AB">
            <w:pPr>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5</w:t>
            </w:r>
          </w:p>
        </w:tc>
      </w:tr>
      <w:tr w14:paraId="7D566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34" w:type="dxa"/>
            <w:noWrap w:val="0"/>
            <w:vAlign w:val="center"/>
          </w:tcPr>
          <w:p w14:paraId="3FD3B98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备注</w:t>
            </w:r>
          </w:p>
        </w:tc>
        <w:tc>
          <w:tcPr>
            <w:tcW w:w="6981" w:type="dxa"/>
            <w:gridSpan w:val="2"/>
            <w:noWrap w:val="0"/>
            <w:vAlign w:val="top"/>
          </w:tcPr>
          <w:p w14:paraId="10FBC248">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涉及多种污染物类别时，</w:t>
            </w:r>
            <w:r>
              <w:rPr>
                <w:rFonts w:hint="eastAsia" w:ascii="宋体" w:hAnsi="宋体" w:cs="宋体"/>
                <w:color w:val="auto"/>
                <w:sz w:val="21"/>
                <w:szCs w:val="21"/>
                <w:highlight w:val="none"/>
                <w:lang w:eastAsia="zh-CN"/>
              </w:rPr>
              <w:t>裁量</w:t>
            </w:r>
            <w:r>
              <w:rPr>
                <w:rFonts w:hint="eastAsia" w:ascii="宋体" w:hAnsi="宋体" w:eastAsia="宋体" w:cs="宋体"/>
                <w:color w:val="auto"/>
                <w:sz w:val="21"/>
                <w:szCs w:val="21"/>
                <w:highlight w:val="none"/>
              </w:rPr>
              <w:t>标准以裁量等级最高为准</w:t>
            </w:r>
          </w:p>
        </w:tc>
      </w:tr>
    </w:tbl>
    <w:p w14:paraId="6A52A351">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508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13"/>
        <w:gridCol w:w="6322"/>
        <w:gridCol w:w="1160"/>
      </w:tblGrid>
      <w:tr w14:paraId="29A0A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95" w:type="dxa"/>
            <w:gridSpan w:val="3"/>
            <w:noWrap w:val="0"/>
            <w:vAlign w:val="top"/>
          </w:tcPr>
          <w:p w14:paraId="1D57CBA1">
            <w:pPr>
              <w:jc w:val="center"/>
              <w:rPr>
                <w:rFonts w:hint="eastAsia" w:ascii="宋体" w:hAnsi="宋体" w:eastAsia="宋体" w:cs="宋体"/>
                <w:bCs/>
                <w:color w:val="auto"/>
                <w:sz w:val="21"/>
                <w:szCs w:val="21"/>
                <w:highlight w:val="none"/>
                <w:lang w:eastAsia="zh-CN"/>
              </w:rPr>
            </w:pPr>
            <w:r>
              <w:rPr>
                <w:rFonts w:hint="eastAsia" w:ascii="宋体" w:hAnsi="宋体" w:cs="宋体"/>
                <w:bCs/>
                <w:color w:val="auto"/>
                <w:sz w:val="21"/>
                <w:szCs w:val="21"/>
                <w:highlight w:val="none"/>
                <w:lang w:eastAsia="zh-CN"/>
              </w:rPr>
              <w:t>（一）生态环境监测管理类</w:t>
            </w:r>
          </w:p>
        </w:tc>
      </w:tr>
      <w:tr w14:paraId="2EDC2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3" w:type="dxa"/>
            <w:noWrap w:val="0"/>
            <w:vAlign w:val="center"/>
          </w:tcPr>
          <w:p w14:paraId="5C67645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7482" w:type="dxa"/>
            <w:gridSpan w:val="2"/>
            <w:noWrap w:val="0"/>
            <w:vAlign w:val="top"/>
          </w:tcPr>
          <w:p w14:paraId="7FBBD4C6">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r>
      <w:tr w14:paraId="007C2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3" w:type="dxa"/>
            <w:noWrap w:val="0"/>
            <w:vAlign w:val="center"/>
          </w:tcPr>
          <w:p w14:paraId="60187E4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7482" w:type="dxa"/>
            <w:gridSpan w:val="2"/>
            <w:noWrap w:val="0"/>
            <w:vAlign w:val="center"/>
          </w:tcPr>
          <w:p w14:paraId="4A5BB21A">
            <w:pPr>
              <w:adjustRightInd w:val="0"/>
              <w:snapToGri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未对排放有毒有害污染物的排污口和周边环境进行监测，以及未公开有毒有害污染物信息的</w:t>
            </w:r>
          </w:p>
        </w:tc>
      </w:tr>
      <w:tr w14:paraId="27210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3" w:type="dxa"/>
            <w:noWrap w:val="0"/>
            <w:vAlign w:val="center"/>
          </w:tcPr>
          <w:p w14:paraId="6A8E527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7482" w:type="dxa"/>
            <w:gridSpan w:val="2"/>
            <w:noWrap w:val="0"/>
            <w:vAlign w:val="top"/>
          </w:tcPr>
          <w:p w14:paraId="1F9F0A4E">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《中华人民共和国生态环境法典》第一百九十七条 企业事业单位和其他生产经营者应当按照国家规定对其排放的工业废气和有毒有害大气污染物进行监测，并保存原始监测记录。监测的具体办法由国务院生态环境主管部门制定。</w:t>
            </w:r>
          </w:p>
          <w:p w14:paraId="7A2A7615">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《中华人民共和国生态环境法典》第二百四十七条第二款　排放前款规定名录中所列有毒有害大气污染物的企业事业单位，应当按照国家规定建设环境风险预警体系，对排污口和周边环境进行定期监测，评估环境风险，排查环境安全隐患，并采取有效措施防范环境风险。</w:t>
            </w:r>
          </w:p>
          <w:p w14:paraId="6360D8E7">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《中华人民共和国生态环境法典》第二百七十四条  国务院生态环境主管部门会同国务院卫生健康主管部门，根据对公众健康、生态环境的危害和影响程度，制定公布有毒有害水污染物名录并适时更新，实行风险管理。</w:t>
            </w:r>
          </w:p>
          <w:p w14:paraId="18430B38">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排放前款规定名录中所列有毒有害水污染物的企业事业单位和其他生产经营者，应当对排污口和周边环境进行监测，评估环境风险，排查环境安全隐患，并向社会公开有毒有害水污染物信息，采取有效措施防范环境风险。</w:t>
            </w:r>
          </w:p>
        </w:tc>
      </w:tr>
      <w:tr w14:paraId="0EF0C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3" w:type="dxa"/>
            <w:noWrap w:val="0"/>
            <w:vAlign w:val="center"/>
          </w:tcPr>
          <w:p w14:paraId="061042E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7482" w:type="dxa"/>
            <w:gridSpan w:val="2"/>
            <w:noWrap w:val="0"/>
            <w:vAlign w:val="top"/>
          </w:tcPr>
          <w:p w14:paraId="134A3B40">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《中华人民共和国生态环境法典》第一千零八十六条</w:t>
            </w:r>
            <w:r>
              <w:rPr>
                <w:rFonts w:hint="eastAsia" w:ascii="宋体" w:hAnsi="宋体" w:eastAsia="宋体" w:cs="宋体"/>
                <w:color w:val="auto"/>
                <w:sz w:val="21"/>
                <w:szCs w:val="21"/>
                <w:highlight w:val="none"/>
                <w:lang w:val="en-US" w:eastAsia="zh-CN"/>
              </w:rPr>
              <w:t>第一款第三项</w:t>
            </w:r>
            <w:r>
              <w:rPr>
                <w:rFonts w:hint="eastAsia" w:ascii="宋体" w:hAnsi="宋体" w:eastAsia="宋体" w:cs="宋体"/>
                <w:color w:val="auto"/>
                <w:sz w:val="21"/>
                <w:szCs w:val="21"/>
                <w:highlight w:val="none"/>
              </w:rPr>
              <w:t xml:space="preserve">  违反本法规定，有下列情形之一的，由负有生态环境保护监督管理职责的部门、机构按照职责分工责令改正，处二万元以上二十万元以下的罚款；拒不改正的，可以责令限制生产、停产整治：</w:t>
            </w:r>
          </w:p>
          <w:p w14:paraId="27CF6C5F">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（三）未对排放有毒有害污染物的排污口和周边环境进行监测，以及未公开有毒有害污染物信息。</w:t>
            </w:r>
          </w:p>
        </w:tc>
      </w:tr>
      <w:tr w14:paraId="2A968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3" w:type="dxa"/>
            <w:noWrap w:val="0"/>
            <w:vAlign w:val="center"/>
          </w:tcPr>
          <w:p w14:paraId="14A4A34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6322" w:type="dxa"/>
            <w:noWrap w:val="0"/>
            <w:vAlign w:val="center"/>
          </w:tcPr>
          <w:p w14:paraId="3555FB16">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裁量因子</w:t>
            </w:r>
          </w:p>
        </w:tc>
        <w:tc>
          <w:tcPr>
            <w:tcW w:w="1160" w:type="dxa"/>
            <w:noWrap w:val="0"/>
            <w:vAlign w:val="top"/>
          </w:tcPr>
          <w:p w14:paraId="068B787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41375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3" w:type="dxa"/>
            <w:vMerge w:val="restart"/>
            <w:noWrap w:val="0"/>
            <w:vAlign w:val="center"/>
          </w:tcPr>
          <w:p w14:paraId="027C5FF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违法事实</w:t>
            </w:r>
          </w:p>
        </w:tc>
        <w:tc>
          <w:tcPr>
            <w:tcW w:w="6322" w:type="dxa"/>
            <w:noWrap w:val="0"/>
            <w:vAlign w:val="top"/>
          </w:tcPr>
          <w:p w14:paraId="07CBB855">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公开有毒有害污染物信息的方式（途径）不符合规定</w:t>
            </w:r>
          </w:p>
        </w:tc>
        <w:tc>
          <w:tcPr>
            <w:tcW w:w="1160" w:type="dxa"/>
            <w:noWrap w:val="0"/>
            <w:vAlign w:val="center"/>
          </w:tcPr>
          <w:p w14:paraId="279818D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3CAD9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3" w:type="dxa"/>
            <w:vMerge w:val="continue"/>
            <w:noWrap w:val="0"/>
            <w:vAlign w:val="center"/>
          </w:tcPr>
          <w:p w14:paraId="172D906D">
            <w:pPr>
              <w:jc w:val="center"/>
              <w:rPr>
                <w:rFonts w:hint="eastAsia" w:ascii="宋体" w:hAnsi="宋体" w:eastAsia="宋体" w:cs="宋体"/>
                <w:color w:val="auto"/>
                <w:sz w:val="21"/>
                <w:szCs w:val="21"/>
                <w:highlight w:val="none"/>
              </w:rPr>
            </w:pPr>
          </w:p>
        </w:tc>
        <w:tc>
          <w:tcPr>
            <w:tcW w:w="6322" w:type="dxa"/>
            <w:noWrap w:val="0"/>
            <w:vAlign w:val="top"/>
          </w:tcPr>
          <w:p w14:paraId="0AB6DABE">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公开有毒有害污染物信息的内容不符合要求</w:t>
            </w:r>
          </w:p>
        </w:tc>
        <w:tc>
          <w:tcPr>
            <w:tcW w:w="1160" w:type="dxa"/>
            <w:noWrap w:val="0"/>
            <w:vAlign w:val="center"/>
          </w:tcPr>
          <w:p w14:paraId="765BAF7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6C435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3" w:type="dxa"/>
            <w:vMerge w:val="continue"/>
            <w:noWrap w:val="0"/>
            <w:vAlign w:val="center"/>
          </w:tcPr>
          <w:p w14:paraId="449CE2E3">
            <w:pPr>
              <w:jc w:val="center"/>
              <w:rPr>
                <w:rFonts w:hint="eastAsia" w:ascii="宋体" w:hAnsi="宋体" w:eastAsia="宋体" w:cs="宋体"/>
                <w:color w:val="auto"/>
                <w:sz w:val="21"/>
                <w:szCs w:val="21"/>
                <w:highlight w:val="none"/>
              </w:rPr>
            </w:pPr>
          </w:p>
        </w:tc>
        <w:tc>
          <w:tcPr>
            <w:tcW w:w="6322" w:type="dxa"/>
            <w:noWrap w:val="0"/>
            <w:vAlign w:val="top"/>
          </w:tcPr>
          <w:p w14:paraId="79701E3F">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完全未公开有毒有害污染物信息</w:t>
            </w:r>
          </w:p>
        </w:tc>
        <w:tc>
          <w:tcPr>
            <w:tcW w:w="1160" w:type="dxa"/>
            <w:noWrap w:val="0"/>
            <w:vAlign w:val="center"/>
          </w:tcPr>
          <w:p w14:paraId="1F38190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2B443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3" w:type="dxa"/>
            <w:vMerge w:val="restart"/>
            <w:noWrap w:val="0"/>
            <w:vAlign w:val="center"/>
          </w:tcPr>
          <w:p w14:paraId="387264D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监测情况</w:t>
            </w:r>
          </w:p>
        </w:tc>
        <w:tc>
          <w:tcPr>
            <w:tcW w:w="6322" w:type="dxa"/>
            <w:noWrap w:val="0"/>
            <w:vAlign w:val="top"/>
          </w:tcPr>
          <w:p w14:paraId="4CA2A04C">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按规定对排污口和周边环境进行了监测，但监测不规范</w:t>
            </w:r>
          </w:p>
        </w:tc>
        <w:tc>
          <w:tcPr>
            <w:tcW w:w="1160" w:type="dxa"/>
            <w:noWrap w:val="0"/>
            <w:vAlign w:val="center"/>
          </w:tcPr>
          <w:p w14:paraId="2BF12BD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75F43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3" w:type="dxa"/>
            <w:vMerge w:val="continue"/>
            <w:noWrap w:val="0"/>
            <w:vAlign w:val="center"/>
          </w:tcPr>
          <w:p w14:paraId="5340DA1E">
            <w:pPr>
              <w:jc w:val="center"/>
              <w:rPr>
                <w:rFonts w:hint="eastAsia" w:ascii="宋体" w:hAnsi="宋体" w:eastAsia="宋体" w:cs="宋体"/>
                <w:color w:val="auto"/>
                <w:sz w:val="21"/>
                <w:szCs w:val="21"/>
                <w:highlight w:val="none"/>
              </w:rPr>
            </w:pPr>
          </w:p>
        </w:tc>
        <w:tc>
          <w:tcPr>
            <w:tcW w:w="6322" w:type="dxa"/>
            <w:noWrap w:val="0"/>
            <w:vAlign w:val="top"/>
          </w:tcPr>
          <w:p w14:paraId="3D550CD7">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只对排污口或者周边环境进行了监测的</w:t>
            </w:r>
          </w:p>
        </w:tc>
        <w:tc>
          <w:tcPr>
            <w:tcW w:w="1160" w:type="dxa"/>
            <w:noWrap w:val="0"/>
            <w:vAlign w:val="center"/>
          </w:tcPr>
          <w:p w14:paraId="2C4A6B6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6F563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3" w:type="dxa"/>
            <w:vMerge w:val="continue"/>
            <w:noWrap w:val="0"/>
            <w:vAlign w:val="center"/>
          </w:tcPr>
          <w:p w14:paraId="10B95D1D">
            <w:pPr>
              <w:jc w:val="center"/>
              <w:rPr>
                <w:rFonts w:hint="eastAsia" w:ascii="宋体" w:hAnsi="宋体" w:eastAsia="宋体" w:cs="宋体"/>
                <w:color w:val="auto"/>
                <w:sz w:val="21"/>
                <w:szCs w:val="21"/>
                <w:highlight w:val="none"/>
              </w:rPr>
            </w:pPr>
          </w:p>
        </w:tc>
        <w:tc>
          <w:tcPr>
            <w:tcW w:w="6322" w:type="dxa"/>
            <w:noWrap w:val="0"/>
            <w:vAlign w:val="top"/>
          </w:tcPr>
          <w:p w14:paraId="7DBFA383">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完全未对排污口和周边环境进行监测的</w:t>
            </w:r>
          </w:p>
        </w:tc>
        <w:tc>
          <w:tcPr>
            <w:tcW w:w="1160" w:type="dxa"/>
            <w:noWrap w:val="0"/>
            <w:vAlign w:val="center"/>
          </w:tcPr>
          <w:p w14:paraId="78C3EE6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327A3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3" w:type="dxa"/>
            <w:vMerge w:val="restart"/>
            <w:noWrap w:val="0"/>
            <w:vAlign w:val="center"/>
          </w:tcPr>
          <w:p w14:paraId="5216510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有毒有害</w:t>
            </w:r>
          </w:p>
          <w:p w14:paraId="5E1051B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污染物种类</w:t>
            </w:r>
          </w:p>
        </w:tc>
        <w:tc>
          <w:tcPr>
            <w:tcW w:w="6322" w:type="dxa"/>
            <w:noWrap w:val="0"/>
            <w:vAlign w:val="top"/>
          </w:tcPr>
          <w:p w14:paraId="164A3BFF">
            <w:pPr>
              <w:keepNext w:val="0"/>
              <w:keepLines w:val="0"/>
              <w:pageBreakBefore w:val="0"/>
              <w:widowControl w:val="0"/>
              <w:kinsoku/>
              <w:wordWrap/>
              <w:overflowPunct/>
              <w:topLinePunct w:val="0"/>
              <w:autoSpaceDE/>
              <w:autoSpaceDN/>
              <w:bidi w:val="0"/>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1种</w:t>
            </w:r>
          </w:p>
        </w:tc>
        <w:tc>
          <w:tcPr>
            <w:tcW w:w="1160" w:type="dxa"/>
            <w:noWrap w:val="0"/>
            <w:vAlign w:val="center"/>
          </w:tcPr>
          <w:p w14:paraId="48333F46">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r>
      <w:tr w14:paraId="5D81A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3" w:type="dxa"/>
            <w:vMerge w:val="continue"/>
            <w:noWrap w:val="0"/>
            <w:vAlign w:val="center"/>
          </w:tcPr>
          <w:p w14:paraId="4512DB8A">
            <w:pPr>
              <w:jc w:val="center"/>
              <w:rPr>
                <w:rFonts w:hint="eastAsia" w:ascii="宋体" w:hAnsi="宋体" w:eastAsia="宋体" w:cs="宋体"/>
                <w:color w:val="auto"/>
                <w:sz w:val="21"/>
                <w:szCs w:val="21"/>
                <w:highlight w:val="none"/>
              </w:rPr>
            </w:pPr>
          </w:p>
        </w:tc>
        <w:tc>
          <w:tcPr>
            <w:tcW w:w="6322" w:type="dxa"/>
            <w:noWrap w:val="0"/>
            <w:vAlign w:val="top"/>
          </w:tcPr>
          <w:p w14:paraId="7D536F25">
            <w:pPr>
              <w:keepNext w:val="0"/>
              <w:keepLines w:val="0"/>
              <w:pageBreakBefore w:val="0"/>
              <w:widowControl w:val="0"/>
              <w:kinsoku/>
              <w:wordWrap/>
              <w:overflowPunct/>
              <w:topLinePunct w:val="0"/>
              <w:autoSpaceDE/>
              <w:autoSpaceDN/>
              <w:bidi w:val="0"/>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2种</w:t>
            </w:r>
          </w:p>
        </w:tc>
        <w:tc>
          <w:tcPr>
            <w:tcW w:w="1160" w:type="dxa"/>
            <w:noWrap w:val="0"/>
            <w:vAlign w:val="center"/>
          </w:tcPr>
          <w:p w14:paraId="60181CB6">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r>
      <w:tr w14:paraId="5E192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3" w:type="dxa"/>
            <w:vMerge w:val="continue"/>
            <w:noWrap w:val="0"/>
            <w:vAlign w:val="center"/>
          </w:tcPr>
          <w:p w14:paraId="4182164B">
            <w:pPr>
              <w:jc w:val="center"/>
              <w:rPr>
                <w:rFonts w:hint="eastAsia" w:ascii="宋体" w:hAnsi="宋体" w:eastAsia="宋体" w:cs="宋体"/>
                <w:color w:val="auto"/>
                <w:sz w:val="21"/>
                <w:szCs w:val="21"/>
                <w:highlight w:val="none"/>
              </w:rPr>
            </w:pPr>
          </w:p>
        </w:tc>
        <w:tc>
          <w:tcPr>
            <w:tcW w:w="6322" w:type="dxa"/>
            <w:noWrap w:val="0"/>
            <w:vAlign w:val="top"/>
          </w:tcPr>
          <w:p w14:paraId="48AB8B90">
            <w:pPr>
              <w:keepNext w:val="0"/>
              <w:keepLines w:val="0"/>
              <w:pageBreakBefore w:val="0"/>
              <w:widowControl w:val="0"/>
              <w:kinsoku/>
              <w:wordWrap/>
              <w:overflowPunct/>
              <w:topLinePunct w:val="0"/>
              <w:autoSpaceDE/>
              <w:autoSpaceDN/>
              <w:bidi w:val="0"/>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3种及以上</w:t>
            </w:r>
          </w:p>
        </w:tc>
        <w:tc>
          <w:tcPr>
            <w:tcW w:w="1160" w:type="dxa"/>
            <w:noWrap w:val="0"/>
            <w:vAlign w:val="center"/>
          </w:tcPr>
          <w:p w14:paraId="07C4CBAA">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r>
      <w:tr w14:paraId="4D640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3" w:type="dxa"/>
            <w:vMerge w:val="restart"/>
            <w:noWrap w:val="0"/>
            <w:vAlign w:val="center"/>
          </w:tcPr>
          <w:p w14:paraId="208FEA0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信息公开</w:t>
            </w:r>
          </w:p>
          <w:p w14:paraId="7C71AC5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的及时性</w:t>
            </w:r>
          </w:p>
        </w:tc>
        <w:tc>
          <w:tcPr>
            <w:tcW w:w="6322" w:type="dxa"/>
            <w:noWrap w:val="0"/>
            <w:vAlign w:val="top"/>
          </w:tcPr>
          <w:p w14:paraId="5A754F0D">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延迟不到10日</w:t>
            </w:r>
          </w:p>
        </w:tc>
        <w:tc>
          <w:tcPr>
            <w:tcW w:w="1160" w:type="dxa"/>
            <w:noWrap w:val="0"/>
            <w:vAlign w:val="center"/>
          </w:tcPr>
          <w:p w14:paraId="370F8C3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59429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3" w:type="dxa"/>
            <w:vMerge w:val="continue"/>
            <w:noWrap w:val="0"/>
            <w:vAlign w:val="center"/>
          </w:tcPr>
          <w:p w14:paraId="5D0C4D4D">
            <w:pPr>
              <w:jc w:val="center"/>
              <w:rPr>
                <w:rFonts w:hint="eastAsia" w:ascii="宋体" w:hAnsi="宋体" w:eastAsia="宋体" w:cs="宋体"/>
                <w:color w:val="auto"/>
                <w:sz w:val="21"/>
                <w:szCs w:val="21"/>
                <w:highlight w:val="none"/>
              </w:rPr>
            </w:pPr>
          </w:p>
        </w:tc>
        <w:tc>
          <w:tcPr>
            <w:tcW w:w="6322" w:type="dxa"/>
            <w:noWrap w:val="0"/>
            <w:vAlign w:val="top"/>
          </w:tcPr>
          <w:p w14:paraId="04766047">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延迟10日以上，不到30日</w:t>
            </w:r>
          </w:p>
        </w:tc>
        <w:tc>
          <w:tcPr>
            <w:tcW w:w="1160" w:type="dxa"/>
            <w:noWrap w:val="0"/>
            <w:vAlign w:val="center"/>
          </w:tcPr>
          <w:p w14:paraId="61FB1BC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080E5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3" w:type="dxa"/>
            <w:vMerge w:val="continue"/>
            <w:noWrap w:val="0"/>
            <w:vAlign w:val="center"/>
          </w:tcPr>
          <w:p w14:paraId="1A0B6E5B">
            <w:pPr>
              <w:jc w:val="center"/>
              <w:rPr>
                <w:rFonts w:hint="eastAsia" w:ascii="宋体" w:hAnsi="宋体" w:eastAsia="宋体" w:cs="宋体"/>
                <w:color w:val="auto"/>
                <w:sz w:val="21"/>
                <w:szCs w:val="21"/>
                <w:highlight w:val="none"/>
              </w:rPr>
            </w:pPr>
          </w:p>
        </w:tc>
        <w:tc>
          <w:tcPr>
            <w:tcW w:w="6322" w:type="dxa"/>
            <w:noWrap w:val="0"/>
            <w:vAlign w:val="top"/>
          </w:tcPr>
          <w:p w14:paraId="69D8540F">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延迟30日以上</w:t>
            </w:r>
          </w:p>
        </w:tc>
        <w:tc>
          <w:tcPr>
            <w:tcW w:w="1160" w:type="dxa"/>
            <w:noWrap w:val="0"/>
            <w:vAlign w:val="center"/>
          </w:tcPr>
          <w:p w14:paraId="500BD1F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5B606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3" w:type="dxa"/>
            <w:vMerge w:val="restart"/>
            <w:noWrap w:val="0"/>
            <w:vAlign w:val="center"/>
          </w:tcPr>
          <w:p w14:paraId="075F65A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排放去向或</w:t>
            </w:r>
          </w:p>
          <w:p w14:paraId="7C6730E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区域</w:t>
            </w:r>
          </w:p>
        </w:tc>
        <w:tc>
          <w:tcPr>
            <w:tcW w:w="6322" w:type="dxa"/>
            <w:noWrap w:val="0"/>
            <w:vAlign w:val="top"/>
          </w:tcPr>
          <w:p w14:paraId="302BFB78">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二类环境空气功能区</w:t>
            </w:r>
            <w:r>
              <w:rPr>
                <w:rFonts w:hint="eastAsia" w:ascii="宋体" w:hAnsi="宋体" w:eastAsia="宋体" w:cs="宋体"/>
                <w:color w:val="auto"/>
                <w:sz w:val="21"/>
                <w:szCs w:val="21"/>
                <w:highlight w:val="none"/>
              </w:rPr>
              <w:t>（工业区和农村地区）</w:t>
            </w:r>
            <w:r>
              <w:rPr>
                <w:rFonts w:hint="eastAsia" w:ascii="宋体" w:hAnsi="宋体" w:cs="宋体"/>
                <w:color w:val="auto"/>
                <w:sz w:val="21"/>
                <w:szCs w:val="21"/>
                <w:highlight w:val="none"/>
                <w:lang w:val="en-US" w:eastAsia="zh-CN"/>
              </w:rPr>
              <w:t>/V类水体（或者污水集中处理设施）/</w:t>
            </w:r>
            <w:r>
              <w:rPr>
                <w:rFonts w:hint="eastAsia" w:ascii="宋体" w:hAnsi="宋体" w:eastAsia="宋体" w:cs="宋体"/>
                <w:color w:val="auto"/>
                <w:sz w:val="21"/>
                <w:szCs w:val="21"/>
                <w:highlight w:val="none"/>
              </w:rPr>
              <w:t>4类声环境功能区</w:t>
            </w:r>
            <w:r>
              <w:rPr>
                <w:rFonts w:hint="eastAsia" w:ascii="宋体" w:hAnsi="宋体" w:eastAsia="宋体" w:cs="宋体"/>
                <w:color w:val="auto"/>
                <w:sz w:val="21"/>
                <w:szCs w:val="21"/>
                <w:highlight w:val="none"/>
                <w:lang w:val="en-US" w:eastAsia="zh-CN"/>
              </w:rPr>
              <w:t>/第四类海水水质的区域</w:t>
            </w:r>
          </w:p>
        </w:tc>
        <w:tc>
          <w:tcPr>
            <w:tcW w:w="1160" w:type="dxa"/>
            <w:noWrap w:val="0"/>
            <w:vAlign w:val="center"/>
          </w:tcPr>
          <w:p w14:paraId="1F1E6D3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0853D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3" w:type="dxa"/>
            <w:vMerge w:val="continue"/>
            <w:noWrap w:val="0"/>
            <w:vAlign w:val="center"/>
          </w:tcPr>
          <w:p w14:paraId="7BBF432D">
            <w:pPr>
              <w:jc w:val="center"/>
              <w:rPr>
                <w:rFonts w:hint="eastAsia" w:ascii="宋体" w:hAnsi="宋体" w:eastAsia="宋体" w:cs="宋体"/>
                <w:color w:val="auto"/>
                <w:sz w:val="21"/>
                <w:szCs w:val="21"/>
                <w:highlight w:val="none"/>
              </w:rPr>
            </w:pPr>
          </w:p>
        </w:tc>
        <w:tc>
          <w:tcPr>
            <w:tcW w:w="6322" w:type="dxa"/>
            <w:noWrap w:val="0"/>
            <w:vAlign w:val="top"/>
          </w:tcPr>
          <w:p w14:paraId="00AB3ED7">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Ⅳ类</w:t>
            </w:r>
            <w:r>
              <w:rPr>
                <w:rFonts w:hint="eastAsia" w:ascii="宋体" w:hAnsi="宋体" w:eastAsia="宋体" w:cs="宋体"/>
                <w:color w:val="auto"/>
                <w:sz w:val="21"/>
                <w:szCs w:val="21"/>
                <w:highlight w:val="none"/>
              </w:rPr>
              <w:t>水体</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3类声环境功能区</w:t>
            </w:r>
            <w:r>
              <w:rPr>
                <w:rFonts w:hint="eastAsia" w:ascii="宋体" w:hAnsi="宋体" w:eastAsia="宋体" w:cs="宋体"/>
                <w:color w:val="auto"/>
                <w:sz w:val="21"/>
                <w:szCs w:val="21"/>
                <w:highlight w:val="none"/>
                <w:lang w:val="en-US" w:eastAsia="zh-CN"/>
              </w:rPr>
              <w:t>/第三类海水水质的区域</w:t>
            </w:r>
          </w:p>
        </w:tc>
        <w:tc>
          <w:tcPr>
            <w:tcW w:w="1160" w:type="dxa"/>
            <w:noWrap w:val="0"/>
            <w:vAlign w:val="center"/>
          </w:tcPr>
          <w:p w14:paraId="29D813B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p>
        </w:tc>
      </w:tr>
      <w:tr w14:paraId="50AE0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1613" w:type="dxa"/>
            <w:vMerge w:val="continue"/>
            <w:noWrap w:val="0"/>
            <w:vAlign w:val="center"/>
          </w:tcPr>
          <w:p w14:paraId="1E26D16E">
            <w:pPr>
              <w:jc w:val="center"/>
              <w:rPr>
                <w:rFonts w:hint="eastAsia" w:ascii="宋体" w:hAnsi="宋体" w:eastAsia="宋体" w:cs="宋体"/>
                <w:color w:val="auto"/>
                <w:sz w:val="21"/>
                <w:szCs w:val="21"/>
                <w:highlight w:val="none"/>
              </w:rPr>
            </w:pPr>
          </w:p>
        </w:tc>
        <w:tc>
          <w:tcPr>
            <w:tcW w:w="6322" w:type="dxa"/>
            <w:noWrap w:val="0"/>
            <w:vAlign w:val="top"/>
          </w:tcPr>
          <w:p w14:paraId="289E89F4">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eastAsia="zh-CN"/>
              </w:rPr>
              <w:t>二类环境空气功能区</w:t>
            </w:r>
            <w:r>
              <w:rPr>
                <w:rFonts w:hint="eastAsia" w:ascii="宋体" w:hAnsi="宋体" w:eastAsia="宋体" w:cs="宋体"/>
                <w:color w:val="auto"/>
                <w:sz w:val="21"/>
                <w:szCs w:val="21"/>
                <w:highlight w:val="none"/>
                <w:lang w:eastAsia="zh-CN"/>
              </w:rPr>
              <w:t>（居民区、商业交通居民混合区、文化区）/</w:t>
            </w:r>
            <w:r>
              <w:rPr>
                <w:rFonts w:hint="eastAsia" w:ascii="宋体" w:hAnsi="宋体" w:cs="宋体"/>
                <w:color w:val="auto"/>
                <w:sz w:val="21"/>
                <w:szCs w:val="21"/>
                <w:highlight w:val="none"/>
                <w:lang w:eastAsia="zh-CN"/>
              </w:rPr>
              <w:t>Ⅲ类</w:t>
            </w:r>
            <w:r>
              <w:rPr>
                <w:rFonts w:hint="eastAsia" w:ascii="宋体" w:hAnsi="宋体" w:eastAsia="宋体" w:cs="宋体"/>
                <w:color w:val="auto"/>
                <w:sz w:val="21"/>
                <w:szCs w:val="21"/>
                <w:highlight w:val="none"/>
                <w:lang w:eastAsia="zh-CN"/>
              </w:rPr>
              <w:t>水体/2类声环境功能区/饮用水水源准保护区/自然保护地外的生态保护红线区域</w:t>
            </w:r>
          </w:p>
        </w:tc>
        <w:tc>
          <w:tcPr>
            <w:tcW w:w="1160" w:type="dxa"/>
            <w:noWrap w:val="0"/>
            <w:vAlign w:val="center"/>
          </w:tcPr>
          <w:p w14:paraId="49C7048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1A979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1613" w:type="dxa"/>
            <w:vMerge w:val="continue"/>
            <w:noWrap w:val="0"/>
            <w:vAlign w:val="center"/>
          </w:tcPr>
          <w:p w14:paraId="4A5D41D5">
            <w:pPr>
              <w:jc w:val="center"/>
              <w:rPr>
                <w:rFonts w:hint="eastAsia" w:ascii="宋体" w:hAnsi="宋体" w:eastAsia="宋体" w:cs="宋体"/>
                <w:color w:val="auto"/>
                <w:sz w:val="21"/>
                <w:szCs w:val="21"/>
                <w:highlight w:val="none"/>
              </w:rPr>
            </w:pPr>
          </w:p>
        </w:tc>
        <w:tc>
          <w:tcPr>
            <w:tcW w:w="6322" w:type="dxa"/>
            <w:noWrap w:val="0"/>
            <w:vAlign w:val="top"/>
          </w:tcPr>
          <w:p w14:paraId="73519E27">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Ⅱ类</w:t>
            </w:r>
            <w:r>
              <w:rPr>
                <w:rFonts w:hint="eastAsia" w:ascii="宋体" w:hAnsi="宋体" w:eastAsia="宋体" w:cs="宋体"/>
                <w:color w:val="auto"/>
                <w:sz w:val="21"/>
                <w:szCs w:val="21"/>
                <w:highlight w:val="none"/>
              </w:rPr>
              <w:t>水体</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1类声环境功能区／自然保护地一般控制区</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饮用水水源二级保护区</w:t>
            </w:r>
            <w:r>
              <w:rPr>
                <w:rFonts w:hint="eastAsia" w:ascii="宋体" w:hAnsi="宋体" w:eastAsia="宋体" w:cs="宋体"/>
                <w:color w:val="auto"/>
                <w:sz w:val="21"/>
                <w:szCs w:val="21"/>
                <w:highlight w:val="none"/>
                <w:lang w:val="en-US" w:eastAsia="zh-CN"/>
              </w:rPr>
              <w:t>/第二类海水水质的区域</w:t>
            </w:r>
          </w:p>
        </w:tc>
        <w:tc>
          <w:tcPr>
            <w:tcW w:w="1160" w:type="dxa"/>
            <w:noWrap w:val="0"/>
            <w:vAlign w:val="center"/>
          </w:tcPr>
          <w:p w14:paraId="1AF118B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p>
        </w:tc>
      </w:tr>
      <w:tr w14:paraId="029E8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3" w:type="dxa"/>
            <w:vMerge w:val="continue"/>
            <w:noWrap w:val="0"/>
            <w:vAlign w:val="center"/>
          </w:tcPr>
          <w:p w14:paraId="63F6A705">
            <w:pPr>
              <w:jc w:val="center"/>
              <w:rPr>
                <w:rFonts w:hint="eastAsia" w:ascii="宋体" w:hAnsi="宋体" w:eastAsia="宋体" w:cs="宋体"/>
                <w:color w:val="auto"/>
                <w:sz w:val="21"/>
                <w:szCs w:val="21"/>
                <w:highlight w:val="none"/>
              </w:rPr>
            </w:pPr>
          </w:p>
        </w:tc>
        <w:tc>
          <w:tcPr>
            <w:tcW w:w="6322" w:type="dxa"/>
            <w:noWrap w:val="0"/>
            <w:vAlign w:val="top"/>
          </w:tcPr>
          <w:p w14:paraId="1CEDC5B9">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一类环境空气功能区</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I类水体</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0类声环境功能区／自然保护地核心保护区</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饮用水水源一级保护区</w:t>
            </w:r>
            <w:r>
              <w:rPr>
                <w:rFonts w:hint="eastAsia" w:ascii="宋体" w:hAnsi="宋体" w:eastAsia="宋体" w:cs="宋体"/>
                <w:color w:val="auto"/>
                <w:sz w:val="21"/>
                <w:szCs w:val="21"/>
                <w:highlight w:val="none"/>
                <w:lang w:val="en-US" w:eastAsia="zh-CN"/>
              </w:rPr>
              <w:t>/第一类海水水质的区域</w:t>
            </w:r>
          </w:p>
        </w:tc>
        <w:tc>
          <w:tcPr>
            <w:tcW w:w="1160" w:type="dxa"/>
            <w:noWrap w:val="0"/>
            <w:vAlign w:val="center"/>
          </w:tcPr>
          <w:p w14:paraId="6BE3C4B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3F31F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3" w:type="dxa"/>
            <w:noWrap w:val="0"/>
            <w:vAlign w:val="center"/>
          </w:tcPr>
          <w:p w14:paraId="10826D9D">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备注</w:t>
            </w:r>
          </w:p>
        </w:tc>
        <w:tc>
          <w:tcPr>
            <w:tcW w:w="7482" w:type="dxa"/>
            <w:gridSpan w:val="2"/>
            <w:noWrap w:val="0"/>
            <w:vAlign w:val="top"/>
          </w:tcPr>
          <w:p w14:paraId="328882A0">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涉及</w:t>
            </w:r>
            <w:r>
              <w:rPr>
                <w:rFonts w:hint="eastAsia" w:ascii="宋体" w:hAnsi="宋体" w:eastAsia="宋体" w:cs="宋体"/>
                <w:color w:val="auto"/>
                <w:sz w:val="21"/>
                <w:szCs w:val="21"/>
                <w:highlight w:val="none"/>
              </w:rPr>
              <w:t>有毒有害大气污染物</w:t>
            </w:r>
            <w:r>
              <w:rPr>
                <w:rFonts w:hint="eastAsia" w:ascii="宋体" w:hAnsi="宋体" w:eastAsia="宋体" w:cs="宋体"/>
                <w:color w:val="auto"/>
                <w:sz w:val="21"/>
                <w:szCs w:val="21"/>
                <w:highlight w:val="none"/>
                <w:lang w:val="en-US" w:eastAsia="zh-CN"/>
              </w:rPr>
              <w:t>不适用违法事实裁量因子</w:t>
            </w:r>
          </w:p>
        </w:tc>
      </w:tr>
    </w:tbl>
    <w:p w14:paraId="46C41E43">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47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26"/>
        <w:gridCol w:w="5424"/>
        <w:gridCol w:w="1428"/>
      </w:tblGrid>
      <w:tr w14:paraId="4B928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8578" w:type="dxa"/>
            <w:gridSpan w:val="3"/>
            <w:noWrap w:val="0"/>
            <w:vAlign w:val="center"/>
          </w:tcPr>
          <w:p w14:paraId="7E6765A2">
            <w:pPr>
              <w:jc w:val="center"/>
              <w:rPr>
                <w:rFonts w:hint="eastAsia" w:ascii="宋体" w:hAnsi="宋体" w:eastAsia="宋体" w:cs="宋体"/>
                <w:strike w:val="0"/>
                <w:dstrike w:val="0"/>
                <w:color w:val="auto"/>
                <w:sz w:val="21"/>
                <w:szCs w:val="21"/>
                <w:highlight w:val="none"/>
                <w:lang w:eastAsia="zh-CN"/>
              </w:rPr>
            </w:pPr>
            <w:r>
              <w:rPr>
                <w:rFonts w:hint="eastAsia" w:ascii="宋体" w:hAnsi="宋体" w:cs="宋体"/>
                <w:bCs/>
                <w:strike w:val="0"/>
                <w:dstrike w:val="0"/>
                <w:color w:val="auto"/>
                <w:sz w:val="21"/>
                <w:szCs w:val="21"/>
                <w:highlight w:val="none"/>
                <w:lang w:eastAsia="zh-CN"/>
              </w:rPr>
              <w:t>（一）生态环境监测管理类</w:t>
            </w:r>
          </w:p>
        </w:tc>
      </w:tr>
      <w:tr w14:paraId="6ED16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1726" w:type="dxa"/>
            <w:noWrap w:val="0"/>
            <w:vAlign w:val="center"/>
          </w:tcPr>
          <w:p w14:paraId="259019CA">
            <w:pPr>
              <w:jc w:val="center"/>
              <w:rPr>
                <w:rFonts w:hint="eastAsia" w:ascii="宋体" w:hAnsi="宋体" w:eastAsia="宋体" w:cs="宋体"/>
                <w:strike w:val="0"/>
                <w:dstrike w:val="0"/>
                <w:color w:val="auto"/>
                <w:sz w:val="21"/>
                <w:szCs w:val="21"/>
                <w:highlight w:val="none"/>
              </w:rPr>
            </w:pPr>
            <w:r>
              <w:rPr>
                <w:rFonts w:hint="eastAsia" w:ascii="宋体" w:hAnsi="宋体" w:eastAsia="宋体" w:cs="宋体"/>
                <w:strike w:val="0"/>
                <w:dstrike w:val="0"/>
                <w:color w:val="auto"/>
                <w:sz w:val="21"/>
                <w:szCs w:val="21"/>
                <w:highlight w:val="none"/>
              </w:rPr>
              <w:t>序号</w:t>
            </w:r>
          </w:p>
        </w:tc>
        <w:tc>
          <w:tcPr>
            <w:tcW w:w="6852" w:type="dxa"/>
            <w:gridSpan w:val="2"/>
            <w:noWrap w:val="0"/>
            <w:vAlign w:val="center"/>
          </w:tcPr>
          <w:p w14:paraId="00FED6B5">
            <w:pPr>
              <w:jc w:val="center"/>
              <w:rPr>
                <w:rFonts w:hint="eastAsia" w:ascii="宋体" w:hAnsi="宋体" w:eastAsia="宋体" w:cs="宋体"/>
                <w:strike w:val="0"/>
                <w:dstrike w:val="0"/>
                <w:color w:val="auto"/>
                <w:sz w:val="21"/>
                <w:szCs w:val="21"/>
                <w:highlight w:val="none"/>
                <w:lang w:val="en-US" w:eastAsia="zh-CN"/>
              </w:rPr>
            </w:pPr>
            <w:r>
              <w:rPr>
                <w:rFonts w:hint="eastAsia" w:ascii="宋体" w:hAnsi="宋体" w:eastAsia="宋体" w:cs="宋体"/>
                <w:strike w:val="0"/>
                <w:dstrike w:val="0"/>
                <w:color w:val="auto"/>
                <w:sz w:val="21"/>
                <w:szCs w:val="21"/>
                <w:highlight w:val="none"/>
                <w:lang w:val="en-US" w:eastAsia="zh-CN"/>
              </w:rPr>
              <w:t>4</w:t>
            </w:r>
          </w:p>
        </w:tc>
      </w:tr>
      <w:tr w14:paraId="03C0D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jc w:val="center"/>
        </w:trPr>
        <w:tc>
          <w:tcPr>
            <w:tcW w:w="1726" w:type="dxa"/>
            <w:noWrap w:val="0"/>
            <w:vAlign w:val="center"/>
          </w:tcPr>
          <w:p w14:paraId="0DF51738">
            <w:pPr>
              <w:jc w:val="center"/>
              <w:rPr>
                <w:rFonts w:hint="eastAsia" w:ascii="宋体" w:hAnsi="宋体" w:eastAsia="宋体" w:cs="宋体"/>
                <w:strike w:val="0"/>
                <w:dstrike w:val="0"/>
                <w:color w:val="auto"/>
                <w:sz w:val="21"/>
                <w:szCs w:val="21"/>
                <w:highlight w:val="none"/>
              </w:rPr>
            </w:pPr>
            <w:r>
              <w:rPr>
                <w:rFonts w:hint="eastAsia" w:ascii="宋体" w:hAnsi="宋体" w:eastAsia="宋体" w:cs="宋体"/>
                <w:strike w:val="0"/>
                <w:dstrike w:val="0"/>
                <w:color w:val="auto"/>
                <w:sz w:val="21"/>
                <w:szCs w:val="21"/>
                <w:highlight w:val="none"/>
              </w:rPr>
              <w:t>违法行为</w:t>
            </w:r>
          </w:p>
        </w:tc>
        <w:tc>
          <w:tcPr>
            <w:tcW w:w="6852" w:type="dxa"/>
            <w:gridSpan w:val="2"/>
            <w:noWrap w:val="0"/>
            <w:vAlign w:val="center"/>
          </w:tcPr>
          <w:p w14:paraId="7D8DFB01">
            <w:pPr>
              <w:adjustRightInd w:val="0"/>
              <w:ind w:firstLine="420" w:firstLineChars="200"/>
              <w:jc w:val="both"/>
              <w:rPr>
                <w:rFonts w:hint="eastAsia" w:ascii="宋体" w:hAnsi="宋体" w:eastAsia="宋体" w:cs="宋体"/>
                <w:strike w:val="0"/>
                <w:dstrike w:val="0"/>
                <w:color w:val="auto"/>
                <w:sz w:val="21"/>
                <w:szCs w:val="21"/>
                <w:highlight w:val="none"/>
              </w:rPr>
            </w:pPr>
            <w:r>
              <w:rPr>
                <w:rFonts w:hint="eastAsia" w:ascii="宋体" w:hAnsi="宋体" w:eastAsia="宋体" w:cs="宋体"/>
                <w:strike w:val="0"/>
                <w:dstrike w:val="0"/>
                <w:color w:val="auto"/>
                <w:sz w:val="21"/>
                <w:szCs w:val="21"/>
                <w:highlight w:val="none"/>
              </w:rPr>
              <w:t>生活垃圾处理单位未安装、使用污染物排放监测设备，实时监测污染物的排放情况并公开污染排放数据的</w:t>
            </w:r>
          </w:p>
        </w:tc>
      </w:tr>
      <w:tr w14:paraId="10056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6" w:hRule="atLeast"/>
          <w:jc w:val="center"/>
        </w:trPr>
        <w:tc>
          <w:tcPr>
            <w:tcW w:w="1726" w:type="dxa"/>
            <w:noWrap w:val="0"/>
            <w:vAlign w:val="center"/>
          </w:tcPr>
          <w:p w14:paraId="0273F88A">
            <w:pPr>
              <w:jc w:val="center"/>
              <w:rPr>
                <w:rFonts w:hint="eastAsia" w:ascii="宋体" w:hAnsi="宋体" w:eastAsia="宋体" w:cs="宋体"/>
                <w:strike w:val="0"/>
                <w:dstrike w:val="0"/>
                <w:color w:val="auto"/>
                <w:sz w:val="21"/>
                <w:szCs w:val="21"/>
                <w:highlight w:val="none"/>
              </w:rPr>
            </w:pPr>
            <w:r>
              <w:rPr>
                <w:rFonts w:hint="eastAsia" w:ascii="宋体" w:hAnsi="宋体" w:eastAsia="宋体" w:cs="宋体"/>
                <w:strike w:val="0"/>
                <w:dstrike w:val="0"/>
                <w:color w:val="auto"/>
                <w:sz w:val="21"/>
                <w:szCs w:val="21"/>
                <w:highlight w:val="none"/>
              </w:rPr>
              <w:t>违反条款</w:t>
            </w:r>
          </w:p>
        </w:tc>
        <w:tc>
          <w:tcPr>
            <w:tcW w:w="6852" w:type="dxa"/>
            <w:gridSpan w:val="2"/>
            <w:noWrap w:val="0"/>
            <w:vAlign w:val="center"/>
          </w:tcPr>
          <w:p w14:paraId="337257EC">
            <w:pPr>
              <w:adjustRightInd w:val="0"/>
              <w:ind w:firstLine="420" w:firstLineChars="200"/>
              <w:jc w:val="both"/>
              <w:rPr>
                <w:rFonts w:hint="eastAsia" w:ascii="宋体" w:hAnsi="宋体" w:eastAsia="宋体" w:cs="宋体"/>
                <w:strike w:val="0"/>
                <w:dstrike w:val="0"/>
                <w:color w:val="auto"/>
                <w:sz w:val="21"/>
                <w:szCs w:val="21"/>
                <w:highlight w:val="none"/>
              </w:rPr>
            </w:pPr>
            <w:r>
              <w:rPr>
                <w:rFonts w:hint="eastAsia" w:ascii="宋体" w:hAnsi="宋体" w:eastAsia="宋体" w:cs="宋体"/>
                <w:strike w:val="0"/>
                <w:dstrike w:val="0"/>
                <w:color w:val="auto"/>
                <w:sz w:val="21"/>
                <w:szCs w:val="21"/>
                <w:highlight w:val="none"/>
              </w:rPr>
              <w:t>《中华人民共和国生态环境法典》第五百一十三条  生活垃圾处理单位应当按照国家规定，安装使用监测设备，实时监测污染物的排放情况，将污染排放数据实时向社会公开。监测设备应当与所在地生态环境主管部门的监控设备联网。</w:t>
            </w:r>
          </w:p>
        </w:tc>
      </w:tr>
      <w:tr w14:paraId="4256E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8" w:hRule="atLeast"/>
          <w:jc w:val="center"/>
        </w:trPr>
        <w:tc>
          <w:tcPr>
            <w:tcW w:w="1726" w:type="dxa"/>
            <w:noWrap w:val="0"/>
            <w:vAlign w:val="center"/>
          </w:tcPr>
          <w:p w14:paraId="52178A74">
            <w:pPr>
              <w:jc w:val="center"/>
              <w:rPr>
                <w:rFonts w:hint="eastAsia" w:ascii="宋体" w:hAnsi="宋体" w:eastAsia="宋体" w:cs="宋体"/>
                <w:strike w:val="0"/>
                <w:dstrike w:val="0"/>
                <w:color w:val="auto"/>
                <w:sz w:val="21"/>
                <w:szCs w:val="21"/>
                <w:highlight w:val="none"/>
              </w:rPr>
            </w:pPr>
            <w:r>
              <w:rPr>
                <w:rFonts w:hint="eastAsia" w:ascii="宋体" w:hAnsi="宋体" w:eastAsia="宋体" w:cs="宋体"/>
                <w:strike w:val="0"/>
                <w:dstrike w:val="0"/>
                <w:color w:val="auto"/>
                <w:sz w:val="21"/>
                <w:szCs w:val="21"/>
                <w:highlight w:val="none"/>
              </w:rPr>
              <w:t>处罚依据</w:t>
            </w:r>
          </w:p>
        </w:tc>
        <w:tc>
          <w:tcPr>
            <w:tcW w:w="6852" w:type="dxa"/>
            <w:gridSpan w:val="2"/>
            <w:noWrap w:val="0"/>
            <w:vAlign w:val="center"/>
          </w:tcPr>
          <w:p w14:paraId="1D797E11">
            <w:pPr>
              <w:adjustRightInd w:val="0"/>
              <w:ind w:firstLine="420" w:firstLineChars="200"/>
              <w:jc w:val="both"/>
              <w:rPr>
                <w:rFonts w:hint="eastAsia" w:ascii="宋体" w:hAnsi="宋体" w:eastAsia="宋体" w:cs="宋体"/>
                <w:strike w:val="0"/>
                <w:dstrike w:val="0"/>
                <w:color w:val="auto"/>
                <w:sz w:val="21"/>
                <w:szCs w:val="21"/>
                <w:highlight w:val="none"/>
              </w:rPr>
            </w:pPr>
            <w:r>
              <w:rPr>
                <w:rFonts w:hint="eastAsia" w:ascii="宋体" w:hAnsi="宋体" w:eastAsia="宋体" w:cs="宋体"/>
                <w:strike w:val="0"/>
                <w:dstrike w:val="0"/>
                <w:color w:val="auto"/>
                <w:sz w:val="21"/>
                <w:szCs w:val="21"/>
                <w:highlight w:val="none"/>
              </w:rPr>
              <w:t>《中华人民共和国生态环境法典》第一千零八十六条第二款  违反本法规定，生活垃圾处理单位未安装、使用污染物排放监测设备，实时监测污染物的排放情况并公开污染排放数据的，由生态环境主管部门责令改正，处五万元以上五十万元以下的罚款；拒不改正的，处五十万元以上一百万元以下的罚款。</w:t>
            </w:r>
          </w:p>
        </w:tc>
      </w:tr>
      <w:tr w14:paraId="367AA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1726" w:type="dxa"/>
            <w:noWrap w:val="0"/>
            <w:vAlign w:val="center"/>
          </w:tcPr>
          <w:p w14:paraId="4C21E646">
            <w:pPr>
              <w:jc w:val="center"/>
              <w:rPr>
                <w:rFonts w:hint="eastAsia" w:ascii="宋体" w:hAnsi="宋体" w:eastAsia="宋体" w:cs="宋体"/>
                <w:strike w:val="0"/>
                <w:dstrike w:val="0"/>
                <w:color w:val="auto"/>
                <w:sz w:val="21"/>
                <w:szCs w:val="21"/>
                <w:highlight w:val="none"/>
              </w:rPr>
            </w:pPr>
            <w:r>
              <w:rPr>
                <w:rFonts w:hint="eastAsia" w:ascii="宋体" w:hAnsi="宋体" w:eastAsia="宋体" w:cs="宋体"/>
                <w:strike w:val="0"/>
                <w:dstrike w:val="0"/>
                <w:color w:val="auto"/>
                <w:sz w:val="21"/>
                <w:szCs w:val="21"/>
                <w:highlight w:val="none"/>
              </w:rPr>
              <w:t>裁量因素</w:t>
            </w:r>
          </w:p>
        </w:tc>
        <w:tc>
          <w:tcPr>
            <w:tcW w:w="5424" w:type="dxa"/>
            <w:noWrap w:val="0"/>
            <w:vAlign w:val="center"/>
          </w:tcPr>
          <w:p w14:paraId="26F469DC">
            <w:pPr>
              <w:jc w:val="center"/>
              <w:rPr>
                <w:rFonts w:hint="eastAsia" w:ascii="宋体" w:hAnsi="宋体" w:eastAsia="宋体" w:cs="宋体"/>
                <w:strike w:val="0"/>
                <w:dstrike w:val="0"/>
                <w:color w:val="auto"/>
                <w:sz w:val="21"/>
                <w:szCs w:val="21"/>
                <w:highlight w:val="none"/>
              </w:rPr>
            </w:pPr>
            <w:r>
              <w:rPr>
                <w:rFonts w:hint="eastAsia" w:ascii="宋体" w:hAnsi="宋体" w:eastAsia="宋体" w:cs="宋体"/>
                <w:strike w:val="0"/>
                <w:dstrike w:val="0"/>
                <w:color w:val="auto"/>
                <w:sz w:val="21"/>
                <w:szCs w:val="21"/>
                <w:highlight w:val="none"/>
              </w:rPr>
              <w:t>裁量因子</w:t>
            </w:r>
          </w:p>
        </w:tc>
        <w:tc>
          <w:tcPr>
            <w:tcW w:w="1428" w:type="dxa"/>
            <w:noWrap w:val="0"/>
            <w:vAlign w:val="center"/>
          </w:tcPr>
          <w:p w14:paraId="6AE237D2">
            <w:pPr>
              <w:jc w:val="center"/>
              <w:rPr>
                <w:rFonts w:hint="eastAsia" w:ascii="宋体" w:hAnsi="宋体" w:eastAsia="宋体" w:cs="宋体"/>
                <w:strike w:val="0"/>
                <w:dstrike w:val="0"/>
                <w:color w:val="auto"/>
                <w:sz w:val="21"/>
                <w:szCs w:val="21"/>
                <w:highlight w:val="none"/>
              </w:rPr>
            </w:pPr>
            <w:r>
              <w:rPr>
                <w:rFonts w:hint="eastAsia" w:ascii="宋体" w:hAnsi="宋体" w:eastAsia="宋体" w:cs="宋体"/>
                <w:strike w:val="0"/>
                <w:dstrike w:val="0"/>
                <w:color w:val="auto"/>
                <w:sz w:val="21"/>
                <w:szCs w:val="21"/>
                <w:highlight w:val="none"/>
              </w:rPr>
              <w:t>裁量等级</w:t>
            </w:r>
          </w:p>
        </w:tc>
      </w:tr>
      <w:tr w14:paraId="159C5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726" w:type="dxa"/>
            <w:vMerge w:val="restart"/>
            <w:shd w:val="clear" w:color="auto" w:fill="auto"/>
            <w:noWrap w:val="0"/>
            <w:vAlign w:val="center"/>
          </w:tcPr>
          <w:p w14:paraId="0053ABCA">
            <w:pPr>
              <w:adjustRightInd w:val="0"/>
              <w:jc w:val="center"/>
              <w:rPr>
                <w:rFonts w:hint="eastAsia" w:ascii="宋体" w:hAnsi="宋体" w:eastAsia="宋体" w:cs="宋体"/>
                <w:strike w:val="0"/>
                <w:dstrike w:val="0"/>
                <w:color w:val="auto"/>
                <w:sz w:val="21"/>
                <w:szCs w:val="21"/>
                <w:highlight w:val="none"/>
                <w:lang w:val="en-US" w:eastAsia="zh-CN"/>
              </w:rPr>
            </w:pPr>
            <w:r>
              <w:rPr>
                <w:rFonts w:hint="eastAsia" w:ascii="宋体" w:hAnsi="宋体" w:eastAsia="宋体" w:cs="宋体"/>
                <w:strike w:val="0"/>
                <w:dstrike w:val="0"/>
                <w:color w:val="auto"/>
                <w:sz w:val="21"/>
                <w:szCs w:val="21"/>
                <w:highlight w:val="none"/>
                <w:lang w:val="en-US" w:eastAsia="zh-CN"/>
              </w:rPr>
              <w:t>违法事实</w:t>
            </w:r>
          </w:p>
        </w:tc>
        <w:tc>
          <w:tcPr>
            <w:tcW w:w="5424" w:type="dxa"/>
            <w:shd w:val="clear" w:color="auto" w:fill="auto"/>
            <w:noWrap w:val="0"/>
            <w:vAlign w:val="center"/>
          </w:tcPr>
          <w:p w14:paraId="5B4D6DA1">
            <w:pPr>
              <w:adjustRightInd w:val="0"/>
              <w:ind w:firstLine="420" w:firstLineChars="200"/>
              <w:jc w:val="both"/>
              <w:rPr>
                <w:rFonts w:hint="eastAsia" w:ascii="宋体" w:hAnsi="宋体" w:eastAsia="宋体" w:cs="宋体"/>
                <w:strike w:val="0"/>
                <w:dstrike w:val="0"/>
                <w:color w:val="auto"/>
                <w:sz w:val="21"/>
                <w:szCs w:val="21"/>
                <w:highlight w:val="none"/>
                <w:lang w:val="en-US" w:eastAsia="zh-CN"/>
              </w:rPr>
            </w:pPr>
            <w:r>
              <w:rPr>
                <w:rFonts w:hint="eastAsia" w:ascii="宋体" w:hAnsi="宋体" w:eastAsia="宋体" w:cs="宋体"/>
                <w:strike w:val="0"/>
                <w:dstrike w:val="0"/>
                <w:color w:val="auto"/>
                <w:sz w:val="21"/>
                <w:szCs w:val="21"/>
                <w:highlight w:val="none"/>
                <w:lang w:val="en-US" w:eastAsia="zh-CN"/>
              </w:rPr>
              <w:t>监测设备已安装使用，未公开污染排放数据</w:t>
            </w:r>
          </w:p>
        </w:tc>
        <w:tc>
          <w:tcPr>
            <w:tcW w:w="1428" w:type="dxa"/>
            <w:noWrap w:val="0"/>
            <w:vAlign w:val="center"/>
          </w:tcPr>
          <w:p w14:paraId="132EF680">
            <w:pPr>
              <w:jc w:val="center"/>
              <w:rPr>
                <w:rFonts w:hint="eastAsia" w:ascii="宋体" w:hAnsi="宋体" w:eastAsia="宋体" w:cs="宋体"/>
                <w:strike w:val="0"/>
                <w:dstrike w:val="0"/>
                <w:color w:val="auto"/>
                <w:sz w:val="21"/>
                <w:szCs w:val="21"/>
                <w:highlight w:val="none"/>
                <w:lang w:val="en-US" w:eastAsia="zh-CN"/>
              </w:rPr>
            </w:pPr>
            <w:r>
              <w:rPr>
                <w:rFonts w:hint="eastAsia" w:ascii="宋体" w:hAnsi="宋体" w:eastAsia="宋体" w:cs="宋体"/>
                <w:strike w:val="0"/>
                <w:dstrike w:val="0"/>
                <w:color w:val="auto"/>
                <w:sz w:val="21"/>
                <w:szCs w:val="21"/>
                <w:highlight w:val="none"/>
                <w:lang w:val="en-US" w:eastAsia="zh-CN"/>
              </w:rPr>
              <w:t>1</w:t>
            </w:r>
          </w:p>
        </w:tc>
      </w:tr>
      <w:tr w14:paraId="24102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726" w:type="dxa"/>
            <w:vMerge w:val="continue"/>
            <w:noWrap w:val="0"/>
            <w:vAlign w:val="center"/>
          </w:tcPr>
          <w:p w14:paraId="0C820E2D">
            <w:pPr>
              <w:adjustRightInd w:val="0"/>
              <w:ind w:firstLine="420" w:firstLineChars="200"/>
              <w:jc w:val="center"/>
              <w:rPr>
                <w:rFonts w:hint="eastAsia" w:ascii="宋体" w:hAnsi="宋体" w:eastAsia="宋体" w:cs="宋体"/>
                <w:strike w:val="0"/>
                <w:dstrike w:val="0"/>
                <w:color w:val="auto"/>
                <w:sz w:val="21"/>
                <w:szCs w:val="21"/>
                <w:highlight w:val="none"/>
              </w:rPr>
            </w:pPr>
          </w:p>
        </w:tc>
        <w:tc>
          <w:tcPr>
            <w:tcW w:w="5424" w:type="dxa"/>
            <w:shd w:val="clear" w:color="auto" w:fill="auto"/>
            <w:noWrap w:val="0"/>
            <w:vAlign w:val="center"/>
          </w:tcPr>
          <w:p w14:paraId="2C3F6EF1">
            <w:pPr>
              <w:adjustRightInd w:val="0"/>
              <w:ind w:firstLine="420" w:firstLineChars="200"/>
              <w:jc w:val="both"/>
              <w:rPr>
                <w:rFonts w:hint="eastAsia" w:ascii="宋体" w:hAnsi="宋体" w:eastAsia="宋体" w:cs="宋体"/>
                <w:strike w:val="0"/>
                <w:dstrike w:val="0"/>
                <w:color w:val="auto"/>
                <w:sz w:val="21"/>
                <w:szCs w:val="21"/>
                <w:highlight w:val="none"/>
                <w:lang w:val="en-US" w:eastAsia="zh-CN"/>
              </w:rPr>
            </w:pPr>
            <w:r>
              <w:rPr>
                <w:rFonts w:hint="eastAsia" w:ascii="宋体" w:hAnsi="宋体" w:eastAsia="宋体" w:cs="宋体"/>
                <w:strike w:val="0"/>
                <w:dstrike w:val="0"/>
                <w:color w:val="auto"/>
                <w:sz w:val="21"/>
                <w:szCs w:val="21"/>
                <w:highlight w:val="none"/>
                <w:lang w:val="en-US" w:eastAsia="zh-CN"/>
              </w:rPr>
              <w:t>监测设备已安装使用，未</w:t>
            </w:r>
            <w:r>
              <w:rPr>
                <w:rFonts w:hint="eastAsia" w:ascii="宋体" w:hAnsi="宋体" w:eastAsia="宋体" w:cs="宋体"/>
                <w:strike w:val="0"/>
                <w:dstrike w:val="0"/>
                <w:color w:val="auto"/>
                <w:sz w:val="21"/>
                <w:szCs w:val="21"/>
                <w:highlight w:val="none"/>
              </w:rPr>
              <w:t>实时监测污染物的排放情况</w:t>
            </w:r>
          </w:p>
        </w:tc>
        <w:tc>
          <w:tcPr>
            <w:tcW w:w="1428" w:type="dxa"/>
            <w:noWrap w:val="0"/>
            <w:vAlign w:val="center"/>
          </w:tcPr>
          <w:p w14:paraId="5BC0C602">
            <w:pPr>
              <w:jc w:val="center"/>
              <w:rPr>
                <w:rFonts w:hint="eastAsia" w:ascii="宋体" w:hAnsi="宋体" w:eastAsia="宋体" w:cs="宋体"/>
                <w:strike w:val="0"/>
                <w:dstrike w:val="0"/>
                <w:color w:val="auto"/>
                <w:sz w:val="21"/>
                <w:szCs w:val="21"/>
                <w:highlight w:val="none"/>
                <w:lang w:val="en-US" w:eastAsia="zh-CN"/>
              </w:rPr>
            </w:pPr>
            <w:r>
              <w:rPr>
                <w:rFonts w:hint="eastAsia" w:ascii="宋体" w:hAnsi="宋体" w:eastAsia="宋体" w:cs="宋体"/>
                <w:strike w:val="0"/>
                <w:dstrike w:val="0"/>
                <w:color w:val="auto"/>
                <w:sz w:val="21"/>
                <w:szCs w:val="21"/>
                <w:highlight w:val="none"/>
                <w:lang w:val="en-US" w:eastAsia="zh-CN"/>
              </w:rPr>
              <w:t>3</w:t>
            </w:r>
          </w:p>
        </w:tc>
      </w:tr>
      <w:tr w14:paraId="7FF0F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726" w:type="dxa"/>
            <w:vMerge w:val="continue"/>
            <w:noWrap w:val="0"/>
            <w:vAlign w:val="center"/>
          </w:tcPr>
          <w:p w14:paraId="3F1938F2">
            <w:pPr>
              <w:adjustRightInd w:val="0"/>
              <w:ind w:firstLine="420" w:firstLineChars="200"/>
              <w:jc w:val="center"/>
              <w:rPr>
                <w:rFonts w:hint="eastAsia" w:ascii="宋体" w:hAnsi="宋体" w:eastAsia="宋体" w:cs="宋体"/>
                <w:strike w:val="0"/>
                <w:dstrike w:val="0"/>
                <w:color w:val="auto"/>
                <w:sz w:val="21"/>
                <w:szCs w:val="21"/>
                <w:highlight w:val="none"/>
              </w:rPr>
            </w:pPr>
          </w:p>
        </w:tc>
        <w:tc>
          <w:tcPr>
            <w:tcW w:w="5424" w:type="dxa"/>
            <w:shd w:val="clear" w:color="auto" w:fill="auto"/>
            <w:noWrap w:val="0"/>
            <w:vAlign w:val="center"/>
          </w:tcPr>
          <w:p w14:paraId="64F17EFA">
            <w:pPr>
              <w:adjustRightInd w:val="0"/>
              <w:ind w:firstLine="420" w:firstLineChars="200"/>
              <w:jc w:val="both"/>
              <w:rPr>
                <w:rFonts w:hint="eastAsia" w:ascii="宋体" w:hAnsi="宋体" w:eastAsia="宋体" w:cs="宋体"/>
                <w:strike w:val="0"/>
                <w:dstrike w:val="0"/>
                <w:color w:val="auto"/>
                <w:sz w:val="21"/>
                <w:szCs w:val="21"/>
                <w:highlight w:val="none"/>
                <w:lang w:val="en-US" w:eastAsia="zh-CN"/>
              </w:rPr>
            </w:pPr>
            <w:r>
              <w:rPr>
                <w:rFonts w:hint="eastAsia" w:ascii="宋体" w:hAnsi="宋体" w:eastAsia="宋体" w:cs="宋体"/>
                <w:strike w:val="0"/>
                <w:dstrike w:val="0"/>
                <w:color w:val="auto"/>
                <w:sz w:val="21"/>
                <w:szCs w:val="21"/>
                <w:highlight w:val="none"/>
                <w:lang w:val="en-US" w:eastAsia="zh-CN"/>
              </w:rPr>
              <w:t>监测设备已安装使用，未</w:t>
            </w:r>
            <w:r>
              <w:rPr>
                <w:rFonts w:hint="eastAsia" w:ascii="宋体" w:hAnsi="宋体" w:eastAsia="宋体" w:cs="宋体"/>
                <w:strike w:val="0"/>
                <w:dstrike w:val="0"/>
                <w:color w:val="auto"/>
                <w:sz w:val="21"/>
                <w:szCs w:val="21"/>
                <w:highlight w:val="none"/>
              </w:rPr>
              <w:t>实时监测污染物的排放情况</w:t>
            </w:r>
            <w:r>
              <w:rPr>
                <w:rFonts w:hint="eastAsia" w:ascii="宋体" w:hAnsi="宋体" w:eastAsia="宋体" w:cs="宋体"/>
                <w:strike w:val="0"/>
                <w:dstrike w:val="0"/>
                <w:color w:val="auto"/>
                <w:sz w:val="21"/>
                <w:szCs w:val="21"/>
                <w:highlight w:val="none"/>
                <w:lang w:val="en-US" w:eastAsia="zh-CN"/>
              </w:rPr>
              <w:t>且未公开污染排放数据</w:t>
            </w:r>
          </w:p>
        </w:tc>
        <w:tc>
          <w:tcPr>
            <w:tcW w:w="1428" w:type="dxa"/>
            <w:noWrap w:val="0"/>
            <w:vAlign w:val="center"/>
          </w:tcPr>
          <w:p w14:paraId="424A7887">
            <w:pPr>
              <w:jc w:val="center"/>
              <w:rPr>
                <w:rFonts w:hint="eastAsia" w:ascii="宋体" w:hAnsi="宋体" w:eastAsia="宋体" w:cs="宋体"/>
                <w:strike w:val="0"/>
                <w:dstrike w:val="0"/>
                <w:color w:val="auto"/>
                <w:sz w:val="21"/>
                <w:szCs w:val="21"/>
                <w:highlight w:val="none"/>
                <w:lang w:val="en-US" w:eastAsia="zh-CN"/>
              </w:rPr>
            </w:pPr>
            <w:r>
              <w:rPr>
                <w:rFonts w:hint="eastAsia" w:ascii="宋体" w:hAnsi="宋体" w:eastAsia="宋体" w:cs="宋体"/>
                <w:strike w:val="0"/>
                <w:dstrike w:val="0"/>
                <w:color w:val="auto"/>
                <w:sz w:val="21"/>
                <w:szCs w:val="21"/>
                <w:highlight w:val="none"/>
                <w:lang w:val="en-US" w:eastAsia="zh-CN"/>
              </w:rPr>
              <w:t>4</w:t>
            </w:r>
          </w:p>
        </w:tc>
      </w:tr>
      <w:tr w14:paraId="03B11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726" w:type="dxa"/>
            <w:vMerge w:val="continue"/>
            <w:noWrap w:val="0"/>
            <w:vAlign w:val="center"/>
          </w:tcPr>
          <w:p w14:paraId="30904C51">
            <w:pPr>
              <w:adjustRightInd w:val="0"/>
              <w:ind w:firstLine="420" w:firstLineChars="200"/>
              <w:jc w:val="center"/>
              <w:rPr>
                <w:rFonts w:hint="eastAsia" w:ascii="宋体" w:hAnsi="宋体" w:eastAsia="宋体" w:cs="宋体"/>
                <w:strike w:val="0"/>
                <w:dstrike w:val="0"/>
                <w:color w:val="auto"/>
                <w:sz w:val="21"/>
                <w:szCs w:val="21"/>
                <w:highlight w:val="none"/>
              </w:rPr>
            </w:pPr>
          </w:p>
        </w:tc>
        <w:tc>
          <w:tcPr>
            <w:tcW w:w="5424" w:type="dxa"/>
            <w:shd w:val="clear" w:color="auto" w:fill="auto"/>
            <w:noWrap w:val="0"/>
            <w:vAlign w:val="center"/>
          </w:tcPr>
          <w:p w14:paraId="7459B080">
            <w:pPr>
              <w:adjustRightInd w:val="0"/>
              <w:ind w:firstLine="420" w:firstLineChars="200"/>
              <w:jc w:val="both"/>
              <w:rPr>
                <w:rFonts w:hint="eastAsia" w:ascii="宋体" w:hAnsi="宋体" w:eastAsia="宋体" w:cs="宋体"/>
                <w:strike w:val="0"/>
                <w:dstrike w:val="0"/>
                <w:color w:val="auto"/>
                <w:sz w:val="21"/>
                <w:szCs w:val="21"/>
                <w:highlight w:val="none"/>
                <w:lang w:val="en-US" w:eastAsia="zh-CN"/>
              </w:rPr>
            </w:pPr>
            <w:r>
              <w:rPr>
                <w:rFonts w:hint="eastAsia" w:ascii="宋体" w:hAnsi="宋体" w:eastAsia="宋体" w:cs="宋体"/>
                <w:strike w:val="0"/>
                <w:dstrike w:val="0"/>
                <w:color w:val="auto"/>
                <w:sz w:val="21"/>
                <w:szCs w:val="21"/>
                <w:highlight w:val="none"/>
                <w:lang w:val="en-US" w:eastAsia="zh-CN"/>
              </w:rPr>
              <w:t>监测设备未安装、使用</w:t>
            </w:r>
          </w:p>
        </w:tc>
        <w:tc>
          <w:tcPr>
            <w:tcW w:w="1428" w:type="dxa"/>
            <w:noWrap w:val="0"/>
            <w:vAlign w:val="center"/>
          </w:tcPr>
          <w:p w14:paraId="6B7A0A33">
            <w:pPr>
              <w:jc w:val="center"/>
              <w:rPr>
                <w:rFonts w:hint="eastAsia" w:ascii="宋体" w:hAnsi="宋体" w:eastAsia="宋体" w:cs="宋体"/>
                <w:strike w:val="0"/>
                <w:dstrike w:val="0"/>
                <w:color w:val="auto"/>
                <w:sz w:val="21"/>
                <w:szCs w:val="21"/>
                <w:highlight w:val="none"/>
                <w:lang w:val="en-US" w:eastAsia="zh-CN"/>
              </w:rPr>
            </w:pPr>
            <w:r>
              <w:rPr>
                <w:rFonts w:hint="eastAsia" w:ascii="宋体" w:hAnsi="宋体" w:eastAsia="宋体" w:cs="宋体"/>
                <w:strike w:val="0"/>
                <w:dstrike w:val="0"/>
                <w:color w:val="auto"/>
                <w:sz w:val="21"/>
                <w:szCs w:val="21"/>
                <w:highlight w:val="none"/>
                <w:lang w:val="en-US" w:eastAsia="zh-CN"/>
              </w:rPr>
              <w:t>5</w:t>
            </w:r>
          </w:p>
        </w:tc>
      </w:tr>
      <w:tr w14:paraId="3D851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726" w:type="dxa"/>
            <w:vMerge w:val="restart"/>
            <w:shd w:val="clear" w:color="auto" w:fill="auto"/>
            <w:noWrap w:val="0"/>
            <w:vAlign w:val="center"/>
          </w:tcPr>
          <w:p w14:paraId="1789A7E7">
            <w:pPr>
              <w:adjustRightInd w:val="0"/>
              <w:jc w:val="center"/>
              <w:rPr>
                <w:rFonts w:hint="eastAsia" w:ascii="宋体" w:hAnsi="宋体" w:eastAsia="宋体" w:cs="宋体"/>
                <w:strike w:val="0"/>
                <w:dstrike w:val="0"/>
                <w:color w:val="auto"/>
                <w:sz w:val="21"/>
                <w:szCs w:val="21"/>
                <w:highlight w:val="none"/>
                <w:lang w:val="en-US" w:eastAsia="zh-CN"/>
              </w:rPr>
            </w:pPr>
            <w:r>
              <w:rPr>
                <w:rFonts w:hint="eastAsia" w:ascii="宋体" w:hAnsi="宋体" w:eastAsia="宋体" w:cs="宋体"/>
                <w:strike w:val="0"/>
                <w:dstrike w:val="0"/>
                <w:color w:val="auto"/>
                <w:sz w:val="21"/>
                <w:szCs w:val="21"/>
                <w:highlight w:val="none"/>
                <w:lang w:val="en-US" w:eastAsia="zh-CN"/>
              </w:rPr>
              <w:t>生活垃圾处理单位规模等级</w:t>
            </w:r>
          </w:p>
        </w:tc>
        <w:tc>
          <w:tcPr>
            <w:tcW w:w="5424" w:type="dxa"/>
            <w:shd w:val="clear" w:color="auto" w:fill="auto"/>
            <w:noWrap w:val="0"/>
            <w:vAlign w:val="center"/>
          </w:tcPr>
          <w:p w14:paraId="22D10745">
            <w:pPr>
              <w:adjustRightInd w:val="0"/>
              <w:ind w:firstLine="420" w:firstLineChars="200"/>
              <w:jc w:val="both"/>
              <w:rPr>
                <w:rFonts w:hint="eastAsia" w:ascii="宋体" w:hAnsi="宋体" w:eastAsia="宋体" w:cs="宋体"/>
                <w:strike w:val="0"/>
                <w:dstrike w:val="0"/>
                <w:color w:val="auto"/>
                <w:sz w:val="21"/>
                <w:szCs w:val="21"/>
                <w:highlight w:val="none"/>
                <w:lang w:val="en-US" w:eastAsia="zh-CN"/>
              </w:rPr>
            </w:pPr>
            <w:r>
              <w:rPr>
                <w:rFonts w:hint="eastAsia" w:ascii="宋体" w:hAnsi="宋体" w:eastAsia="宋体" w:cs="宋体"/>
                <w:strike w:val="0"/>
                <w:dstrike w:val="0"/>
                <w:color w:val="auto"/>
                <w:sz w:val="21"/>
                <w:szCs w:val="21"/>
                <w:highlight w:val="none"/>
                <w:lang w:val="en-US" w:eastAsia="zh-CN"/>
              </w:rPr>
              <w:t>小型生活垃圾处置站点、小型中转站点、小型综合处理厂等，日处理量&lt;600吨/日</w:t>
            </w:r>
          </w:p>
        </w:tc>
        <w:tc>
          <w:tcPr>
            <w:tcW w:w="1428" w:type="dxa"/>
            <w:noWrap w:val="0"/>
            <w:vAlign w:val="center"/>
          </w:tcPr>
          <w:p w14:paraId="60C417F2">
            <w:pPr>
              <w:jc w:val="center"/>
              <w:rPr>
                <w:rFonts w:hint="eastAsia" w:ascii="宋体" w:hAnsi="宋体" w:eastAsia="宋体" w:cs="宋体"/>
                <w:strike w:val="0"/>
                <w:dstrike w:val="0"/>
                <w:color w:val="auto"/>
                <w:sz w:val="21"/>
                <w:szCs w:val="21"/>
                <w:highlight w:val="none"/>
                <w:lang w:val="en-US" w:eastAsia="zh-CN"/>
              </w:rPr>
            </w:pPr>
            <w:r>
              <w:rPr>
                <w:rFonts w:hint="eastAsia" w:ascii="宋体" w:hAnsi="宋体" w:eastAsia="宋体" w:cs="宋体"/>
                <w:strike w:val="0"/>
                <w:dstrike w:val="0"/>
                <w:color w:val="auto"/>
                <w:sz w:val="21"/>
                <w:szCs w:val="21"/>
                <w:highlight w:val="none"/>
                <w:lang w:val="en-US" w:eastAsia="zh-CN"/>
              </w:rPr>
              <w:t>1</w:t>
            </w:r>
          </w:p>
        </w:tc>
      </w:tr>
      <w:tr w14:paraId="0AAE2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726" w:type="dxa"/>
            <w:vMerge w:val="continue"/>
            <w:noWrap w:val="0"/>
            <w:vAlign w:val="center"/>
          </w:tcPr>
          <w:p w14:paraId="09336AC8">
            <w:pPr>
              <w:adjustRightInd w:val="0"/>
              <w:ind w:firstLine="420" w:firstLineChars="200"/>
              <w:jc w:val="both"/>
              <w:rPr>
                <w:rFonts w:hint="eastAsia" w:ascii="宋体" w:hAnsi="宋体" w:eastAsia="宋体" w:cs="宋体"/>
                <w:strike w:val="0"/>
                <w:dstrike w:val="0"/>
                <w:color w:val="auto"/>
                <w:sz w:val="21"/>
                <w:szCs w:val="21"/>
                <w:highlight w:val="none"/>
              </w:rPr>
            </w:pPr>
          </w:p>
        </w:tc>
        <w:tc>
          <w:tcPr>
            <w:tcW w:w="5424" w:type="dxa"/>
            <w:shd w:val="clear" w:color="auto" w:fill="auto"/>
            <w:noWrap w:val="0"/>
            <w:vAlign w:val="center"/>
          </w:tcPr>
          <w:p w14:paraId="5EA936C7">
            <w:pPr>
              <w:adjustRightInd w:val="0"/>
              <w:ind w:firstLine="420" w:firstLineChars="200"/>
              <w:jc w:val="both"/>
              <w:rPr>
                <w:rFonts w:hint="eastAsia" w:ascii="宋体" w:hAnsi="宋体" w:eastAsia="宋体" w:cs="宋体"/>
                <w:strike w:val="0"/>
                <w:dstrike w:val="0"/>
                <w:color w:val="auto"/>
                <w:sz w:val="21"/>
                <w:szCs w:val="21"/>
                <w:highlight w:val="none"/>
                <w:lang w:val="en-US" w:eastAsia="zh-CN"/>
              </w:rPr>
            </w:pPr>
            <w:r>
              <w:rPr>
                <w:rFonts w:hint="eastAsia" w:ascii="宋体" w:hAnsi="宋体" w:eastAsia="宋体" w:cs="宋体"/>
                <w:strike w:val="0"/>
                <w:dstrike w:val="0"/>
                <w:color w:val="auto"/>
                <w:sz w:val="21"/>
                <w:szCs w:val="21"/>
                <w:highlight w:val="none"/>
                <w:lang w:val="en-US" w:eastAsia="zh-CN"/>
              </w:rPr>
              <w:t>中型生活垃圾焚烧厂、填埋场、综合处理厂等，600吨/日≤日处理量&lt;1200吨/日</w:t>
            </w:r>
          </w:p>
        </w:tc>
        <w:tc>
          <w:tcPr>
            <w:tcW w:w="1428" w:type="dxa"/>
            <w:noWrap w:val="0"/>
            <w:vAlign w:val="center"/>
          </w:tcPr>
          <w:p w14:paraId="09281166">
            <w:pPr>
              <w:jc w:val="center"/>
              <w:rPr>
                <w:rFonts w:hint="eastAsia" w:ascii="宋体" w:hAnsi="宋体" w:eastAsia="宋体" w:cs="宋体"/>
                <w:strike w:val="0"/>
                <w:dstrike w:val="0"/>
                <w:color w:val="auto"/>
                <w:sz w:val="21"/>
                <w:szCs w:val="21"/>
                <w:highlight w:val="none"/>
                <w:lang w:val="en-US" w:eastAsia="zh-CN"/>
              </w:rPr>
            </w:pPr>
            <w:r>
              <w:rPr>
                <w:rFonts w:hint="eastAsia" w:ascii="宋体" w:hAnsi="宋体" w:eastAsia="宋体" w:cs="宋体"/>
                <w:strike w:val="0"/>
                <w:dstrike w:val="0"/>
                <w:color w:val="auto"/>
                <w:sz w:val="21"/>
                <w:szCs w:val="21"/>
                <w:highlight w:val="none"/>
                <w:lang w:val="en-US" w:eastAsia="zh-CN"/>
              </w:rPr>
              <w:t>3</w:t>
            </w:r>
          </w:p>
        </w:tc>
      </w:tr>
      <w:tr w14:paraId="046FF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726" w:type="dxa"/>
            <w:vMerge w:val="continue"/>
            <w:noWrap w:val="0"/>
            <w:vAlign w:val="center"/>
          </w:tcPr>
          <w:p w14:paraId="327F64CC">
            <w:pPr>
              <w:adjustRightInd w:val="0"/>
              <w:ind w:firstLine="420" w:firstLineChars="200"/>
              <w:jc w:val="both"/>
              <w:rPr>
                <w:rFonts w:hint="eastAsia" w:ascii="宋体" w:hAnsi="宋体" w:eastAsia="宋体" w:cs="宋体"/>
                <w:strike w:val="0"/>
                <w:dstrike w:val="0"/>
                <w:color w:val="auto"/>
                <w:sz w:val="21"/>
                <w:szCs w:val="21"/>
                <w:highlight w:val="none"/>
              </w:rPr>
            </w:pPr>
          </w:p>
        </w:tc>
        <w:tc>
          <w:tcPr>
            <w:tcW w:w="5424" w:type="dxa"/>
            <w:shd w:val="clear" w:color="auto" w:fill="auto"/>
            <w:noWrap w:val="0"/>
            <w:vAlign w:val="center"/>
          </w:tcPr>
          <w:p w14:paraId="1FF1586B">
            <w:pPr>
              <w:adjustRightInd w:val="0"/>
              <w:ind w:firstLine="420" w:firstLineChars="200"/>
              <w:jc w:val="both"/>
              <w:rPr>
                <w:rFonts w:hint="eastAsia" w:ascii="宋体" w:hAnsi="宋体" w:eastAsia="宋体" w:cs="宋体"/>
                <w:strike w:val="0"/>
                <w:dstrike w:val="0"/>
                <w:color w:val="auto"/>
                <w:sz w:val="21"/>
                <w:szCs w:val="21"/>
                <w:highlight w:val="none"/>
                <w:lang w:val="en-US" w:eastAsia="zh-CN"/>
              </w:rPr>
            </w:pPr>
            <w:r>
              <w:rPr>
                <w:rFonts w:hint="eastAsia" w:ascii="宋体" w:hAnsi="宋体" w:eastAsia="宋体" w:cs="宋体"/>
                <w:strike w:val="0"/>
                <w:dstrike w:val="0"/>
                <w:color w:val="auto"/>
                <w:sz w:val="21"/>
                <w:szCs w:val="21"/>
                <w:highlight w:val="none"/>
                <w:lang w:val="en-US" w:eastAsia="zh-CN"/>
              </w:rPr>
              <w:t>大型生活垃圾焚烧发电、大型</w:t>
            </w:r>
            <w:r>
              <w:rPr>
                <w:rFonts w:hint="eastAsia" w:ascii="宋体" w:hAnsi="宋体" w:cs="宋体"/>
                <w:strike w:val="0"/>
                <w:dstrike w:val="0"/>
                <w:color w:val="auto"/>
                <w:sz w:val="21"/>
                <w:szCs w:val="21"/>
                <w:highlight w:val="none"/>
                <w:lang w:val="en-US" w:eastAsia="zh-CN"/>
              </w:rPr>
              <w:t>填埋场</w:t>
            </w:r>
            <w:r>
              <w:rPr>
                <w:rFonts w:hint="eastAsia" w:ascii="宋体" w:hAnsi="宋体" w:eastAsia="宋体" w:cs="宋体"/>
                <w:strike w:val="0"/>
                <w:dstrike w:val="0"/>
                <w:color w:val="auto"/>
                <w:sz w:val="21"/>
                <w:szCs w:val="21"/>
                <w:highlight w:val="none"/>
                <w:lang w:val="en-US" w:eastAsia="zh-CN"/>
              </w:rPr>
              <w:t>、大型综合处理厂等，日处理量≥1200吨/日</w:t>
            </w:r>
          </w:p>
        </w:tc>
        <w:tc>
          <w:tcPr>
            <w:tcW w:w="1428" w:type="dxa"/>
            <w:noWrap w:val="0"/>
            <w:vAlign w:val="center"/>
          </w:tcPr>
          <w:p w14:paraId="75BF3162">
            <w:pPr>
              <w:jc w:val="center"/>
              <w:rPr>
                <w:rFonts w:hint="eastAsia" w:ascii="宋体" w:hAnsi="宋体" w:eastAsia="宋体" w:cs="宋体"/>
                <w:strike w:val="0"/>
                <w:dstrike w:val="0"/>
                <w:color w:val="auto"/>
                <w:sz w:val="21"/>
                <w:szCs w:val="21"/>
                <w:highlight w:val="none"/>
                <w:lang w:val="en-US" w:eastAsia="zh-CN"/>
              </w:rPr>
            </w:pPr>
            <w:r>
              <w:rPr>
                <w:rFonts w:hint="eastAsia" w:ascii="宋体" w:hAnsi="宋体" w:eastAsia="宋体" w:cs="宋体"/>
                <w:strike w:val="0"/>
                <w:dstrike w:val="0"/>
                <w:color w:val="auto"/>
                <w:sz w:val="21"/>
                <w:szCs w:val="21"/>
                <w:highlight w:val="none"/>
                <w:lang w:val="en-US" w:eastAsia="zh-CN"/>
              </w:rPr>
              <w:t>5</w:t>
            </w:r>
          </w:p>
        </w:tc>
      </w:tr>
    </w:tbl>
    <w:p w14:paraId="784A3A3C">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475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21"/>
        <w:gridCol w:w="5507"/>
        <w:gridCol w:w="1287"/>
      </w:tblGrid>
      <w:tr w14:paraId="470C2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8110" w:type="dxa"/>
            <w:gridSpan w:val="3"/>
            <w:noWrap w:val="0"/>
            <w:vAlign w:val="center"/>
          </w:tcPr>
          <w:p w14:paraId="73054558">
            <w:pPr>
              <w:jc w:val="center"/>
              <w:rPr>
                <w:rFonts w:hint="eastAsia" w:ascii="宋体" w:hAnsi="宋体" w:eastAsia="宋体" w:cs="宋体"/>
                <w:bCs/>
                <w:color w:val="auto"/>
                <w:sz w:val="21"/>
                <w:szCs w:val="21"/>
                <w:highlight w:val="none"/>
                <w:lang w:eastAsia="zh-CN"/>
              </w:rPr>
            </w:pPr>
            <w:r>
              <w:rPr>
                <w:rFonts w:hint="eastAsia" w:ascii="宋体" w:hAnsi="宋体" w:cs="宋体"/>
                <w:bCs/>
                <w:color w:val="auto"/>
                <w:sz w:val="21"/>
                <w:szCs w:val="21"/>
                <w:highlight w:val="none"/>
                <w:lang w:eastAsia="zh-CN"/>
              </w:rPr>
              <w:t>（一）生态环境监测管理类</w:t>
            </w:r>
          </w:p>
        </w:tc>
      </w:tr>
      <w:tr w14:paraId="72F0F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39" w:type="dxa"/>
            <w:noWrap w:val="0"/>
            <w:vAlign w:val="center"/>
          </w:tcPr>
          <w:p w14:paraId="6F357E9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471" w:type="dxa"/>
            <w:gridSpan w:val="2"/>
            <w:noWrap w:val="0"/>
            <w:vAlign w:val="center"/>
          </w:tcPr>
          <w:p w14:paraId="2B5B911A">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5-1</w:t>
            </w:r>
          </w:p>
        </w:tc>
      </w:tr>
      <w:tr w14:paraId="7148F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1639" w:type="dxa"/>
            <w:noWrap w:val="0"/>
            <w:vAlign w:val="center"/>
          </w:tcPr>
          <w:p w14:paraId="1EBB114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6471" w:type="dxa"/>
            <w:gridSpan w:val="2"/>
            <w:noWrap w:val="0"/>
            <w:vAlign w:val="center"/>
          </w:tcPr>
          <w:p w14:paraId="7DB44FE9">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企业事业单位和其他生产经营者对生态环境监测数据弄虚作假的</w:t>
            </w:r>
          </w:p>
        </w:tc>
      </w:tr>
      <w:tr w14:paraId="54DAB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jc w:val="center"/>
        </w:trPr>
        <w:tc>
          <w:tcPr>
            <w:tcW w:w="1639" w:type="dxa"/>
            <w:noWrap w:val="0"/>
            <w:vAlign w:val="center"/>
          </w:tcPr>
          <w:p w14:paraId="3AA0CB2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6471" w:type="dxa"/>
            <w:gridSpan w:val="2"/>
            <w:noWrap w:val="0"/>
            <w:vAlign w:val="center"/>
          </w:tcPr>
          <w:p w14:paraId="7665AA41">
            <w:pPr>
              <w:keepNext w:val="0"/>
              <w:keepLines w:val="0"/>
              <w:pageBreakBefore w:val="0"/>
              <w:widowControl w:val="0"/>
              <w:kinsoku/>
              <w:wordWrap/>
              <w:overflowPunct/>
              <w:topLinePunct w:val="0"/>
              <w:autoSpaceDE/>
              <w:autoSpaceDN/>
              <w:bidi w:val="0"/>
              <w:snapToGrid w:val="0"/>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《中华人民共和国生态环境法典》第八十条</w:t>
            </w:r>
            <w:r>
              <w:rPr>
                <w:rFonts w:hint="eastAsia" w:ascii="宋体" w:hAnsi="宋体" w:eastAsia="宋体" w:cs="宋体"/>
                <w:color w:val="auto"/>
                <w:sz w:val="21"/>
                <w:szCs w:val="21"/>
                <w:highlight w:val="none"/>
                <w:lang w:val="en-US" w:eastAsia="zh-CN"/>
              </w:rPr>
              <w:t>第一款</w:t>
            </w:r>
            <w:r>
              <w:rPr>
                <w:rFonts w:hint="eastAsia" w:ascii="宋体" w:hAnsi="宋体" w:eastAsia="宋体" w:cs="宋体"/>
                <w:color w:val="auto"/>
                <w:sz w:val="21"/>
                <w:szCs w:val="21"/>
                <w:highlight w:val="none"/>
              </w:rPr>
              <w:t>　禁止通过干扰采样、调换样品、改变监测条件、虚假监测、篡改或者伪造记录等方式对生态环境监测数据弄虚作假或者指使对生态环境监测数据弄虚作假。</w:t>
            </w:r>
          </w:p>
        </w:tc>
      </w:tr>
      <w:tr w14:paraId="50FFA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9" w:hRule="atLeast"/>
          <w:jc w:val="center"/>
        </w:trPr>
        <w:tc>
          <w:tcPr>
            <w:tcW w:w="1639" w:type="dxa"/>
            <w:noWrap w:val="0"/>
            <w:vAlign w:val="center"/>
          </w:tcPr>
          <w:p w14:paraId="0A1554F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6471" w:type="dxa"/>
            <w:gridSpan w:val="2"/>
            <w:noWrap w:val="0"/>
            <w:vAlign w:val="center"/>
          </w:tcPr>
          <w:p w14:paraId="383C43D1">
            <w:pPr>
              <w:keepNext w:val="0"/>
              <w:keepLines w:val="0"/>
              <w:pageBreakBefore w:val="0"/>
              <w:widowControl w:val="0"/>
              <w:kinsoku/>
              <w:wordWrap/>
              <w:overflowPunct/>
              <w:topLinePunct w:val="0"/>
              <w:autoSpaceDE/>
              <w:autoSpaceDN/>
              <w:bidi w:val="0"/>
              <w:snapToGrid w:val="0"/>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《中华人民共和国生态环境法典》第一千零八十八条  违反本法规定，企业事业单位和其他生产经营者对生态环境监测数据弄虚作假，或者指使其委托的生态环境监测机构对监测数据弄虚作假的，由负有生态环境保护监督管理职责的部门、机构按照职责分工责令改正，处十万元以上一百万元以下的罚款，并对其直接负责的主管人员和其他直接责任人员处五万元以上二十万元以下的罚款</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w:t>
            </w:r>
          </w:p>
        </w:tc>
      </w:tr>
      <w:tr w14:paraId="004F0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1639" w:type="dxa"/>
            <w:noWrap w:val="0"/>
            <w:vAlign w:val="center"/>
          </w:tcPr>
          <w:p w14:paraId="4135175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245" w:type="dxa"/>
            <w:noWrap w:val="0"/>
            <w:vAlign w:val="center"/>
          </w:tcPr>
          <w:p w14:paraId="547BACF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226" w:type="dxa"/>
            <w:noWrap w:val="0"/>
            <w:vAlign w:val="center"/>
          </w:tcPr>
          <w:p w14:paraId="321F8DE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48067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39" w:type="dxa"/>
            <w:vMerge w:val="restart"/>
            <w:noWrap w:val="0"/>
            <w:vAlign w:val="center"/>
          </w:tcPr>
          <w:p w14:paraId="2FB81F1D">
            <w:pPr>
              <w:jc w:val="center"/>
              <w:rPr>
                <w:rFonts w:hint="eastAsia" w:ascii="宋体" w:hAnsi="宋体" w:eastAsia="宋体" w:cs="宋体"/>
                <w:b w:val="0"/>
                <w:bCs w:val="0"/>
                <w:color w:val="auto"/>
                <w:sz w:val="21"/>
                <w:szCs w:val="21"/>
                <w:highlight w:val="none"/>
                <w:lang w:eastAsia="zh-CN"/>
              </w:rPr>
            </w:pPr>
            <w:r>
              <w:rPr>
                <w:rFonts w:hint="eastAsia" w:ascii="宋体" w:hAnsi="宋体" w:cs="宋体"/>
                <w:b w:val="0"/>
                <w:bCs w:val="0"/>
                <w:color w:val="auto"/>
                <w:sz w:val="21"/>
                <w:szCs w:val="21"/>
                <w:highlight w:val="none"/>
                <w:lang w:eastAsia="zh-CN"/>
              </w:rPr>
              <w:t>排污许可</w:t>
            </w:r>
          </w:p>
          <w:p w14:paraId="040731B8">
            <w:pPr>
              <w:jc w:val="center"/>
              <w:rPr>
                <w:rFonts w:hint="eastAsia"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管理类别</w:t>
            </w:r>
          </w:p>
        </w:tc>
        <w:tc>
          <w:tcPr>
            <w:tcW w:w="5245" w:type="dxa"/>
            <w:noWrap w:val="0"/>
            <w:vAlign w:val="center"/>
          </w:tcPr>
          <w:p w14:paraId="2C883BC1">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未纳入排污许可管理单位</w:t>
            </w:r>
          </w:p>
        </w:tc>
        <w:tc>
          <w:tcPr>
            <w:tcW w:w="1226" w:type="dxa"/>
            <w:noWrap w:val="0"/>
            <w:vAlign w:val="center"/>
          </w:tcPr>
          <w:p w14:paraId="0DC79D14">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r>
      <w:tr w14:paraId="6BF26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39" w:type="dxa"/>
            <w:vMerge w:val="continue"/>
            <w:noWrap w:val="0"/>
            <w:vAlign w:val="center"/>
          </w:tcPr>
          <w:p w14:paraId="00FC1B01">
            <w:pPr>
              <w:jc w:val="center"/>
              <w:rPr>
                <w:rFonts w:hint="eastAsia" w:ascii="宋体" w:hAnsi="宋体" w:eastAsia="宋体" w:cs="宋体"/>
                <w:color w:val="auto"/>
                <w:sz w:val="21"/>
                <w:szCs w:val="21"/>
                <w:highlight w:val="none"/>
              </w:rPr>
            </w:pPr>
          </w:p>
        </w:tc>
        <w:tc>
          <w:tcPr>
            <w:tcW w:w="5245" w:type="dxa"/>
            <w:noWrap w:val="0"/>
            <w:vAlign w:val="center"/>
          </w:tcPr>
          <w:p w14:paraId="0CFB18ED">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简化管理</w:t>
            </w:r>
          </w:p>
        </w:tc>
        <w:tc>
          <w:tcPr>
            <w:tcW w:w="1226" w:type="dxa"/>
            <w:noWrap w:val="0"/>
            <w:vAlign w:val="center"/>
          </w:tcPr>
          <w:p w14:paraId="3019AB8A">
            <w:pPr>
              <w:jc w:val="center"/>
              <w:rPr>
                <w:rFonts w:hint="eastAsia"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lang w:val="en-US" w:eastAsia="zh-CN"/>
              </w:rPr>
              <w:t>3</w:t>
            </w:r>
          </w:p>
        </w:tc>
      </w:tr>
      <w:tr w14:paraId="2E6E9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39" w:type="dxa"/>
            <w:vMerge w:val="continue"/>
            <w:noWrap w:val="0"/>
            <w:vAlign w:val="center"/>
          </w:tcPr>
          <w:p w14:paraId="585171C0">
            <w:pPr>
              <w:jc w:val="center"/>
              <w:rPr>
                <w:rFonts w:hint="eastAsia" w:ascii="宋体" w:hAnsi="宋体" w:eastAsia="宋体" w:cs="宋体"/>
                <w:color w:val="auto"/>
                <w:sz w:val="21"/>
                <w:szCs w:val="21"/>
                <w:highlight w:val="none"/>
              </w:rPr>
            </w:pPr>
          </w:p>
        </w:tc>
        <w:tc>
          <w:tcPr>
            <w:tcW w:w="5245" w:type="dxa"/>
            <w:noWrap w:val="0"/>
            <w:vAlign w:val="center"/>
          </w:tcPr>
          <w:p w14:paraId="3B7062D8">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重点管理</w:t>
            </w:r>
          </w:p>
        </w:tc>
        <w:tc>
          <w:tcPr>
            <w:tcW w:w="1226" w:type="dxa"/>
            <w:noWrap w:val="0"/>
            <w:vAlign w:val="center"/>
          </w:tcPr>
          <w:p w14:paraId="14FCA13A">
            <w:pPr>
              <w:jc w:val="center"/>
              <w:rPr>
                <w:rFonts w:hint="eastAsia"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lang w:val="en-US" w:eastAsia="zh-CN"/>
              </w:rPr>
              <w:t>4</w:t>
            </w:r>
          </w:p>
        </w:tc>
      </w:tr>
      <w:tr w14:paraId="3A644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39" w:type="dxa"/>
            <w:vMerge w:val="continue"/>
            <w:noWrap w:val="0"/>
            <w:vAlign w:val="center"/>
          </w:tcPr>
          <w:p w14:paraId="58E1F41A">
            <w:pPr>
              <w:jc w:val="center"/>
              <w:rPr>
                <w:rFonts w:hint="eastAsia" w:ascii="宋体" w:hAnsi="宋体" w:eastAsia="宋体" w:cs="宋体"/>
                <w:color w:val="auto"/>
                <w:sz w:val="21"/>
                <w:szCs w:val="21"/>
                <w:highlight w:val="none"/>
              </w:rPr>
            </w:pPr>
          </w:p>
        </w:tc>
        <w:tc>
          <w:tcPr>
            <w:tcW w:w="5245" w:type="dxa"/>
            <w:noWrap w:val="0"/>
            <w:vAlign w:val="center"/>
          </w:tcPr>
          <w:p w14:paraId="72D59832">
            <w:pPr>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重点管理（钢铁、石化、化工、电镀、皮革、造纸、冶炼、印染、染料、水泥、煤电、陶瓷、采矿、放射性、危废经营、垃圾焚烧发电、平板玻璃，“两高”项目）</w:t>
            </w:r>
          </w:p>
        </w:tc>
        <w:tc>
          <w:tcPr>
            <w:tcW w:w="1226" w:type="dxa"/>
            <w:noWrap w:val="0"/>
            <w:vAlign w:val="center"/>
          </w:tcPr>
          <w:p w14:paraId="32040F6C">
            <w:pPr>
              <w:keepNext w:val="0"/>
              <w:keepLines w:val="0"/>
              <w:pageBreakBefore w:val="0"/>
              <w:widowControl w:val="0"/>
              <w:kinsoku/>
              <w:wordWrap/>
              <w:overflowPunct/>
              <w:topLinePunct w:val="0"/>
              <w:autoSpaceDE/>
              <w:autoSpaceDN/>
              <w:bidi w:val="0"/>
              <w:snapToGrid w:val="0"/>
              <w:jc w:val="center"/>
              <w:textAlignment w:val="auto"/>
              <w:rPr>
                <w:rFonts w:hint="eastAsia"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lang w:val="en-US" w:eastAsia="zh-CN"/>
              </w:rPr>
              <w:t>5</w:t>
            </w:r>
          </w:p>
        </w:tc>
      </w:tr>
      <w:tr w14:paraId="79196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39" w:type="dxa"/>
            <w:vMerge w:val="restart"/>
            <w:shd w:val="clear" w:color="auto" w:fill="auto"/>
            <w:noWrap w:val="0"/>
            <w:vAlign w:val="center"/>
          </w:tcPr>
          <w:p w14:paraId="36EB80D5">
            <w:pPr>
              <w:jc w:val="center"/>
              <w:rPr>
                <w:rFonts w:hint="eastAsia" w:ascii="宋体" w:hAnsi="宋体" w:eastAsia="宋体" w:cs="宋体"/>
                <w:b/>
                <w:bCs/>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污染物</w:t>
            </w:r>
            <w:r>
              <w:rPr>
                <w:rFonts w:hint="eastAsia" w:ascii="宋体" w:hAnsi="宋体" w:eastAsia="宋体" w:cs="宋体"/>
                <w:color w:val="auto"/>
                <w:sz w:val="21"/>
                <w:szCs w:val="21"/>
                <w:highlight w:val="none"/>
              </w:rPr>
              <w:t>类别</w:t>
            </w:r>
          </w:p>
        </w:tc>
        <w:tc>
          <w:tcPr>
            <w:tcW w:w="5245" w:type="dxa"/>
            <w:shd w:val="clear" w:color="auto" w:fill="auto"/>
            <w:noWrap w:val="0"/>
            <w:vAlign w:val="top"/>
          </w:tcPr>
          <w:p w14:paraId="674EA185">
            <w:pPr>
              <w:adjustRightInd w:val="0"/>
              <w:ind w:firstLine="420" w:firstLineChars="200"/>
              <w:jc w:val="both"/>
              <w:rPr>
                <w:rFonts w:hint="eastAsia" w:ascii="宋体" w:hAnsi="宋体" w:eastAsia="宋体" w:cs="宋体"/>
                <w:b/>
                <w:bCs/>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一般废气、废水、固体废物、噪声、畜禽养殖废水</w:t>
            </w:r>
          </w:p>
        </w:tc>
        <w:tc>
          <w:tcPr>
            <w:tcW w:w="1226" w:type="dxa"/>
            <w:noWrap w:val="0"/>
            <w:vAlign w:val="center"/>
          </w:tcPr>
          <w:p w14:paraId="2E0B95FD">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1</w:t>
            </w:r>
          </w:p>
        </w:tc>
      </w:tr>
      <w:tr w14:paraId="1F740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39" w:type="dxa"/>
            <w:vMerge w:val="continue"/>
            <w:noWrap w:val="0"/>
            <w:vAlign w:val="center"/>
          </w:tcPr>
          <w:p w14:paraId="74AD0C42">
            <w:pPr>
              <w:jc w:val="center"/>
              <w:rPr>
                <w:rFonts w:hint="eastAsia" w:ascii="宋体" w:hAnsi="宋体" w:eastAsia="宋体" w:cs="宋体"/>
                <w:color w:val="auto"/>
                <w:sz w:val="21"/>
                <w:szCs w:val="21"/>
                <w:highlight w:val="none"/>
              </w:rPr>
            </w:pPr>
          </w:p>
        </w:tc>
        <w:tc>
          <w:tcPr>
            <w:tcW w:w="5245" w:type="dxa"/>
            <w:shd w:val="clear" w:color="auto" w:fill="auto"/>
            <w:noWrap w:val="0"/>
            <w:vAlign w:val="top"/>
          </w:tcPr>
          <w:p w14:paraId="1ACF67F4">
            <w:pPr>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b/>
                <w:bCs/>
                <w:kern w:val="2"/>
                <w:sz w:val="21"/>
                <w:szCs w:val="21"/>
                <w:highlight w:val="none"/>
                <w:lang w:val="en-US" w:eastAsia="zh-CN" w:bidi="ar-SA"/>
              </w:rPr>
            </w:pPr>
            <w:r>
              <w:rPr>
                <w:rFonts w:hint="eastAsia" w:ascii="宋体" w:hAnsi="宋体" w:eastAsia="宋体" w:cs="宋体"/>
                <w:color w:val="auto"/>
                <w:sz w:val="21"/>
                <w:szCs w:val="21"/>
                <w:highlight w:val="none"/>
              </w:rPr>
              <w:t>火电、钢铁、石化、水泥、炼焦、有色、化工废气/医疗废水</w:t>
            </w:r>
          </w:p>
        </w:tc>
        <w:tc>
          <w:tcPr>
            <w:tcW w:w="1226" w:type="dxa"/>
            <w:noWrap w:val="0"/>
            <w:vAlign w:val="center"/>
          </w:tcPr>
          <w:p w14:paraId="2D001ADE">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r>
      <w:tr w14:paraId="1BD25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 w:hRule="atLeast"/>
          <w:jc w:val="center"/>
        </w:trPr>
        <w:tc>
          <w:tcPr>
            <w:tcW w:w="1639" w:type="dxa"/>
            <w:vMerge w:val="continue"/>
            <w:noWrap w:val="0"/>
            <w:vAlign w:val="center"/>
          </w:tcPr>
          <w:p w14:paraId="3BACFA61">
            <w:pPr>
              <w:jc w:val="center"/>
              <w:rPr>
                <w:rFonts w:hint="eastAsia" w:ascii="宋体" w:hAnsi="宋体" w:eastAsia="宋体" w:cs="宋体"/>
                <w:color w:val="auto"/>
                <w:sz w:val="21"/>
                <w:szCs w:val="21"/>
                <w:highlight w:val="none"/>
              </w:rPr>
            </w:pPr>
          </w:p>
        </w:tc>
        <w:tc>
          <w:tcPr>
            <w:tcW w:w="5245" w:type="dxa"/>
            <w:shd w:val="clear" w:color="auto" w:fill="auto"/>
            <w:noWrap w:val="0"/>
            <w:vAlign w:val="top"/>
          </w:tcPr>
          <w:p w14:paraId="65A23F33">
            <w:pPr>
              <w:adjustRightInd w:val="0"/>
              <w:ind w:firstLine="420" w:firstLineChars="200"/>
              <w:jc w:val="both"/>
              <w:rPr>
                <w:rFonts w:hint="eastAsia" w:ascii="宋体" w:hAnsi="宋体" w:eastAsia="宋体" w:cs="宋体"/>
                <w:b/>
                <w:bCs/>
                <w:kern w:val="2"/>
                <w:sz w:val="21"/>
                <w:szCs w:val="21"/>
                <w:highlight w:val="none"/>
                <w:lang w:val="en-US" w:eastAsia="zh-CN" w:bidi="ar-SA"/>
              </w:rPr>
            </w:pPr>
            <w:r>
              <w:rPr>
                <w:rFonts w:hint="eastAsia" w:ascii="宋体" w:hAnsi="宋体" w:eastAsia="宋体" w:cs="宋体"/>
                <w:color w:val="auto"/>
                <w:sz w:val="21"/>
                <w:szCs w:val="21"/>
                <w:highlight w:val="none"/>
              </w:rPr>
              <w:t>含有毒有害物质的废气、废水／含一类污染物或重金属、病原体、放射性物质的废水／危险废物</w:t>
            </w:r>
          </w:p>
        </w:tc>
        <w:tc>
          <w:tcPr>
            <w:tcW w:w="1226" w:type="dxa"/>
            <w:noWrap w:val="0"/>
            <w:vAlign w:val="center"/>
          </w:tcPr>
          <w:p w14:paraId="1540749E">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r>
      <w:tr w14:paraId="5900D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1639" w:type="dxa"/>
            <w:vMerge w:val="restart"/>
            <w:shd w:val="clear" w:color="auto" w:fill="auto"/>
            <w:noWrap w:val="0"/>
            <w:vAlign w:val="center"/>
          </w:tcPr>
          <w:p w14:paraId="66300F1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排放去向或</w:t>
            </w:r>
          </w:p>
          <w:p w14:paraId="567F11FF">
            <w:pPr>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区域</w:t>
            </w:r>
          </w:p>
        </w:tc>
        <w:tc>
          <w:tcPr>
            <w:tcW w:w="5245" w:type="dxa"/>
            <w:shd w:val="clear" w:color="auto" w:fill="auto"/>
            <w:noWrap w:val="0"/>
            <w:vAlign w:val="top"/>
          </w:tcPr>
          <w:p w14:paraId="39B6FCD2">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b/>
                <w:bCs/>
                <w:kern w:val="2"/>
                <w:sz w:val="21"/>
                <w:szCs w:val="21"/>
                <w:highlight w:val="none"/>
                <w:lang w:val="en-US" w:eastAsia="zh-CN" w:bidi="ar-SA"/>
              </w:rPr>
            </w:pPr>
            <w:r>
              <w:rPr>
                <w:rFonts w:hint="eastAsia" w:ascii="宋体" w:hAnsi="宋体" w:cs="宋体"/>
                <w:color w:val="auto"/>
                <w:sz w:val="21"/>
                <w:szCs w:val="21"/>
                <w:highlight w:val="none"/>
                <w:lang w:eastAsia="zh-CN"/>
              </w:rPr>
              <w:t>二类环境空气功能区</w:t>
            </w:r>
            <w:r>
              <w:rPr>
                <w:rFonts w:hint="eastAsia" w:ascii="宋体" w:hAnsi="宋体" w:eastAsia="宋体" w:cs="宋体"/>
                <w:color w:val="auto"/>
                <w:sz w:val="21"/>
                <w:szCs w:val="21"/>
                <w:highlight w:val="none"/>
              </w:rPr>
              <w:t>（工业区和农村地区）</w:t>
            </w:r>
            <w:r>
              <w:rPr>
                <w:rFonts w:hint="eastAsia" w:ascii="宋体" w:hAnsi="宋体" w:cs="宋体"/>
                <w:color w:val="auto"/>
                <w:sz w:val="21"/>
                <w:szCs w:val="21"/>
                <w:highlight w:val="none"/>
                <w:lang w:val="en-US" w:eastAsia="zh-CN"/>
              </w:rPr>
              <w:t>/V类水体（或者污水集中处理设施）/</w:t>
            </w:r>
            <w:r>
              <w:rPr>
                <w:rFonts w:hint="eastAsia" w:ascii="宋体" w:hAnsi="宋体" w:eastAsia="宋体" w:cs="宋体"/>
                <w:color w:val="auto"/>
                <w:sz w:val="21"/>
                <w:szCs w:val="21"/>
                <w:highlight w:val="none"/>
              </w:rPr>
              <w:t>4类声环境功能区</w:t>
            </w:r>
            <w:r>
              <w:rPr>
                <w:rFonts w:hint="eastAsia" w:ascii="宋体" w:hAnsi="宋体" w:eastAsia="宋体" w:cs="宋体"/>
                <w:color w:val="auto"/>
                <w:sz w:val="21"/>
                <w:szCs w:val="21"/>
                <w:highlight w:val="none"/>
                <w:lang w:val="en-US" w:eastAsia="zh-CN"/>
              </w:rPr>
              <w:t>/第四类海水水质的区域</w:t>
            </w:r>
          </w:p>
        </w:tc>
        <w:tc>
          <w:tcPr>
            <w:tcW w:w="1226" w:type="dxa"/>
            <w:noWrap w:val="0"/>
            <w:vAlign w:val="center"/>
          </w:tcPr>
          <w:p w14:paraId="5987CB91">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1</w:t>
            </w:r>
          </w:p>
        </w:tc>
      </w:tr>
      <w:tr w14:paraId="270AB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 w:hRule="atLeast"/>
          <w:jc w:val="center"/>
        </w:trPr>
        <w:tc>
          <w:tcPr>
            <w:tcW w:w="1639" w:type="dxa"/>
            <w:vMerge w:val="continue"/>
            <w:noWrap w:val="0"/>
            <w:vAlign w:val="center"/>
          </w:tcPr>
          <w:p w14:paraId="5C4E957C">
            <w:pPr>
              <w:jc w:val="center"/>
              <w:rPr>
                <w:rFonts w:hint="eastAsia" w:ascii="宋体" w:hAnsi="宋体" w:eastAsia="宋体" w:cs="宋体"/>
                <w:color w:val="auto"/>
                <w:sz w:val="21"/>
                <w:szCs w:val="21"/>
                <w:highlight w:val="none"/>
              </w:rPr>
            </w:pPr>
          </w:p>
        </w:tc>
        <w:tc>
          <w:tcPr>
            <w:tcW w:w="5245" w:type="dxa"/>
            <w:shd w:val="clear" w:color="auto" w:fill="auto"/>
            <w:noWrap w:val="0"/>
            <w:vAlign w:val="top"/>
          </w:tcPr>
          <w:p w14:paraId="30685C5A">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b/>
                <w:bCs/>
                <w:kern w:val="2"/>
                <w:sz w:val="21"/>
                <w:szCs w:val="21"/>
                <w:highlight w:val="none"/>
                <w:lang w:val="en-US" w:eastAsia="zh-CN" w:bidi="ar-SA"/>
              </w:rPr>
            </w:pPr>
            <w:r>
              <w:rPr>
                <w:rFonts w:hint="eastAsia" w:ascii="宋体" w:hAnsi="宋体" w:cs="宋体"/>
                <w:color w:val="auto"/>
                <w:sz w:val="21"/>
                <w:szCs w:val="21"/>
                <w:highlight w:val="none"/>
                <w:lang w:eastAsia="zh-CN"/>
              </w:rPr>
              <w:t>Ⅳ类</w:t>
            </w:r>
            <w:r>
              <w:rPr>
                <w:rFonts w:hint="eastAsia" w:ascii="宋体" w:hAnsi="宋体" w:eastAsia="宋体" w:cs="宋体"/>
                <w:color w:val="auto"/>
                <w:sz w:val="21"/>
                <w:szCs w:val="21"/>
                <w:highlight w:val="none"/>
              </w:rPr>
              <w:t>水体</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3类声环境功能区</w:t>
            </w:r>
            <w:r>
              <w:rPr>
                <w:rFonts w:hint="eastAsia" w:ascii="宋体" w:hAnsi="宋体" w:eastAsia="宋体" w:cs="宋体"/>
                <w:color w:val="auto"/>
                <w:sz w:val="21"/>
                <w:szCs w:val="21"/>
                <w:highlight w:val="none"/>
                <w:lang w:val="en-US" w:eastAsia="zh-CN"/>
              </w:rPr>
              <w:t>/第三类海水水质的区域</w:t>
            </w:r>
          </w:p>
        </w:tc>
        <w:tc>
          <w:tcPr>
            <w:tcW w:w="1226" w:type="dxa"/>
            <w:noWrap w:val="0"/>
            <w:vAlign w:val="center"/>
          </w:tcPr>
          <w:p w14:paraId="40766B9D">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r>
      <w:tr w14:paraId="768BE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1639" w:type="dxa"/>
            <w:vMerge w:val="continue"/>
            <w:shd w:val="clear" w:color="auto" w:fill="auto"/>
            <w:noWrap w:val="0"/>
            <w:vAlign w:val="center"/>
          </w:tcPr>
          <w:p w14:paraId="3CBC54A3">
            <w:pPr>
              <w:jc w:val="center"/>
              <w:rPr>
                <w:rFonts w:hint="eastAsia" w:ascii="宋体" w:hAnsi="宋体" w:eastAsia="宋体" w:cs="宋体"/>
                <w:color w:val="auto"/>
                <w:kern w:val="2"/>
                <w:sz w:val="21"/>
                <w:szCs w:val="21"/>
                <w:highlight w:val="none"/>
                <w:lang w:val="en-US" w:eastAsia="zh-CN" w:bidi="ar-SA"/>
              </w:rPr>
            </w:pPr>
          </w:p>
        </w:tc>
        <w:tc>
          <w:tcPr>
            <w:tcW w:w="5245" w:type="dxa"/>
            <w:shd w:val="clear" w:color="auto" w:fill="auto"/>
            <w:noWrap w:val="0"/>
            <w:vAlign w:val="top"/>
          </w:tcPr>
          <w:p w14:paraId="5648D144">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b/>
                <w:bCs/>
                <w:kern w:val="2"/>
                <w:sz w:val="21"/>
                <w:szCs w:val="21"/>
                <w:highlight w:val="none"/>
                <w:lang w:val="en-US" w:eastAsia="zh-CN" w:bidi="ar-SA"/>
              </w:rPr>
            </w:pPr>
            <w:r>
              <w:rPr>
                <w:rFonts w:hint="eastAsia" w:ascii="宋体" w:hAnsi="宋体" w:cs="宋体"/>
                <w:color w:val="auto"/>
                <w:sz w:val="21"/>
                <w:szCs w:val="21"/>
                <w:highlight w:val="none"/>
                <w:lang w:eastAsia="zh-CN"/>
              </w:rPr>
              <w:t>二类环境空气功能区</w:t>
            </w:r>
            <w:r>
              <w:rPr>
                <w:rFonts w:hint="eastAsia" w:ascii="宋体" w:hAnsi="宋体" w:eastAsia="宋体" w:cs="宋体"/>
                <w:color w:val="auto"/>
                <w:sz w:val="21"/>
                <w:szCs w:val="21"/>
                <w:highlight w:val="none"/>
                <w:lang w:eastAsia="zh-CN"/>
              </w:rPr>
              <w:t>（居民区、商业交通居民混合区、文化区）/</w:t>
            </w:r>
            <w:r>
              <w:rPr>
                <w:rFonts w:hint="eastAsia" w:ascii="宋体" w:hAnsi="宋体" w:cs="宋体"/>
                <w:color w:val="auto"/>
                <w:sz w:val="21"/>
                <w:szCs w:val="21"/>
                <w:highlight w:val="none"/>
                <w:lang w:eastAsia="zh-CN"/>
              </w:rPr>
              <w:t>Ⅲ类</w:t>
            </w:r>
            <w:r>
              <w:rPr>
                <w:rFonts w:hint="eastAsia" w:ascii="宋体" w:hAnsi="宋体" w:eastAsia="宋体" w:cs="宋体"/>
                <w:color w:val="auto"/>
                <w:sz w:val="21"/>
                <w:szCs w:val="21"/>
                <w:highlight w:val="none"/>
                <w:lang w:eastAsia="zh-CN"/>
              </w:rPr>
              <w:t>水体/2类声环境功能区/饮用水水源准保护区/自然保护地外的生态保护红线区域</w:t>
            </w:r>
          </w:p>
        </w:tc>
        <w:tc>
          <w:tcPr>
            <w:tcW w:w="1226" w:type="dxa"/>
            <w:noWrap w:val="0"/>
            <w:vAlign w:val="center"/>
          </w:tcPr>
          <w:p w14:paraId="337A4238">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3</w:t>
            </w:r>
          </w:p>
        </w:tc>
      </w:tr>
      <w:tr w14:paraId="1FF90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1639" w:type="dxa"/>
            <w:vMerge w:val="continue"/>
            <w:noWrap w:val="0"/>
            <w:vAlign w:val="center"/>
          </w:tcPr>
          <w:p w14:paraId="6A3194EC">
            <w:pPr>
              <w:jc w:val="center"/>
              <w:rPr>
                <w:rFonts w:hint="eastAsia" w:ascii="宋体" w:hAnsi="宋体" w:eastAsia="宋体" w:cs="宋体"/>
                <w:color w:val="auto"/>
                <w:sz w:val="21"/>
                <w:szCs w:val="21"/>
                <w:highlight w:val="none"/>
              </w:rPr>
            </w:pPr>
          </w:p>
        </w:tc>
        <w:tc>
          <w:tcPr>
            <w:tcW w:w="5245" w:type="dxa"/>
            <w:shd w:val="clear" w:color="auto" w:fill="auto"/>
            <w:noWrap w:val="0"/>
            <w:vAlign w:val="top"/>
          </w:tcPr>
          <w:p w14:paraId="7F6B6A0A">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b/>
                <w:bCs/>
                <w:kern w:val="2"/>
                <w:sz w:val="21"/>
                <w:szCs w:val="21"/>
                <w:highlight w:val="none"/>
                <w:lang w:val="en-US" w:eastAsia="zh-CN" w:bidi="ar-SA"/>
              </w:rPr>
            </w:pPr>
            <w:r>
              <w:rPr>
                <w:rFonts w:hint="eastAsia" w:ascii="宋体" w:hAnsi="宋体" w:cs="宋体"/>
                <w:color w:val="auto"/>
                <w:sz w:val="21"/>
                <w:szCs w:val="21"/>
                <w:highlight w:val="none"/>
                <w:lang w:eastAsia="zh-CN"/>
              </w:rPr>
              <w:t>Ⅱ类</w:t>
            </w:r>
            <w:r>
              <w:rPr>
                <w:rFonts w:hint="eastAsia" w:ascii="宋体" w:hAnsi="宋体" w:eastAsia="宋体" w:cs="宋体"/>
                <w:color w:val="auto"/>
                <w:sz w:val="21"/>
                <w:szCs w:val="21"/>
                <w:highlight w:val="none"/>
              </w:rPr>
              <w:t>水体</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1类声环境功能区／自然保护地一般控制区</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饮用水水源二级保护区</w:t>
            </w:r>
            <w:r>
              <w:rPr>
                <w:rFonts w:hint="eastAsia" w:ascii="宋体" w:hAnsi="宋体" w:eastAsia="宋体" w:cs="宋体"/>
                <w:color w:val="auto"/>
                <w:sz w:val="21"/>
                <w:szCs w:val="21"/>
                <w:highlight w:val="none"/>
                <w:lang w:val="en-US" w:eastAsia="zh-CN"/>
              </w:rPr>
              <w:t>/第二类海水水质的区域</w:t>
            </w:r>
          </w:p>
        </w:tc>
        <w:tc>
          <w:tcPr>
            <w:tcW w:w="1226" w:type="dxa"/>
            <w:noWrap w:val="0"/>
            <w:vAlign w:val="center"/>
          </w:tcPr>
          <w:p w14:paraId="296F7418">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r>
      <w:tr w14:paraId="52943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1639" w:type="dxa"/>
            <w:vMerge w:val="continue"/>
            <w:noWrap w:val="0"/>
            <w:vAlign w:val="center"/>
          </w:tcPr>
          <w:p w14:paraId="32CE3570">
            <w:pPr>
              <w:jc w:val="center"/>
              <w:rPr>
                <w:rFonts w:hint="eastAsia" w:ascii="宋体" w:hAnsi="宋体" w:eastAsia="宋体" w:cs="宋体"/>
                <w:color w:val="auto"/>
                <w:sz w:val="21"/>
                <w:szCs w:val="21"/>
                <w:highlight w:val="none"/>
              </w:rPr>
            </w:pPr>
          </w:p>
        </w:tc>
        <w:tc>
          <w:tcPr>
            <w:tcW w:w="5245" w:type="dxa"/>
            <w:shd w:val="clear" w:color="auto" w:fill="auto"/>
            <w:noWrap w:val="0"/>
            <w:vAlign w:val="top"/>
          </w:tcPr>
          <w:p w14:paraId="15D4B524">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b/>
                <w:bCs/>
                <w:kern w:val="2"/>
                <w:sz w:val="21"/>
                <w:szCs w:val="21"/>
                <w:highlight w:val="none"/>
                <w:lang w:val="en-US" w:eastAsia="zh-CN" w:bidi="ar-SA"/>
              </w:rPr>
            </w:pPr>
            <w:r>
              <w:rPr>
                <w:rFonts w:hint="eastAsia" w:ascii="宋体" w:hAnsi="宋体" w:cs="宋体"/>
                <w:color w:val="auto"/>
                <w:sz w:val="21"/>
                <w:szCs w:val="21"/>
                <w:highlight w:val="none"/>
                <w:lang w:eastAsia="zh-CN"/>
              </w:rPr>
              <w:t>一类环境空气功能区</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I类水体</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0类声环境功能区／自然保护地核心保护区</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饮用水水源一级保护区</w:t>
            </w:r>
            <w:r>
              <w:rPr>
                <w:rFonts w:hint="eastAsia" w:ascii="宋体" w:hAnsi="宋体" w:eastAsia="宋体" w:cs="宋体"/>
                <w:color w:val="auto"/>
                <w:sz w:val="21"/>
                <w:szCs w:val="21"/>
                <w:highlight w:val="none"/>
                <w:lang w:val="en-US" w:eastAsia="zh-CN"/>
              </w:rPr>
              <w:t>/第一类海水水质的区域</w:t>
            </w:r>
          </w:p>
        </w:tc>
        <w:tc>
          <w:tcPr>
            <w:tcW w:w="1226" w:type="dxa"/>
            <w:noWrap w:val="0"/>
            <w:vAlign w:val="center"/>
          </w:tcPr>
          <w:p w14:paraId="760F8502">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5</w:t>
            </w:r>
          </w:p>
        </w:tc>
      </w:tr>
      <w:tr w14:paraId="4E2B1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1639" w:type="dxa"/>
            <w:noWrap w:val="0"/>
            <w:vAlign w:val="center"/>
          </w:tcPr>
          <w:p w14:paraId="4742E8E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备注</w:t>
            </w:r>
          </w:p>
        </w:tc>
        <w:tc>
          <w:tcPr>
            <w:tcW w:w="6471" w:type="dxa"/>
            <w:gridSpan w:val="2"/>
            <w:noWrap w:val="0"/>
            <w:vAlign w:val="top"/>
          </w:tcPr>
          <w:p w14:paraId="1EFD927B">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涉及多种污染物类别时，</w:t>
            </w:r>
            <w:r>
              <w:rPr>
                <w:rFonts w:hint="eastAsia" w:ascii="宋体" w:hAnsi="宋体" w:cs="宋体"/>
                <w:color w:val="auto"/>
                <w:sz w:val="21"/>
                <w:szCs w:val="21"/>
                <w:highlight w:val="none"/>
                <w:lang w:eastAsia="zh-CN"/>
              </w:rPr>
              <w:t>裁量</w:t>
            </w:r>
            <w:r>
              <w:rPr>
                <w:rFonts w:hint="eastAsia" w:ascii="宋体" w:hAnsi="宋体" w:eastAsia="宋体" w:cs="宋体"/>
                <w:color w:val="auto"/>
                <w:sz w:val="21"/>
                <w:szCs w:val="21"/>
                <w:highlight w:val="none"/>
              </w:rPr>
              <w:t>标准以裁量等级最高为准</w:t>
            </w:r>
          </w:p>
        </w:tc>
      </w:tr>
    </w:tbl>
    <w:p w14:paraId="35264EB4">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475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21"/>
        <w:gridCol w:w="5507"/>
        <w:gridCol w:w="1287"/>
      </w:tblGrid>
      <w:tr w14:paraId="2F925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8110" w:type="dxa"/>
            <w:gridSpan w:val="3"/>
            <w:noWrap w:val="0"/>
            <w:vAlign w:val="center"/>
          </w:tcPr>
          <w:p w14:paraId="411A9145">
            <w:pPr>
              <w:jc w:val="center"/>
              <w:rPr>
                <w:rFonts w:hint="eastAsia" w:ascii="宋体" w:hAnsi="宋体" w:eastAsia="宋体" w:cs="宋体"/>
                <w:bCs/>
                <w:color w:val="auto"/>
                <w:sz w:val="21"/>
                <w:szCs w:val="21"/>
                <w:highlight w:val="none"/>
                <w:lang w:eastAsia="zh-CN"/>
              </w:rPr>
            </w:pPr>
            <w:r>
              <w:rPr>
                <w:rFonts w:hint="eastAsia" w:ascii="宋体" w:hAnsi="宋体" w:cs="宋体"/>
                <w:bCs/>
                <w:color w:val="auto"/>
                <w:sz w:val="21"/>
                <w:szCs w:val="21"/>
                <w:highlight w:val="none"/>
                <w:lang w:eastAsia="zh-CN"/>
              </w:rPr>
              <w:t>（一）生态环境监测管理类</w:t>
            </w:r>
          </w:p>
        </w:tc>
      </w:tr>
      <w:tr w14:paraId="615F1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39" w:type="dxa"/>
            <w:noWrap w:val="0"/>
            <w:vAlign w:val="center"/>
          </w:tcPr>
          <w:p w14:paraId="2A1E9FA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471" w:type="dxa"/>
            <w:gridSpan w:val="2"/>
            <w:noWrap w:val="0"/>
            <w:vAlign w:val="center"/>
          </w:tcPr>
          <w:p w14:paraId="78493A41">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5-2</w:t>
            </w:r>
          </w:p>
        </w:tc>
      </w:tr>
      <w:tr w14:paraId="06D42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1639" w:type="dxa"/>
            <w:noWrap w:val="0"/>
            <w:vAlign w:val="center"/>
          </w:tcPr>
          <w:p w14:paraId="3E9FCAF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6471" w:type="dxa"/>
            <w:gridSpan w:val="2"/>
            <w:noWrap w:val="0"/>
            <w:vAlign w:val="center"/>
          </w:tcPr>
          <w:p w14:paraId="6DBD80CD">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企业事业单位和其他生产经营者指使其委托的生态环境监测机构对监测数据弄虚作假的</w:t>
            </w:r>
          </w:p>
        </w:tc>
      </w:tr>
      <w:tr w14:paraId="2B35E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9" w:hRule="atLeast"/>
          <w:jc w:val="center"/>
        </w:trPr>
        <w:tc>
          <w:tcPr>
            <w:tcW w:w="1639" w:type="dxa"/>
            <w:noWrap w:val="0"/>
            <w:vAlign w:val="center"/>
          </w:tcPr>
          <w:p w14:paraId="55EB27C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6471" w:type="dxa"/>
            <w:gridSpan w:val="2"/>
            <w:noWrap w:val="0"/>
            <w:vAlign w:val="center"/>
          </w:tcPr>
          <w:p w14:paraId="6153EC3D">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《中华人民共和国生态环境法典》第八十条</w:t>
            </w:r>
            <w:r>
              <w:rPr>
                <w:rFonts w:hint="eastAsia" w:ascii="宋体" w:hAnsi="宋体" w:eastAsia="宋体" w:cs="宋体"/>
                <w:color w:val="auto"/>
                <w:sz w:val="21"/>
                <w:szCs w:val="21"/>
                <w:highlight w:val="none"/>
                <w:lang w:val="en-US" w:eastAsia="zh-CN"/>
              </w:rPr>
              <w:t>第一款</w:t>
            </w:r>
            <w:r>
              <w:rPr>
                <w:rFonts w:hint="eastAsia" w:ascii="宋体" w:hAnsi="宋体" w:eastAsia="宋体" w:cs="宋体"/>
                <w:color w:val="auto"/>
                <w:sz w:val="21"/>
                <w:szCs w:val="21"/>
                <w:highlight w:val="none"/>
              </w:rPr>
              <w:t>　禁止通过干扰采样、调换样品、改变监测条件、虚假监测、篡改或者伪造记录等方式对生态环境监测数据弄虚作假或者指使对生态环境监测数据弄虚作假。</w:t>
            </w:r>
          </w:p>
        </w:tc>
      </w:tr>
      <w:tr w14:paraId="492E8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9" w:hRule="atLeast"/>
          <w:jc w:val="center"/>
        </w:trPr>
        <w:tc>
          <w:tcPr>
            <w:tcW w:w="1639" w:type="dxa"/>
            <w:noWrap w:val="0"/>
            <w:vAlign w:val="center"/>
          </w:tcPr>
          <w:p w14:paraId="16A08CD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6471" w:type="dxa"/>
            <w:gridSpan w:val="2"/>
            <w:noWrap w:val="0"/>
            <w:vAlign w:val="center"/>
          </w:tcPr>
          <w:p w14:paraId="193F9703">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《中华人民共和国生态环境法典》第一千零八十八条  违反本法规定，企业事业单位和其他生产经营者对生态环境监测数据弄虚作假，或者指使其委托的生态环境监测机构对监测数据弄虚作假的，由负有生态环境保护监督管理职责的部门、机构按照职责分工责令改正，处十万元以上一百万元以下的罚款，并对其直接负责的主管人员和其他直接责任人员处五万元以上二十万元以下的罚款。</w:t>
            </w:r>
          </w:p>
        </w:tc>
      </w:tr>
      <w:tr w14:paraId="712EF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1639" w:type="dxa"/>
            <w:noWrap w:val="0"/>
            <w:vAlign w:val="center"/>
          </w:tcPr>
          <w:p w14:paraId="16AB2BE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245" w:type="dxa"/>
            <w:noWrap w:val="0"/>
            <w:vAlign w:val="center"/>
          </w:tcPr>
          <w:p w14:paraId="48669AA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226" w:type="dxa"/>
            <w:noWrap w:val="0"/>
            <w:vAlign w:val="center"/>
          </w:tcPr>
          <w:p w14:paraId="18C347B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016A7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1639" w:type="dxa"/>
            <w:vMerge w:val="restart"/>
            <w:noWrap w:val="0"/>
            <w:vAlign w:val="center"/>
          </w:tcPr>
          <w:p w14:paraId="177450AF">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涉案监测</w:t>
            </w:r>
          </w:p>
          <w:p w14:paraId="6976C11F">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报告数量</w:t>
            </w:r>
          </w:p>
        </w:tc>
        <w:tc>
          <w:tcPr>
            <w:tcW w:w="5245" w:type="dxa"/>
            <w:noWrap w:val="0"/>
            <w:vAlign w:val="center"/>
          </w:tcPr>
          <w:p w14:paraId="5275A836">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1份</w:t>
            </w:r>
          </w:p>
        </w:tc>
        <w:tc>
          <w:tcPr>
            <w:tcW w:w="1226" w:type="dxa"/>
            <w:noWrap w:val="0"/>
            <w:vAlign w:val="center"/>
          </w:tcPr>
          <w:p w14:paraId="38D06485">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r>
      <w:tr w14:paraId="28A23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1639" w:type="dxa"/>
            <w:vMerge w:val="continue"/>
            <w:noWrap w:val="0"/>
            <w:vAlign w:val="center"/>
          </w:tcPr>
          <w:p w14:paraId="3918E9E9">
            <w:pPr>
              <w:jc w:val="center"/>
              <w:rPr>
                <w:rFonts w:hint="eastAsia" w:ascii="宋体" w:hAnsi="宋体" w:eastAsia="宋体" w:cs="宋体"/>
                <w:color w:val="auto"/>
                <w:sz w:val="21"/>
                <w:szCs w:val="21"/>
                <w:highlight w:val="none"/>
                <w:lang w:val="en-US" w:eastAsia="zh-CN"/>
              </w:rPr>
            </w:pPr>
          </w:p>
        </w:tc>
        <w:tc>
          <w:tcPr>
            <w:tcW w:w="5245" w:type="dxa"/>
            <w:noWrap w:val="0"/>
            <w:vAlign w:val="center"/>
          </w:tcPr>
          <w:p w14:paraId="35674C2A">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2份以上不足5份</w:t>
            </w:r>
          </w:p>
        </w:tc>
        <w:tc>
          <w:tcPr>
            <w:tcW w:w="1226" w:type="dxa"/>
            <w:noWrap w:val="0"/>
            <w:vAlign w:val="center"/>
          </w:tcPr>
          <w:p w14:paraId="6F0AA0C4">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r>
      <w:tr w14:paraId="33729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1639" w:type="dxa"/>
            <w:vMerge w:val="continue"/>
            <w:noWrap w:val="0"/>
            <w:vAlign w:val="center"/>
          </w:tcPr>
          <w:p w14:paraId="04F21EF1">
            <w:pPr>
              <w:jc w:val="center"/>
              <w:rPr>
                <w:rFonts w:hint="eastAsia" w:ascii="宋体" w:hAnsi="宋体" w:eastAsia="宋体" w:cs="宋体"/>
                <w:color w:val="auto"/>
                <w:sz w:val="21"/>
                <w:szCs w:val="21"/>
                <w:highlight w:val="none"/>
                <w:lang w:val="en-US" w:eastAsia="zh-CN"/>
              </w:rPr>
            </w:pPr>
          </w:p>
        </w:tc>
        <w:tc>
          <w:tcPr>
            <w:tcW w:w="5245" w:type="dxa"/>
            <w:noWrap w:val="0"/>
            <w:vAlign w:val="center"/>
          </w:tcPr>
          <w:p w14:paraId="75022F7A">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5份以上不足</w:t>
            </w: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份</w:t>
            </w:r>
          </w:p>
        </w:tc>
        <w:tc>
          <w:tcPr>
            <w:tcW w:w="1226" w:type="dxa"/>
            <w:noWrap w:val="0"/>
            <w:vAlign w:val="center"/>
          </w:tcPr>
          <w:p w14:paraId="5515408D">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r>
      <w:tr w14:paraId="5EB9C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1639" w:type="dxa"/>
            <w:vMerge w:val="continue"/>
            <w:noWrap w:val="0"/>
            <w:vAlign w:val="center"/>
          </w:tcPr>
          <w:p w14:paraId="57F75189">
            <w:pPr>
              <w:jc w:val="center"/>
              <w:rPr>
                <w:rFonts w:hint="eastAsia" w:ascii="宋体" w:hAnsi="宋体" w:eastAsia="宋体" w:cs="宋体"/>
                <w:color w:val="auto"/>
                <w:sz w:val="21"/>
                <w:szCs w:val="21"/>
                <w:highlight w:val="none"/>
                <w:lang w:val="en-US" w:eastAsia="zh-CN"/>
              </w:rPr>
            </w:pPr>
          </w:p>
        </w:tc>
        <w:tc>
          <w:tcPr>
            <w:tcW w:w="5245" w:type="dxa"/>
            <w:noWrap w:val="0"/>
            <w:vAlign w:val="center"/>
          </w:tcPr>
          <w:p w14:paraId="44AA3876">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份以上</w:t>
            </w:r>
          </w:p>
        </w:tc>
        <w:tc>
          <w:tcPr>
            <w:tcW w:w="1226" w:type="dxa"/>
            <w:noWrap w:val="0"/>
            <w:vAlign w:val="center"/>
          </w:tcPr>
          <w:p w14:paraId="192B750A">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r>
      <w:tr w14:paraId="6378E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1639" w:type="dxa"/>
            <w:vMerge w:val="restart"/>
            <w:noWrap w:val="0"/>
            <w:vAlign w:val="center"/>
          </w:tcPr>
          <w:p w14:paraId="139D89C9">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排污许可</w:t>
            </w:r>
          </w:p>
          <w:p w14:paraId="05E1E84D">
            <w:pPr>
              <w:jc w:val="center"/>
              <w:rPr>
                <w:rFonts w:hint="eastAsia"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管理类别</w:t>
            </w:r>
          </w:p>
        </w:tc>
        <w:tc>
          <w:tcPr>
            <w:tcW w:w="5245" w:type="dxa"/>
            <w:noWrap w:val="0"/>
            <w:vAlign w:val="center"/>
          </w:tcPr>
          <w:p w14:paraId="2C35B622">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未纳入排污许可管理单位</w:t>
            </w:r>
          </w:p>
        </w:tc>
        <w:tc>
          <w:tcPr>
            <w:tcW w:w="1226" w:type="dxa"/>
            <w:noWrap w:val="0"/>
            <w:vAlign w:val="center"/>
          </w:tcPr>
          <w:p w14:paraId="18507828">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r>
      <w:tr w14:paraId="08234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1639" w:type="dxa"/>
            <w:vMerge w:val="continue"/>
            <w:noWrap w:val="0"/>
            <w:vAlign w:val="center"/>
          </w:tcPr>
          <w:p w14:paraId="23C1D8A1">
            <w:pPr>
              <w:jc w:val="center"/>
              <w:rPr>
                <w:rFonts w:hint="eastAsia" w:ascii="宋体" w:hAnsi="宋体" w:eastAsia="宋体" w:cs="宋体"/>
                <w:color w:val="auto"/>
                <w:sz w:val="21"/>
                <w:szCs w:val="21"/>
                <w:highlight w:val="none"/>
              </w:rPr>
            </w:pPr>
          </w:p>
        </w:tc>
        <w:tc>
          <w:tcPr>
            <w:tcW w:w="5245" w:type="dxa"/>
            <w:noWrap w:val="0"/>
            <w:vAlign w:val="center"/>
          </w:tcPr>
          <w:p w14:paraId="1E4E8760">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简化管理</w:t>
            </w:r>
          </w:p>
        </w:tc>
        <w:tc>
          <w:tcPr>
            <w:tcW w:w="1226" w:type="dxa"/>
            <w:noWrap w:val="0"/>
            <w:vAlign w:val="center"/>
          </w:tcPr>
          <w:p w14:paraId="10A54F7A">
            <w:pPr>
              <w:jc w:val="center"/>
              <w:rPr>
                <w:rFonts w:hint="eastAsia"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lang w:val="en-US" w:eastAsia="zh-CN"/>
              </w:rPr>
              <w:t>3</w:t>
            </w:r>
          </w:p>
        </w:tc>
      </w:tr>
      <w:tr w14:paraId="4C945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1639" w:type="dxa"/>
            <w:vMerge w:val="continue"/>
            <w:noWrap w:val="0"/>
            <w:vAlign w:val="center"/>
          </w:tcPr>
          <w:p w14:paraId="3DC27C3F">
            <w:pPr>
              <w:jc w:val="center"/>
              <w:rPr>
                <w:rFonts w:hint="eastAsia" w:ascii="宋体" w:hAnsi="宋体" w:eastAsia="宋体" w:cs="宋体"/>
                <w:color w:val="auto"/>
                <w:sz w:val="21"/>
                <w:szCs w:val="21"/>
                <w:highlight w:val="none"/>
              </w:rPr>
            </w:pPr>
          </w:p>
        </w:tc>
        <w:tc>
          <w:tcPr>
            <w:tcW w:w="5245" w:type="dxa"/>
            <w:noWrap w:val="0"/>
            <w:vAlign w:val="center"/>
          </w:tcPr>
          <w:p w14:paraId="394299B0">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重点管理</w:t>
            </w:r>
          </w:p>
        </w:tc>
        <w:tc>
          <w:tcPr>
            <w:tcW w:w="1226" w:type="dxa"/>
            <w:noWrap w:val="0"/>
            <w:vAlign w:val="center"/>
          </w:tcPr>
          <w:p w14:paraId="74C70721">
            <w:pPr>
              <w:jc w:val="center"/>
              <w:rPr>
                <w:rFonts w:hint="eastAsia"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lang w:val="en-US" w:eastAsia="zh-CN"/>
              </w:rPr>
              <w:t>4</w:t>
            </w:r>
          </w:p>
        </w:tc>
      </w:tr>
      <w:tr w14:paraId="0A0E8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1639" w:type="dxa"/>
            <w:vMerge w:val="continue"/>
            <w:noWrap w:val="0"/>
            <w:vAlign w:val="center"/>
          </w:tcPr>
          <w:p w14:paraId="599D0C9D">
            <w:pPr>
              <w:jc w:val="center"/>
              <w:rPr>
                <w:rFonts w:hint="eastAsia" w:ascii="宋体" w:hAnsi="宋体" w:eastAsia="宋体" w:cs="宋体"/>
                <w:color w:val="auto"/>
                <w:sz w:val="21"/>
                <w:szCs w:val="21"/>
                <w:highlight w:val="none"/>
              </w:rPr>
            </w:pPr>
          </w:p>
        </w:tc>
        <w:tc>
          <w:tcPr>
            <w:tcW w:w="5245" w:type="dxa"/>
            <w:noWrap w:val="0"/>
            <w:vAlign w:val="center"/>
          </w:tcPr>
          <w:p w14:paraId="1566EDC3">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重点管理（钢铁、石化、化工、电镀、皮革、造纸、冶炼、印染、染料、水泥、煤电、陶瓷、采矿、放射性、危废经营、垃圾焚烧发电、平板玻璃，“两高”项目）</w:t>
            </w:r>
          </w:p>
        </w:tc>
        <w:tc>
          <w:tcPr>
            <w:tcW w:w="1226" w:type="dxa"/>
            <w:noWrap w:val="0"/>
            <w:vAlign w:val="center"/>
          </w:tcPr>
          <w:p w14:paraId="592D5897">
            <w:pPr>
              <w:jc w:val="center"/>
              <w:rPr>
                <w:rFonts w:hint="eastAsia"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lang w:val="en-US" w:eastAsia="zh-CN"/>
              </w:rPr>
              <w:t>5</w:t>
            </w:r>
          </w:p>
        </w:tc>
      </w:tr>
      <w:tr w14:paraId="2FF84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1639" w:type="dxa"/>
            <w:vMerge w:val="restart"/>
            <w:shd w:val="clear" w:color="auto" w:fill="auto"/>
            <w:noWrap w:val="0"/>
            <w:vAlign w:val="center"/>
          </w:tcPr>
          <w:p w14:paraId="17FD6E1B">
            <w:pPr>
              <w:jc w:val="center"/>
              <w:rPr>
                <w:rFonts w:hint="eastAsia" w:ascii="宋体" w:hAnsi="宋体" w:eastAsia="宋体" w:cs="宋体"/>
                <w:b/>
                <w:bCs/>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污染物</w:t>
            </w:r>
            <w:r>
              <w:rPr>
                <w:rFonts w:hint="eastAsia" w:ascii="宋体" w:hAnsi="宋体" w:eastAsia="宋体" w:cs="宋体"/>
                <w:color w:val="auto"/>
                <w:sz w:val="21"/>
                <w:szCs w:val="21"/>
                <w:highlight w:val="none"/>
              </w:rPr>
              <w:t>类别</w:t>
            </w:r>
          </w:p>
        </w:tc>
        <w:tc>
          <w:tcPr>
            <w:tcW w:w="5245" w:type="dxa"/>
            <w:shd w:val="clear" w:color="auto" w:fill="auto"/>
            <w:noWrap w:val="0"/>
            <w:vAlign w:val="top"/>
          </w:tcPr>
          <w:p w14:paraId="6AB87857">
            <w:pPr>
              <w:adjustRightInd w:val="0"/>
              <w:ind w:firstLine="420" w:firstLineChars="200"/>
              <w:jc w:val="both"/>
              <w:rPr>
                <w:rFonts w:hint="eastAsia" w:ascii="宋体" w:hAnsi="宋体" w:eastAsia="宋体" w:cs="宋体"/>
                <w:b/>
                <w:bCs/>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一般废气、废水、固体废物、噪声、畜禽养殖废水</w:t>
            </w:r>
          </w:p>
        </w:tc>
        <w:tc>
          <w:tcPr>
            <w:tcW w:w="1226" w:type="dxa"/>
            <w:noWrap w:val="0"/>
            <w:vAlign w:val="center"/>
          </w:tcPr>
          <w:p w14:paraId="0C849DB7">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1</w:t>
            </w:r>
          </w:p>
        </w:tc>
      </w:tr>
      <w:tr w14:paraId="4D26D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1639" w:type="dxa"/>
            <w:vMerge w:val="continue"/>
            <w:noWrap w:val="0"/>
            <w:vAlign w:val="center"/>
          </w:tcPr>
          <w:p w14:paraId="0C099B67">
            <w:pPr>
              <w:jc w:val="center"/>
              <w:rPr>
                <w:rFonts w:hint="eastAsia" w:ascii="宋体" w:hAnsi="宋体" w:eastAsia="宋体" w:cs="宋体"/>
                <w:color w:val="auto"/>
                <w:sz w:val="21"/>
                <w:szCs w:val="21"/>
                <w:highlight w:val="none"/>
              </w:rPr>
            </w:pPr>
          </w:p>
        </w:tc>
        <w:tc>
          <w:tcPr>
            <w:tcW w:w="5245" w:type="dxa"/>
            <w:shd w:val="clear" w:color="auto" w:fill="auto"/>
            <w:noWrap w:val="0"/>
            <w:vAlign w:val="top"/>
          </w:tcPr>
          <w:p w14:paraId="275272B6">
            <w:pPr>
              <w:adjustRightInd w:val="0"/>
              <w:ind w:firstLine="420" w:firstLineChars="200"/>
              <w:jc w:val="both"/>
              <w:rPr>
                <w:rFonts w:hint="eastAsia" w:ascii="宋体" w:hAnsi="宋体" w:eastAsia="宋体" w:cs="宋体"/>
                <w:b/>
                <w:bCs/>
                <w:kern w:val="2"/>
                <w:sz w:val="21"/>
                <w:szCs w:val="21"/>
                <w:highlight w:val="none"/>
                <w:lang w:val="en-US" w:eastAsia="zh-CN" w:bidi="ar-SA"/>
              </w:rPr>
            </w:pPr>
            <w:r>
              <w:rPr>
                <w:rFonts w:hint="eastAsia" w:ascii="宋体" w:hAnsi="宋体" w:eastAsia="宋体" w:cs="宋体"/>
                <w:color w:val="auto"/>
                <w:sz w:val="21"/>
                <w:szCs w:val="21"/>
                <w:highlight w:val="none"/>
              </w:rPr>
              <w:t>火电、钢铁、石化、水泥、炼焦、有色、化工废气/医疗废水</w:t>
            </w:r>
          </w:p>
        </w:tc>
        <w:tc>
          <w:tcPr>
            <w:tcW w:w="1226" w:type="dxa"/>
            <w:noWrap w:val="0"/>
            <w:vAlign w:val="center"/>
          </w:tcPr>
          <w:p w14:paraId="50310928">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r>
      <w:tr w14:paraId="292CE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1639" w:type="dxa"/>
            <w:vMerge w:val="continue"/>
            <w:noWrap w:val="0"/>
            <w:vAlign w:val="center"/>
          </w:tcPr>
          <w:p w14:paraId="09EEF03B">
            <w:pPr>
              <w:jc w:val="center"/>
              <w:rPr>
                <w:rFonts w:hint="eastAsia" w:ascii="宋体" w:hAnsi="宋体" w:eastAsia="宋体" w:cs="宋体"/>
                <w:color w:val="auto"/>
                <w:sz w:val="21"/>
                <w:szCs w:val="21"/>
                <w:highlight w:val="none"/>
              </w:rPr>
            </w:pPr>
          </w:p>
        </w:tc>
        <w:tc>
          <w:tcPr>
            <w:tcW w:w="5245" w:type="dxa"/>
            <w:shd w:val="clear" w:color="auto" w:fill="auto"/>
            <w:noWrap w:val="0"/>
            <w:vAlign w:val="top"/>
          </w:tcPr>
          <w:p w14:paraId="10BEF07F">
            <w:pPr>
              <w:adjustRightInd w:val="0"/>
              <w:ind w:firstLine="420" w:firstLineChars="200"/>
              <w:jc w:val="both"/>
              <w:rPr>
                <w:rFonts w:hint="eastAsia" w:ascii="宋体" w:hAnsi="宋体" w:eastAsia="宋体" w:cs="宋体"/>
                <w:b/>
                <w:bCs/>
                <w:kern w:val="2"/>
                <w:sz w:val="21"/>
                <w:szCs w:val="21"/>
                <w:highlight w:val="none"/>
                <w:lang w:val="en-US" w:eastAsia="zh-CN" w:bidi="ar-SA"/>
              </w:rPr>
            </w:pPr>
            <w:r>
              <w:rPr>
                <w:rFonts w:hint="eastAsia" w:ascii="宋体" w:hAnsi="宋体" w:eastAsia="宋体" w:cs="宋体"/>
                <w:color w:val="auto"/>
                <w:sz w:val="21"/>
                <w:szCs w:val="21"/>
                <w:highlight w:val="none"/>
              </w:rPr>
              <w:t>含有毒有害物质的废气、废水／含一类污染物或重金属、病原体、放射性物质的废水／危险废物</w:t>
            </w:r>
          </w:p>
        </w:tc>
        <w:tc>
          <w:tcPr>
            <w:tcW w:w="1226" w:type="dxa"/>
            <w:noWrap w:val="0"/>
            <w:vAlign w:val="center"/>
          </w:tcPr>
          <w:p w14:paraId="212558D2">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r>
      <w:tr w14:paraId="46838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1639" w:type="dxa"/>
            <w:vMerge w:val="restart"/>
            <w:shd w:val="clear" w:color="auto" w:fill="auto"/>
            <w:noWrap w:val="0"/>
            <w:vAlign w:val="center"/>
          </w:tcPr>
          <w:p w14:paraId="30E4165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排放去向或</w:t>
            </w:r>
          </w:p>
          <w:p w14:paraId="61D214D3">
            <w:pPr>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区域</w:t>
            </w:r>
          </w:p>
        </w:tc>
        <w:tc>
          <w:tcPr>
            <w:tcW w:w="5245" w:type="dxa"/>
            <w:shd w:val="clear" w:color="auto" w:fill="auto"/>
            <w:noWrap w:val="0"/>
            <w:vAlign w:val="top"/>
          </w:tcPr>
          <w:p w14:paraId="565B4551">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b/>
                <w:bCs/>
                <w:kern w:val="2"/>
                <w:sz w:val="21"/>
                <w:szCs w:val="21"/>
                <w:highlight w:val="none"/>
                <w:lang w:val="en-US" w:eastAsia="zh-CN" w:bidi="ar-SA"/>
              </w:rPr>
            </w:pPr>
            <w:r>
              <w:rPr>
                <w:rFonts w:hint="eastAsia" w:ascii="宋体" w:hAnsi="宋体" w:cs="宋体"/>
                <w:color w:val="auto"/>
                <w:sz w:val="21"/>
                <w:szCs w:val="21"/>
                <w:highlight w:val="none"/>
                <w:lang w:eastAsia="zh-CN"/>
              </w:rPr>
              <w:t>二类环境空气功能区</w:t>
            </w:r>
            <w:r>
              <w:rPr>
                <w:rFonts w:hint="eastAsia" w:ascii="宋体" w:hAnsi="宋体" w:eastAsia="宋体" w:cs="宋体"/>
                <w:color w:val="auto"/>
                <w:sz w:val="21"/>
                <w:szCs w:val="21"/>
                <w:highlight w:val="none"/>
              </w:rPr>
              <w:t>（工业区和农村地区）</w:t>
            </w:r>
            <w:r>
              <w:rPr>
                <w:rFonts w:hint="eastAsia" w:ascii="宋体" w:hAnsi="宋体" w:cs="宋体"/>
                <w:color w:val="auto"/>
                <w:sz w:val="21"/>
                <w:szCs w:val="21"/>
                <w:highlight w:val="none"/>
                <w:lang w:val="en-US" w:eastAsia="zh-CN"/>
              </w:rPr>
              <w:t>/V类水体（或者污水集中处理设施）/</w:t>
            </w:r>
            <w:r>
              <w:rPr>
                <w:rFonts w:hint="eastAsia" w:ascii="宋体" w:hAnsi="宋体" w:eastAsia="宋体" w:cs="宋体"/>
                <w:color w:val="auto"/>
                <w:sz w:val="21"/>
                <w:szCs w:val="21"/>
                <w:highlight w:val="none"/>
              </w:rPr>
              <w:t>4类声环境功能区</w:t>
            </w:r>
            <w:r>
              <w:rPr>
                <w:rFonts w:hint="eastAsia" w:ascii="宋体" w:hAnsi="宋体" w:eastAsia="宋体" w:cs="宋体"/>
                <w:color w:val="auto"/>
                <w:sz w:val="21"/>
                <w:szCs w:val="21"/>
                <w:highlight w:val="none"/>
                <w:lang w:val="en-US" w:eastAsia="zh-CN"/>
              </w:rPr>
              <w:t>/第四类海水水质的区域</w:t>
            </w:r>
          </w:p>
        </w:tc>
        <w:tc>
          <w:tcPr>
            <w:tcW w:w="1226" w:type="dxa"/>
            <w:noWrap w:val="0"/>
            <w:vAlign w:val="center"/>
          </w:tcPr>
          <w:p w14:paraId="5B296F4C">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1</w:t>
            </w:r>
          </w:p>
        </w:tc>
      </w:tr>
      <w:tr w14:paraId="135B7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1639" w:type="dxa"/>
            <w:vMerge w:val="continue"/>
            <w:noWrap w:val="0"/>
            <w:vAlign w:val="center"/>
          </w:tcPr>
          <w:p w14:paraId="65473ACC">
            <w:pPr>
              <w:jc w:val="center"/>
              <w:rPr>
                <w:rFonts w:hint="eastAsia" w:ascii="宋体" w:hAnsi="宋体" w:eastAsia="宋体" w:cs="宋体"/>
                <w:color w:val="auto"/>
                <w:sz w:val="21"/>
                <w:szCs w:val="21"/>
                <w:highlight w:val="none"/>
              </w:rPr>
            </w:pPr>
          </w:p>
        </w:tc>
        <w:tc>
          <w:tcPr>
            <w:tcW w:w="5245" w:type="dxa"/>
            <w:shd w:val="clear" w:color="auto" w:fill="auto"/>
            <w:noWrap w:val="0"/>
            <w:vAlign w:val="top"/>
          </w:tcPr>
          <w:p w14:paraId="101F1B84">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b/>
                <w:bCs/>
                <w:kern w:val="2"/>
                <w:sz w:val="21"/>
                <w:szCs w:val="21"/>
                <w:highlight w:val="none"/>
                <w:lang w:val="en-US" w:eastAsia="zh-CN" w:bidi="ar-SA"/>
              </w:rPr>
            </w:pPr>
            <w:r>
              <w:rPr>
                <w:rFonts w:hint="eastAsia" w:ascii="宋体" w:hAnsi="宋体" w:cs="宋体"/>
                <w:color w:val="auto"/>
                <w:sz w:val="21"/>
                <w:szCs w:val="21"/>
                <w:highlight w:val="none"/>
                <w:lang w:eastAsia="zh-CN"/>
              </w:rPr>
              <w:t>Ⅳ类</w:t>
            </w:r>
            <w:r>
              <w:rPr>
                <w:rFonts w:hint="eastAsia" w:ascii="宋体" w:hAnsi="宋体" w:eastAsia="宋体" w:cs="宋体"/>
                <w:color w:val="auto"/>
                <w:sz w:val="21"/>
                <w:szCs w:val="21"/>
                <w:highlight w:val="none"/>
              </w:rPr>
              <w:t>水体</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3类声环境功能区</w:t>
            </w:r>
            <w:r>
              <w:rPr>
                <w:rFonts w:hint="eastAsia" w:ascii="宋体" w:hAnsi="宋体" w:eastAsia="宋体" w:cs="宋体"/>
                <w:color w:val="auto"/>
                <w:sz w:val="21"/>
                <w:szCs w:val="21"/>
                <w:highlight w:val="none"/>
                <w:lang w:val="en-US" w:eastAsia="zh-CN"/>
              </w:rPr>
              <w:t>/第三类海水水质的区域</w:t>
            </w:r>
          </w:p>
        </w:tc>
        <w:tc>
          <w:tcPr>
            <w:tcW w:w="1226" w:type="dxa"/>
            <w:noWrap w:val="0"/>
            <w:vAlign w:val="center"/>
          </w:tcPr>
          <w:p w14:paraId="3CF7A456">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r>
      <w:tr w14:paraId="1F1CD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1639" w:type="dxa"/>
            <w:vMerge w:val="continue"/>
            <w:shd w:val="clear" w:color="auto" w:fill="auto"/>
            <w:noWrap w:val="0"/>
            <w:vAlign w:val="center"/>
          </w:tcPr>
          <w:p w14:paraId="1D7FDDEB">
            <w:pPr>
              <w:jc w:val="center"/>
              <w:rPr>
                <w:rFonts w:hint="eastAsia" w:ascii="宋体" w:hAnsi="宋体" w:eastAsia="宋体" w:cs="宋体"/>
                <w:color w:val="auto"/>
                <w:kern w:val="2"/>
                <w:sz w:val="21"/>
                <w:szCs w:val="21"/>
                <w:highlight w:val="none"/>
                <w:lang w:val="en-US" w:eastAsia="zh-CN" w:bidi="ar-SA"/>
              </w:rPr>
            </w:pPr>
          </w:p>
        </w:tc>
        <w:tc>
          <w:tcPr>
            <w:tcW w:w="5245" w:type="dxa"/>
            <w:shd w:val="clear" w:color="auto" w:fill="auto"/>
            <w:noWrap w:val="0"/>
            <w:vAlign w:val="top"/>
          </w:tcPr>
          <w:p w14:paraId="0107271D">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b/>
                <w:bCs/>
                <w:kern w:val="2"/>
                <w:sz w:val="21"/>
                <w:szCs w:val="21"/>
                <w:highlight w:val="none"/>
                <w:lang w:val="en-US" w:eastAsia="zh-CN" w:bidi="ar-SA"/>
              </w:rPr>
            </w:pPr>
            <w:r>
              <w:rPr>
                <w:rFonts w:hint="eastAsia" w:ascii="宋体" w:hAnsi="宋体" w:cs="宋体"/>
                <w:color w:val="auto"/>
                <w:sz w:val="21"/>
                <w:szCs w:val="21"/>
                <w:highlight w:val="none"/>
                <w:lang w:eastAsia="zh-CN"/>
              </w:rPr>
              <w:t>二类环境空气功能区</w:t>
            </w:r>
            <w:r>
              <w:rPr>
                <w:rFonts w:hint="eastAsia" w:ascii="宋体" w:hAnsi="宋体" w:eastAsia="宋体" w:cs="宋体"/>
                <w:color w:val="auto"/>
                <w:sz w:val="21"/>
                <w:szCs w:val="21"/>
                <w:highlight w:val="none"/>
                <w:lang w:eastAsia="zh-CN"/>
              </w:rPr>
              <w:t>（居民区、商业交通居民混合区、文化区）/</w:t>
            </w:r>
            <w:r>
              <w:rPr>
                <w:rFonts w:hint="eastAsia" w:ascii="宋体" w:hAnsi="宋体" w:cs="宋体"/>
                <w:color w:val="auto"/>
                <w:sz w:val="21"/>
                <w:szCs w:val="21"/>
                <w:highlight w:val="none"/>
                <w:lang w:eastAsia="zh-CN"/>
              </w:rPr>
              <w:t>Ⅲ类</w:t>
            </w:r>
            <w:r>
              <w:rPr>
                <w:rFonts w:hint="eastAsia" w:ascii="宋体" w:hAnsi="宋体" w:eastAsia="宋体" w:cs="宋体"/>
                <w:color w:val="auto"/>
                <w:sz w:val="21"/>
                <w:szCs w:val="21"/>
                <w:highlight w:val="none"/>
                <w:lang w:eastAsia="zh-CN"/>
              </w:rPr>
              <w:t>水体/2类声环境功能区/饮用水水源准保护区/自然保护地外的生态保护红线区域</w:t>
            </w:r>
          </w:p>
        </w:tc>
        <w:tc>
          <w:tcPr>
            <w:tcW w:w="1226" w:type="dxa"/>
            <w:noWrap w:val="0"/>
            <w:vAlign w:val="center"/>
          </w:tcPr>
          <w:p w14:paraId="23B7F69C">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3</w:t>
            </w:r>
          </w:p>
        </w:tc>
      </w:tr>
      <w:tr w14:paraId="7388B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1639" w:type="dxa"/>
            <w:vMerge w:val="continue"/>
            <w:noWrap w:val="0"/>
            <w:vAlign w:val="center"/>
          </w:tcPr>
          <w:p w14:paraId="19A39D45">
            <w:pPr>
              <w:jc w:val="center"/>
              <w:rPr>
                <w:rFonts w:hint="eastAsia" w:ascii="宋体" w:hAnsi="宋体" w:eastAsia="宋体" w:cs="宋体"/>
                <w:color w:val="auto"/>
                <w:sz w:val="21"/>
                <w:szCs w:val="21"/>
                <w:highlight w:val="none"/>
              </w:rPr>
            </w:pPr>
          </w:p>
        </w:tc>
        <w:tc>
          <w:tcPr>
            <w:tcW w:w="5245" w:type="dxa"/>
            <w:shd w:val="clear" w:color="auto" w:fill="auto"/>
            <w:noWrap w:val="0"/>
            <w:vAlign w:val="top"/>
          </w:tcPr>
          <w:p w14:paraId="4E6444CF">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b/>
                <w:bCs/>
                <w:kern w:val="2"/>
                <w:sz w:val="21"/>
                <w:szCs w:val="21"/>
                <w:highlight w:val="none"/>
                <w:lang w:val="en-US" w:eastAsia="zh-CN" w:bidi="ar-SA"/>
              </w:rPr>
            </w:pPr>
            <w:r>
              <w:rPr>
                <w:rFonts w:hint="eastAsia" w:ascii="宋体" w:hAnsi="宋体" w:cs="宋体"/>
                <w:color w:val="auto"/>
                <w:sz w:val="21"/>
                <w:szCs w:val="21"/>
                <w:highlight w:val="none"/>
                <w:lang w:eastAsia="zh-CN"/>
              </w:rPr>
              <w:t>Ⅱ类</w:t>
            </w:r>
            <w:r>
              <w:rPr>
                <w:rFonts w:hint="eastAsia" w:ascii="宋体" w:hAnsi="宋体" w:eastAsia="宋体" w:cs="宋体"/>
                <w:color w:val="auto"/>
                <w:sz w:val="21"/>
                <w:szCs w:val="21"/>
                <w:highlight w:val="none"/>
              </w:rPr>
              <w:t>水体</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1类声环境功能区／自然保护地一般控制区</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饮用水水源二级保护区</w:t>
            </w:r>
            <w:r>
              <w:rPr>
                <w:rFonts w:hint="eastAsia" w:ascii="宋体" w:hAnsi="宋体" w:eastAsia="宋体" w:cs="宋体"/>
                <w:color w:val="auto"/>
                <w:sz w:val="21"/>
                <w:szCs w:val="21"/>
                <w:highlight w:val="none"/>
                <w:lang w:val="en-US" w:eastAsia="zh-CN"/>
              </w:rPr>
              <w:t>/第二类海水水质的区域</w:t>
            </w:r>
          </w:p>
        </w:tc>
        <w:tc>
          <w:tcPr>
            <w:tcW w:w="1226" w:type="dxa"/>
            <w:noWrap w:val="0"/>
            <w:vAlign w:val="center"/>
          </w:tcPr>
          <w:p w14:paraId="634FB619">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r>
      <w:tr w14:paraId="4483D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1639" w:type="dxa"/>
            <w:vMerge w:val="continue"/>
            <w:noWrap w:val="0"/>
            <w:vAlign w:val="center"/>
          </w:tcPr>
          <w:p w14:paraId="49903FC7">
            <w:pPr>
              <w:jc w:val="center"/>
              <w:rPr>
                <w:rFonts w:hint="eastAsia" w:ascii="宋体" w:hAnsi="宋体" w:eastAsia="宋体" w:cs="宋体"/>
                <w:color w:val="auto"/>
                <w:sz w:val="21"/>
                <w:szCs w:val="21"/>
                <w:highlight w:val="none"/>
              </w:rPr>
            </w:pPr>
          </w:p>
        </w:tc>
        <w:tc>
          <w:tcPr>
            <w:tcW w:w="5245" w:type="dxa"/>
            <w:shd w:val="clear" w:color="auto" w:fill="auto"/>
            <w:noWrap w:val="0"/>
            <w:vAlign w:val="top"/>
          </w:tcPr>
          <w:p w14:paraId="473A957D">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b/>
                <w:bCs/>
                <w:kern w:val="2"/>
                <w:sz w:val="21"/>
                <w:szCs w:val="21"/>
                <w:highlight w:val="none"/>
                <w:lang w:val="en-US" w:eastAsia="zh-CN" w:bidi="ar-SA"/>
              </w:rPr>
            </w:pPr>
            <w:r>
              <w:rPr>
                <w:rFonts w:hint="eastAsia" w:ascii="宋体" w:hAnsi="宋体" w:cs="宋体"/>
                <w:color w:val="auto"/>
                <w:sz w:val="21"/>
                <w:szCs w:val="21"/>
                <w:highlight w:val="none"/>
                <w:lang w:eastAsia="zh-CN"/>
              </w:rPr>
              <w:t>一类环境空气功能区</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I类水体</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0类声环境功能区／自然保护地核心保护区</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饮用水水源一级保护区</w:t>
            </w:r>
            <w:r>
              <w:rPr>
                <w:rFonts w:hint="eastAsia" w:ascii="宋体" w:hAnsi="宋体" w:eastAsia="宋体" w:cs="宋体"/>
                <w:color w:val="auto"/>
                <w:sz w:val="21"/>
                <w:szCs w:val="21"/>
                <w:highlight w:val="none"/>
                <w:lang w:val="en-US" w:eastAsia="zh-CN"/>
              </w:rPr>
              <w:t>/第一类海水水质的区域</w:t>
            </w:r>
          </w:p>
        </w:tc>
        <w:tc>
          <w:tcPr>
            <w:tcW w:w="1226" w:type="dxa"/>
            <w:noWrap w:val="0"/>
            <w:vAlign w:val="center"/>
          </w:tcPr>
          <w:p w14:paraId="3F212016">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5</w:t>
            </w:r>
          </w:p>
        </w:tc>
      </w:tr>
      <w:tr w14:paraId="4B51A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1639" w:type="dxa"/>
            <w:noWrap w:val="0"/>
            <w:vAlign w:val="center"/>
          </w:tcPr>
          <w:p w14:paraId="42ACF60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备注</w:t>
            </w:r>
          </w:p>
        </w:tc>
        <w:tc>
          <w:tcPr>
            <w:tcW w:w="6471" w:type="dxa"/>
            <w:gridSpan w:val="2"/>
            <w:noWrap w:val="0"/>
            <w:vAlign w:val="top"/>
          </w:tcPr>
          <w:p w14:paraId="4F4C16EE">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涉及多种污染物类别时，</w:t>
            </w:r>
            <w:r>
              <w:rPr>
                <w:rFonts w:hint="eastAsia" w:ascii="宋体" w:hAnsi="宋体" w:cs="宋体"/>
                <w:color w:val="auto"/>
                <w:sz w:val="21"/>
                <w:szCs w:val="21"/>
                <w:highlight w:val="none"/>
                <w:lang w:eastAsia="zh-CN"/>
              </w:rPr>
              <w:t>裁量</w:t>
            </w:r>
            <w:r>
              <w:rPr>
                <w:rFonts w:hint="eastAsia" w:ascii="宋体" w:hAnsi="宋体" w:eastAsia="宋体" w:cs="宋体"/>
                <w:color w:val="auto"/>
                <w:sz w:val="21"/>
                <w:szCs w:val="21"/>
                <w:highlight w:val="none"/>
              </w:rPr>
              <w:t>标准以裁量等级最高为准</w:t>
            </w:r>
          </w:p>
        </w:tc>
      </w:tr>
    </w:tbl>
    <w:p w14:paraId="655F3946">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p w14:paraId="60654EA9">
      <w:pPr>
        <w:rPr>
          <w:rFonts w:hint="eastAsia" w:ascii="宋体" w:hAnsi="宋体" w:eastAsia="宋体" w:cs="宋体"/>
          <w:sz w:val="21"/>
          <w:szCs w:val="21"/>
          <w:highlight w:val="none"/>
        </w:rPr>
      </w:pPr>
    </w:p>
    <w:tbl>
      <w:tblPr>
        <w:tblStyle w:val="8"/>
        <w:tblW w:w="475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24"/>
        <w:gridCol w:w="5503"/>
        <w:gridCol w:w="1288"/>
      </w:tblGrid>
      <w:tr w14:paraId="3D804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8110" w:type="dxa"/>
            <w:gridSpan w:val="3"/>
            <w:noWrap w:val="0"/>
            <w:vAlign w:val="center"/>
          </w:tcPr>
          <w:p w14:paraId="4A4D2D35">
            <w:pPr>
              <w:jc w:val="center"/>
              <w:rPr>
                <w:rFonts w:hint="eastAsia" w:ascii="宋体" w:hAnsi="宋体" w:eastAsia="宋体" w:cs="宋体"/>
                <w:bCs/>
                <w:color w:val="auto"/>
                <w:sz w:val="21"/>
                <w:szCs w:val="21"/>
                <w:highlight w:val="none"/>
                <w:lang w:eastAsia="zh-CN"/>
              </w:rPr>
            </w:pPr>
            <w:r>
              <w:rPr>
                <w:rFonts w:hint="eastAsia" w:ascii="宋体" w:hAnsi="宋体" w:cs="宋体"/>
                <w:strike w:val="0"/>
                <w:dstrike w:val="0"/>
                <w:color w:val="auto"/>
                <w:sz w:val="21"/>
                <w:szCs w:val="21"/>
                <w:highlight w:val="none"/>
                <w:lang w:eastAsia="zh-CN"/>
              </w:rPr>
              <w:t>（一）生态环境监测管理类</w:t>
            </w:r>
          </w:p>
        </w:tc>
      </w:tr>
      <w:tr w14:paraId="7C53B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1642" w:type="dxa"/>
            <w:noWrap w:val="0"/>
            <w:vAlign w:val="center"/>
          </w:tcPr>
          <w:p w14:paraId="2860601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468" w:type="dxa"/>
            <w:gridSpan w:val="2"/>
            <w:noWrap w:val="0"/>
            <w:vAlign w:val="center"/>
          </w:tcPr>
          <w:p w14:paraId="4878E4F1">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6-1</w:t>
            </w:r>
          </w:p>
        </w:tc>
      </w:tr>
      <w:tr w14:paraId="3589C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1642" w:type="dxa"/>
            <w:noWrap w:val="0"/>
            <w:vAlign w:val="center"/>
          </w:tcPr>
          <w:p w14:paraId="3502129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6468" w:type="dxa"/>
            <w:gridSpan w:val="2"/>
            <w:noWrap w:val="0"/>
            <w:vAlign w:val="center"/>
          </w:tcPr>
          <w:p w14:paraId="6FD4B694">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strike w:val="0"/>
                <w:dstrike w:val="0"/>
                <w:color w:val="auto"/>
                <w:sz w:val="21"/>
                <w:szCs w:val="21"/>
                <w:highlight w:val="none"/>
              </w:rPr>
              <w:t>生态环境监测机构不具备相应的设施、设备、技术人员、技术能力、管理能力的</w:t>
            </w:r>
          </w:p>
        </w:tc>
      </w:tr>
      <w:tr w14:paraId="2804C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9" w:hRule="atLeast"/>
          <w:jc w:val="center"/>
        </w:trPr>
        <w:tc>
          <w:tcPr>
            <w:tcW w:w="1642" w:type="dxa"/>
            <w:noWrap w:val="0"/>
            <w:vAlign w:val="center"/>
          </w:tcPr>
          <w:p w14:paraId="3C06BB1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6468" w:type="dxa"/>
            <w:gridSpan w:val="2"/>
            <w:noWrap w:val="0"/>
            <w:vAlign w:val="center"/>
          </w:tcPr>
          <w:p w14:paraId="7FDAD915">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《中华人民共和国生态环境法典》第七十九条  生态环境监测机构应当具备相应的设施、设备、技术人员、技术能力和管理能力，并依法报有关部门备案。</w:t>
            </w:r>
          </w:p>
        </w:tc>
      </w:tr>
      <w:tr w14:paraId="5F754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42" w:type="dxa"/>
            <w:noWrap w:val="0"/>
            <w:vAlign w:val="center"/>
          </w:tcPr>
          <w:p w14:paraId="26E327D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6468" w:type="dxa"/>
            <w:gridSpan w:val="2"/>
            <w:noWrap w:val="0"/>
            <w:vAlign w:val="center"/>
          </w:tcPr>
          <w:p w14:paraId="4933A605">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《中华人民共和国生态环境法典》第一千零八十九条</w:t>
            </w:r>
            <w:r>
              <w:rPr>
                <w:rFonts w:hint="eastAsia" w:ascii="宋体" w:hAnsi="宋体" w:eastAsia="宋体" w:cs="宋体"/>
                <w:color w:val="auto"/>
                <w:sz w:val="21"/>
                <w:szCs w:val="21"/>
                <w:highlight w:val="none"/>
                <w:lang w:val="en-US" w:eastAsia="zh-CN"/>
              </w:rPr>
              <w:t>第一款</w:t>
            </w:r>
            <w:r>
              <w:rPr>
                <w:rFonts w:hint="eastAsia" w:ascii="宋体" w:hAnsi="宋体" w:eastAsia="宋体" w:cs="宋体"/>
                <w:color w:val="auto"/>
                <w:sz w:val="21"/>
                <w:szCs w:val="21"/>
                <w:highlight w:val="none"/>
              </w:rPr>
              <w:t xml:space="preserve">  违反本法规定，生态环境监测机构不具备相应的设施、设备、技术人员、技术能力、管理能力，或者不依法备案的，由生态环境主管部门责令改正，没收违法所得，并处二万元以上二十万元以下的罚款；拒不改正的，报经有批准权的人民政府批准，责令停业。</w:t>
            </w:r>
          </w:p>
        </w:tc>
      </w:tr>
      <w:tr w14:paraId="1C46F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1642" w:type="dxa"/>
            <w:noWrap w:val="0"/>
            <w:vAlign w:val="center"/>
          </w:tcPr>
          <w:p w14:paraId="39F4F4E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241" w:type="dxa"/>
            <w:noWrap w:val="0"/>
            <w:vAlign w:val="center"/>
          </w:tcPr>
          <w:p w14:paraId="3823F0E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227" w:type="dxa"/>
            <w:noWrap w:val="0"/>
            <w:vAlign w:val="center"/>
          </w:tcPr>
          <w:p w14:paraId="0A0B2A9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587EA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1642" w:type="dxa"/>
            <w:vMerge w:val="restart"/>
            <w:noWrap w:val="0"/>
            <w:vAlign w:val="center"/>
          </w:tcPr>
          <w:p w14:paraId="14E80E75">
            <w:pPr>
              <w:ind w:left="0" w:leftChars="0" w:right="0" w:rightChars="0"/>
              <w:jc w:val="center"/>
              <w:textAlignment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sz w:val="21"/>
                <w:szCs w:val="21"/>
                <w:highlight w:val="none"/>
                <w:lang w:val="en-US" w:eastAsia="zh-CN"/>
              </w:rPr>
              <w:t>违法事实</w:t>
            </w:r>
          </w:p>
        </w:tc>
        <w:tc>
          <w:tcPr>
            <w:tcW w:w="5241" w:type="dxa"/>
            <w:shd w:val="clear" w:color="auto" w:fill="auto"/>
            <w:noWrap w:val="0"/>
            <w:vAlign w:val="center"/>
          </w:tcPr>
          <w:p w14:paraId="7A7688EA">
            <w:pPr>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不具备相应的设施、设备、技术人员、技术能力、管理能力其中一项的</w:t>
            </w:r>
          </w:p>
        </w:tc>
        <w:tc>
          <w:tcPr>
            <w:tcW w:w="1227" w:type="dxa"/>
            <w:noWrap w:val="0"/>
            <w:vAlign w:val="center"/>
          </w:tcPr>
          <w:p w14:paraId="231FC7C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p>
        </w:tc>
      </w:tr>
      <w:tr w14:paraId="7C4BA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1642" w:type="dxa"/>
            <w:vMerge w:val="continue"/>
            <w:noWrap w:val="0"/>
            <w:vAlign w:val="center"/>
          </w:tcPr>
          <w:p w14:paraId="6D2455CE">
            <w:pPr>
              <w:ind w:left="0" w:leftChars="0" w:right="0" w:rightChars="0"/>
              <w:jc w:val="center"/>
              <w:textAlignment w:val="center"/>
              <w:rPr>
                <w:rFonts w:hint="eastAsia" w:ascii="宋体" w:hAnsi="宋体" w:eastAsia="宋体" w:cs="宋体"/>
                <w:b w:val="0"/>
                <w:bCs w:val="0"/>
                <w:color w:val="auto"/>
                <w:sz w:val="21"/>
                <w:szCs w:val="21"/>
                <w:highlight w:val="none"/>
              </w:rPr>
            </w:pPr>
          </w:p>
        </w:tc>
        <w:tc>
          <w:tcPr>
            <w:tcW w:w="5241" w:type="dxa"/>
            <w:shd w:val="clear" w:color="auto" w:fill="auto"/>
            <w:noWrap w:val="0"/>
            <w:vAlign w:val="center"/>
          </w:tcPr>
          <w:p w14:paraId="1D126662">
            <w:pPr>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不具备相应的设施、设备、技术人员、技术能力、管理能力其中</w:t>
            </w:r>
            <w:r>
              <w:rPr>
                <w:rFonts w:hint="eastAsia" w:ascii="宋体" w:hAnsi="宋体" w:cs="宋体"/>
                <w:color w:val="auto"/>
                <w:sz w:val="21"/>
                <w:szCs w:val="21"/>
                <w:highlight w:val="none"/>
                <w:lang w:val="en-US" w:eastAsia="zh-CN"/>
              </w:rPr>
              <w:t>两项</w:t>
            </w:r>
            <w:r>
              <w:rPr>
                <w:rFonts w:hint="eastAsia" w:ascii="宋体" w:hAnsi="宋体" w:eastAsia="宋体" w:cs="宋体"/>
                <w:color w:val="auto"/>
                <w:sz w:val="21"/>
                <w:szCs w:val="21"/>
                <w:highlight w:val="none"/>
                <w:lang w:val="en-US" w:eastAsia="zh-CN"/>
              </w:rPr>
              <w:t>的</w:t>
            </w:r>
          </w:p>
        </w:tc>
        <w:tc>
          <w:tcPr>
            <w:tcW w:w="1227" w:type="dxa"/>
            <w:noWrap w:val="0"/>
            <w:vAlign w:val="center"/>
          </w:tcPr>
          <w:p w14:paraId="7098E2F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p>
        </w:tc>
      </w:tr>
      <w:tr w14:paraId="0A72F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1642" w:type="dxa"/>
            <w:vMerge w:val="continue"/>
            <w:noWrap w:val="0"/>
            <w:vAlign w:val="center"/>
          </w:tcPr>
          <w:p w14:paraId="398FE2F9">
            <w:pPr>
              <w:jc w:val="center"/>
              <w:rPr>
                <w:rFonts w:hint="eastAsia" w:ascii="宋体" w:hAnsi="宋体" w:eastAsia="宋体" w:cs="宋体"/>
                <w:b w:val="0"/>
                <w:bCs w:val="0"/>
                <w:color w:val="auto"/>
                <w:sz w:val="21"/>
                <w:szCs w:val="21"/>
                <w:highlight w:val="none"/>
              </w:rPr>
            </w:pPr>
          </w:p>
        </w:tc>
        <w:tc>
          <w:tcPr>
            <w:tcW w:w="5241" w:type="dxa"/>
            <w:shd w:val="clear" w:color="auto" w:fill="auto"/>
            <w:noWrap w:val="0"/>
            <w:vAlign w:val="center"/>
          </w:tcPr>
          <w:p w14:paraId="1A2F69E0">
            <w:pPr>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不具备相应的设施、设备、技术人员、技术能力、管理能力其中三项的</w:t>
            </w:r>
          </w:p>
        </w:tc>
        <w:tc>
          <w:tcPr>
            <w:tcW w:w="1227" w:type="dxa"/>
            <w:noWrap w:val="0"/>
            <w:vAlign w:val="center"/>
          </w:tcPr>
          <w:p w14:paraId="5B74586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p>
        </w:tc>
      </w:tr>
      <w:tr w14:paraId="6E985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1642" w:type="dxa"/>
            <w:vMerge w:val="continue"/>
            <w:noWrap w:val="0"/>
            <w:vAlign w:val="center"/>
          </w:tcPr>
          <w:p w14:paraId="5EF3CB59">
            <w:pPr>
              <w:jc w:val="center"/>
              <w:rPr>
                <w:rFonts w:hint="eastAsia" w:ascii="宋体" w:hAnsi="宋体" w:eastAsia="宋体" w:cs="宋体"/>
                <w:b w:val="0"/>
                <w:bCs w:val="0"/>
                <w:color w:val="auto"/>
                <w:sz w:val="21"/>
                <w:szCs w:val="21"/>
                <w:highlight w:val="none"/>
              </w:rPr>
            </w:pPr>
          </w:p>
        </w:tc>
        <w:tc>
          <w:tcPr>
            <w:tcW w:w="5241" w:type="dxa"/>
            <w:shd w:val="clear" w:color="auto" w:fill="auto"/>
            <w:noWrap w:val="0"/>
            <w:vAlign w:val="center"/>
          </w:tcPr>
          <w:p w14:paraId="131B2BBB">
            <w:pPr>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不具备相应的设施、设备、技术人员、技术能力、管理能力其中四项的</w:t>
            </w:r>
          </w:p>
        </w:tc>
        <w:tc>
          <w:tcPr>
            <w:tcW w:w="1227" w:type="dxa"/>
            <w:noWrap w:val="0"/>
            <w:vAlign w:val="center"/>
          </w:tcPr>
          <w:p w14:paraId="63254DC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p>
        </w:tc>
      </w:tr>
      <w:tr w14:paraId="6A94A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1642" w:type="dxa"/>
            <w:vMerge w:val="continue"/>
            <w:noWrap w:val="0"/>
            <w:vAlign w:val="center"/>
          </w:tcPr>
          <w:p w14:paraId="1D577651">
            <w:pPr>
              <w:jc w:val="center"/>
              <w:rPr>
                <w:rFonts w:hint="eastAsia" w:ascii="宋体" w:hAnsi="宋体" w:eastAsia="宋体" w:cs="宋体"/>
                <w:b w:val="0"/>
                <w:bCs w:val="0"/>
                <w:color w:val="auto"/>
                <w:sz w:val="21"/>
                <w:szCs w:val="21"/>
                <w:highlight w:val="none"/>
              </w:rPr>
            </w:pPr>
          </w:p>
        </w:tc>
        <w:tc>
          <w:tcPr>
            <w:tcW w:w="5241" w:type="dxa"/>
            <w:shd w:val="clear" w:color="auto" w:fill="auto"/>
            <w:noWrap w:val="0"/>
            <w:vAlign w:val="center"/>
          </w:tcPr>
          <w:p w14:paraId="044D62FC">
            <w:pPr>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相应的设施、设备、技术人员、技术能力、管理能力全部不具备</w:t>
            </w:r>
          </w:p>
        </w:tc>
        <w:tc>
          <w:tcPr>
            <w:tcW w:w="1227" w:type="dxa"/>
            <w:noWrap w:val="0"/>
            <w:vAlign w:val="center"/>
          </w:tcPr>
          <w:p w14:paraId="1B01D89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p>
        </w:tc>
      </w:tr>
      <w:tr w14:paraId="7189A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1642" w:type="dxa"/>
            <w:vMerge w:val="restart"/>
            <w:noWrap w:val="0"/>
            <w:vAlign w:val="center"/>
          </w:tcPr>
          <w:p w14:paraId="019D1A79">
            <w:pPr>
              <w:keepNext w:val="0"/>
              <w:keepLines w:val="0"/>
              <w:widowControl/>
              <w:suppressLineNumbers w:val="0"/>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000000"/>
                <w:kern w:val="0"/>
                <w:sz w:val="21"/>
                <w:szCs w:val="21"/>
                <w:highlight w:val="none"/>
                <w:lang w:val="en-US" w:eastAsia="zh-CN" w:bidi="ar"/>
              </w:rPr>
              <w:t>涉及服务对象（环境质量监测站点）数量</w:t>
            </w:r>
          </w:p>
        </w:tc>
        <w:tc>
          <w:tcPr>
            <w:tcW w:w="5241" w:type="dxa"/>
            <w:shd w:val="clear" w:color="auto" w:fill="auto"/>
            <w:noWrap w:val="0"/>
            <w:vAlign w:val="center"/>
          </w:tcPr>
          <w:p w14:paraId="7CE484E8">
            <w:pPr>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1家（个）</w:t>
            </w:r>
          </w:p>
        </w:tc>
        <w:tc>
          <w:tcPr>
            <w:tcW w:w="1227" w:type="dxa"/>
            <w:noWrap w:val="0"/>
            <w:vAlign w:val="center"/>
          </w:tcPr>
          <w:p w14:paraId="33FCE040">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r>
      <w:tr w14:paraId="7F5DF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1642" w:type="dxa"/>
            <w:vMerge w:val="continue"/>
            <w:noWrap w:val="0"/>
            <w:vAlign w:val="center"/>
          </w:tcPr>
          <w:p w14:paraId="701AAAB1">
            <w:pPr>
              <w:jc w:val="center"/>
              <w:rPr>
                <w:rFonts w:hint="eastAsia" w:ascii="宋体" w:hAnsi="宋体" w:eastAsia="宋体" w:cs="宋体"/>
                <w:b w:val="0"/>
                <w:bCs w:val="0"/>
                <w:color w:val="auto"/>
                <w:sz w:val="21"/>
                <w:szCs w:val="21"/>
                <w:highlight w:val="none"/>
              </w:rPr>
            </w:pPr>
          </w:p>
        </w:tc>
        <w:tc>
          <w:tcPr>
            <w:tcW w:w="5241" w:type="dxa"/>
            <w:shd w:val="clear" w:color="auto" w:fill="auto"/>
            <w:noWrap w:val="0"/>
            <w:vAlign w:val="center"/>
          </w:tcPr>
          <w:p w14:paraId="39C51E20">
            <w:pPr>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2家（个）</w:t>
            </w:r>
          </w:p>
        </w:tc>
        <w:tc>
          <w:tcPr>
            <w:tcW w:w="1227" w:type="dxa"/>
            <w:noWrap w:val="0"/>
            <w:vAlign w:val="center"/>
          </w:tcPr>
          <w:p w14:paraId="10DD1C0F">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r>
      <w:tr w14:paraId="22B80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1642" w:type="dxa"/>
            <w:vMerge w:val="continue"/>
            <w:noWrap w:val="0"/>
            <w:vAlign w:val="center"/>
          </w:tcPr>
          <w:p w14:paraId="05315E1C">
            <w:pPr>
              <w:jc w:val="center"/>
              <w:rPr>
                <w:rFonts w:hint="eastAsia" w:ascii="宋体" w:hAnsi="宋体" w:eastAsia="宋体" w:cs="宋体"/>
                <w:b w:val="0"/>
                <w:bCs w:val="0"/>
                <w:color w:val="auto"/>
                <w:sz w:val="21"/>
                <w:szCs w:val="21"/>
                <w:highlight w:val="none"/>
              </w:rPr>
            </w:pPr>
          </w:p>
        </w:tc>
        <w:tc>
          <w:tcPr>
            <w:tcW w:w="5241" w:type="dxa"/>
            <w:shd w:val="clear" w:color="auto" w:fill="auto"/>
            <w:noWrap w:val="0"/>
            <w:vAlign w:val="center"/>
          </w:tcPr>
          <w:p w14:paraId="18F7076C">
            <w:pPr>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3家（个）以上，不足5家（个）</w:t>
            </w:r>
          </w:p>
        </w:tc>
        <w:tc>
          <w:tcPr>
            <w:tcW w:w="1227" w:type="dxa"/>
            <w:noWrap w:val="0"/>
            <w:vAlign w:val="center"/>
          </w:tcPr>
          <w:p w14:paraId="03D5DC2E">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r>
      <w:tr w14:paraId="3E1B5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1642" w:type="dxa"/>
            <w:vMerge w:val="continue"/>
            <w:noWrap w:val="0"/>
            <w:vAlign w:val="center"/>
          </w:tcPr>
          <w:p w14:paraId="0C40BDC2">
            <w:pPr>
              <w:jc w:val="center"/>
              <w:rPr>
                <w:rFonts w:hint="eastAsia" w:ascii="宋体" w:hAnsi="宋体" w:eastAsia="宋体" w:cs="宋体"/>
                <w:b w:val="0"/>
                <w:bCs w:val="0"/>
                <w:color w:val="auto"/>
                <w:sz w:val="21"/>
                <w:szCs w:val="21"/>
                <w:highlight w:val="none"/>
              </w:rPr>
            </w:pPr>
          </w:p>
        </w:tc>
        <w:tc>
          <w:tcPr>
            <w:tcW w:w="5241" w:type="dxa"/>
            <w:shd w:val="clear" w:color="auto" w:fill="auto"/>
            <w:noWrap w:val="0"/>
            <w:vAlign w:val="center"/>
          </w:tcPr>
          <w:p w14:paraId="124D05F0">
            <w:pPr>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5家（个）以上</w:t>
            </w:r>
          </w:p>
        </w:tc>
        <w:tc>
          <w:tcPr>
            <w:tcW w:w="1227" w:type="dxa"/>
            <w:noWrap w:val="0"/>
            <w:vAlign w:val="center"/>
          </w:tcPr>
          <w:p w14:paraId="5090BE24">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r>
      <w:tr w14:paraId="29E11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1642" w:type="dxa"/>
            <w:vMerge w:val="restart"/>
            <w:noWrap w:val="0"/>
            <w:vAlign w:val="center"/>
          </w:tcPr>
          <w:p w14:paraId="2CDBB5CF">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right="0" w:rightChars="0" w:firstLine="0"/>
              <w:jc w:val="center"/>
              <w:textAlignment w:val="baseline"/>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违法所得</w:t>
            </w:r>
          </w:p>
          <w:p w14:paraId="7A9A6955">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金额</w:t>
            </w:r>
          </w:p>
        </w:tc>
        <w:tc>
          <w:tcPr>
            <w:tcW w:w="5241" w:type="dxa"/>
            <w:shd w:val="clear" w:color="auto" w:fill="auto"/>
            <w:noWrap w:val="0"/>
            <w:vAlign w:val="center"/>
          </w:tcPr>
          <w:p w14:paraId="3199A53B">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420" w:firstLineChars="200"/>
              <w:textAlignment w:val="baseline"/>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1万元以下</w:t>
            </w:r>
          </w:p>
        </w:tc>
        <w:tc>
          <w:tcPr>
            <w:tcW w:w="1227" w:type="dxa"/>
            <w:noWrap w:val="0"/>
            <w:vAlign w:val="center"/>
          </w:tcPr>
          <w:p w14:paraId="6E386657">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r>
      <w:tr w14:paraId="22873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1642" w:type="dxa"/>
            <w:vMerge w:val="continue"/>
            <w:noWrap w:val="0"/>
            <w:vAlign w:val="center"/>
          </w:tcPr>
          <w:p w14:paraId="4529EA05">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b/>
                <w:bCs/>
                <w:color w:val="auto"/>
                <w:sz w:val="21"/>
                <w:szCs w:val="21"/>
                <w:highlight w:val="none"/>
              </w:rPr>
            </w:pPr>
          </w:p>
        </w:tc>
        <w:tc>
          <w:tcPr>
            <w:tcW w:w="5241" w:type="dxa"/>
            <w:shd w:val="clear" w:color="auto" w:fill="auto"/>
            <w:noWrap w:val="0"/>
            <w:vAlign w:val="center"/>
          </w:tcPr>
          <w:p w14:paraId="39A2B49D">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420" w:firstLineChars="200"/>
              <w:textAlignment w:val="baseline"/>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w:t>
            </w:r>
            <w:r>
              <w:rPr>
                <w:rFonts w:hint="eastAsia" w:cs="宋体"/>
                <w:color w:val="auto"/>
                <w:kern w:val="2"/>
                <w:sz w:val="21"/>
                <w:szCs w:val="21"/>
                <w:highlight w:val="none"/>
                <w:lang w:val="en-US" w:eastAsia="zh-CN" w:bidi="ar-SA"/>
              </w:rPr>
              <w:t>万元</w:t>
            </w:r>
            <w:r>
              <w:rPr>
                <w:rFonts w:hint="eastAsia" w:ascii="宋体" w:hAnsi="宋体" w:eastAsia="宋体" w:cs="宋体"/>
                <w:color w:val="auto"/>
                <w:kern w:val="2"/>
                <w:sz w:val="21"/>
                <w:szCs w:val="21"/>
                <w:highlight w:val="none"/>
                <w:lang w:val="en-US" w:eastAsia="zh-CN" w:bidi="ar-SA"/>
              </w:rPr>
              <w:t>以上，不足5万元</w:t>
            </w:r>
          </w:p>
        </w:tc>
        <w:tc>
          <w:tcPr>
            <w:tcW w:w="1227" w:type="dxa"/>
            <w:noWrap w:val="0"/>
            <w:vAlign w:val="center"/>
          </w:tcPr>
          <w:p w14:paraId="7AB9EA8D">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r>
      <w:tr w14:paraId="7B841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1642" w:type="dxa"/>
            <w:vMerge w:val="continue"/>
            <w:noWrap w:val="0"/>
            <w:vAlign w:val="center"/>
          </w:tcPr>
          <w:p w14:paraId="62AD4606">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b/>
                <w:bCs/>
                <w:color w:val="auto"/>
                <w:sz w:val="21"/>
                <w:szCs w:val="21"/>
                <w:highlight w:val="none"/>
              </w:rPr>
            </w:pPr>
          </w:p>
        </w:tc>
        <w:tc>
          <w:tcPr>
            <w:tcW w:w="5241" w:type="dxa"/>
            <w:shd w:val="clear" w:color="auto" w:fill="auto"/>
            <w:noWrap w:val="0"/>
            <w:vAlign w:val="center"/>
          </w:tcPr>
          <w:p w14:paraId="6BFD916F">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420" w:firstLineChars="200"/>
              <w:textAlignment w:val="baseline"/>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5万元以上，不足10万元</w:t>
            </w:r>
          </w:p>
        </w:tc>
        <w:tc>
          <w:tcPr>
            <w:tcW w:w="1227" w:type="dxa"/>
            <w:noWrap w:val="0"/>
            <w:vAlign w:val="center"/>
          </w:tcPr>
          <w:p w14:paraId="5A185F3E">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r>
      <w:tr w14:paraId="1E59D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1642" w:type="dxa"/>
            <w:vMerge w:val="continue"/>
            <w:noWrap w:val="0"/>
            <w:vAlign w:val="center"/>
          </w:tcPr>
          <w:p w14:paraId="2E42A0C8">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b/>
                <w:bCs/>
                <w:color w:val="auto"/>
                <w:sz w:val="21"/>
                <w:szCs w:val="21"/>
                <w:highlight w:val="none"/>
              </w:rPr>
            </w:pPr>
          </w:p>
        </w:tc>
        <w:tc>
          <w:tcPr>
            <w:tcW w:w="5241" w:type="dxa"/>
            <w:shd w:val="clear" w:color="auto" w:fill="auto"/>
            <w:noWrap w:val="0"/>
            <w:vAlign w:val="center"/>
          </w:tcPr>
          <w:p w14:paraId="4A96DCA7">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420" w:firstLineChars="200"/>
              <w:textAlignment w:val="baseline"/>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10万元以上</w:t>
            </w:r>
          </w:p>
        </w:tc>
        <w:tc>
          <w:tcPr>
            <w:tcW w:w="1227" w:type="dxa"/>
            <w:noWrap w:val="0"/>
            <w:vAlign w:val="center"/>
          </w:tcPr>
          <w:p w14:paraId="06B6D1BE">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r>
    </w:tbl>
    <w:p w14:paraId="15C8212F">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475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24"/>
        <w:gridCol w:w="5503"/>
        <w:gridCol w:w="1288"/>
      </w:tblGrid>
      <w:tr w14:paraId="3B2C2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8110" w:type="dxa"/>
            <w:gridSpan w:val="3"/>
            <w:noWrap w:val="0"/>
            <w:vAlign w:val="center"/>
          </w:tcPr>
          <w:p w14:paraId="3EC73E98">
            <w:pPr>
              <w:jc w:val="center"/>
              <w:rPr>
                <w:rFonts w:hint="eastAsia" w:ascii="宋体" w:hAnsi="宋体" w:eastAsia="宋体" w:cs="宋体"/>
                <w:bCs/>
                <w:color w:val="auto"/>
                <w:sz w:val="21"/>
                <w:szCs w:val="21"/>
                <w:highlight w:val="none"/>
                <w:lang w:eastAsia="zh-CN"/>
              </w:rPr>
            </w:pPr>
            <w:r>
              <w:rPr>
                <w:rFonts w:hint="eastAsia" w:ascii="宋体" w:hAnsi="宋体" w:cs="宋体"/>
                <w:strike w:val="0"/>
                <w:dstrike w:val="0"/>
                <w:color w:val="auto"/>
                <w:sz w:val="21"/>
                <w:szCs w:val="21"/>
                <w:highlight w:val="none"/>
                <w:lang w:eastAsia="zh-CN"/>
              </w:rPr>
              <w:t>（一）生态环境监测管理类</w:t>
            </w:r>
          </w:p>
        </w:tc>
      </w:tr>
      <w:tr w14:paraId="5AB89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1642" w:type="dxa"/>
            <w:noWrap w:val="0"/>
            <w:vAlign w:val="center"/>
          </w:tcPr>
          <w:p w14:paraId="4C06D63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468" w:type="dxa"/>
            <w:gridSpan w:val="2"/>
            <w:noWrap w:val="0"/>
            <w:vAlign w:val="center"/>
          </w:tcPr>
          <w:p w14:paraId="45B21831">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6-2</w:t>
            </w:r>
          </w:p>
        </w:tc>
      </w:tr>
      <w:tr w14:paraId="3D9C3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1642" w:type="dxa"/>
            <w:noWrap w:val="0"/>
            <w:vAlign w:val="center"/>
          </w:tcPr>
          <w:p w14:paraId="6320F3C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6468" w:type="dxa"/>
            <w:gridSpan w:val="2"/>
            <w:noWrap w:val="0"/>
            <w:vAlign w:val="center"/>
          </w:tcPr>
          <w:p w14:paraId="0F0635A7">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strike w:val="0"/>
                <w:dstrike w:val="0"/>
                <w:color w:val="auto"/>
                <w:sz w:val="21"/>
                <w:szCs w:val="21"/>
                <w:highlight w:val="none"/>
              </w:rPr>
              <w:t>生态环境监测机构不依法备案的</w:t>
            </w:r>
          </w:p>
        </w:tc>
      </w:tr>
      <w:tr w14:paraId="35628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9" w:hRule="atLeast"/>
          <w:jc w:val="center"/>
        </w:trPr>
        <w:tc>
          <w:tcPr>
            <w:tcW w:w="1642" w:type="dxa"/>
            <w:noWrap w:val="0"/>
            <w:vAlign w:val="center"/>
          </w:tcPr>
          <w:p w14:paraId="145EDFB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6468" w:type="dxa"/>
            <w:gridSpan w:val="2"/>
            <w:noWrap w:val="0"/>
            <w:vAlign w:val="center"/>
          </w:tcPr>
          <w:p w14:paraId="037C5473">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《中华人民共和国生态环境法典》第七十九条  生态环境监测机构应当具备相应的设施、设备、技术人员、技术能力和管理能力，并依法报有关部门备案。</w:t>
            </w:r>
          </w:p>
        </w:tc>
      </w:tr>
      <w:tr w14:paraId="4A0B0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42" w:type="dxa"/>
            <w:noWrap w:val="0"/>
            <w:vAlign w:val="center"/>
          </w:tcPr>
          <w:p w14:paraId="1030A2E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6468" w:type="dxa"/>
            <w:gridSpan w:val="2"/>
            <w:noWrap w:val="0"/>
            <w:vAlign w:val="center"/>
          </w:tcPr>
          <w:p w14:paraId="5CCDEF73">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《中华人民共和国生态环境法典》第一千零八十九条</w:t>
            </w:r>
            <w:r>
              <w:rPr>
                <w:rFonts w:hint="eastAsia" w:ascii="宋体" w:hAnsi="宋体" w:eastAsia="宋体" w:cs="宋体"/>
                <w:color w:val="auto"/>
                <w:sz w:val="21"/>
                <w:szCs w:val="21"/>
                <w:highlight w:val="none"/>
                <w:lang w:val="en-US" w:eastAsia="zh-CN"/>
              </w:rPr>
              <w:t>第一款</w:t>
            </w:r>
            <w:r>
              <w:rPr>
                <w:rFonts w:hint="eastAsia" w:ascii="宋体" w:hAnsi="宋体" w:eastAsia="宋体" w:cs="宋体"/>
                <w:color w:val="auto"/>
                <w:sz w:val="21"/>
                <w:szCs w:val="21"/>
                <w:highlight w:val="none"/>
              </w:rPr>
              <w:t xml:space="preserve">  违反本法规定，生态环境监测机构不具备相应的设施、设备、技术人员、技术能力、管理能力，或者不依法备案的，由生态环境主管部门责令改正，没收违法所得，并处二万元以上二十万元以下的罚款；拒不改正的，报经有批准权的人民政府批准，责令停业。</w:t>
            </w:r>
          </w:p>
        </w:tc>
      </w:tr>
      <w:tr w14:paraId="2B622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1642" w:type="dxa"/>
            <w:noWrap w:val="0"/>
            <w:vAlign w:val="center"/>
          </w:tcPr>
          <w:p w14:paraId="5C1E954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241" w:type="dxa"/>
            <w:noWrap w:val="0"/>
            <w:vAlign w:val="center"/>
          </w:tcPr>
          <w:p w14:paraId="62A2E35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227" w:type="dxa"/>
            <w:noWrap w:val="0"/>
            <w:vAlign w:val="center"/>
          </w:tcPr>
          <w:p w14:paraId="4EA903C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32BC4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1642" w:type="dxa"/>
            <w:vMerge w:val="restart"/>
            <w:noWrap w:val="0"/>
            <w:vAlign w:val="center"/>
          </w:tcPr>
          <w:p w14:paraId="1D115B9B">
            <w:pPr>
              <w:keepNext w:val="0"/>
              <w:keepLines w:val="0"/>
              <w:widowControl/>
              <w:suppressLineNumbers w:val="0"/>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000000"/>
                <w:kern w:val="0"/>
                <w:sz w:val="21"/>
                <w:szCs w:val="21"/>
                <w:highlight w:val="none"/>
                <w:lang w:val="en-US" w:eastAsia="zh-CN" w:bidi="ar"/>
              </w:rPr>
              <w:t>涉及服务对象（环境质量监测站点）数量</w:t>
            </w:r>
          </w:p>
        </w:tc>
        <w:tc>
          <w:tcPr>
            <w:tcW w:w="5241" w:type="dxa"/>
            <w:shd w:val="clear" w:color="auto" w:fill="auto"/>
            <w:noWrap w:val="0"/>
            <w:vAlign w:val="center"/>
          </w:tcPr>
          <w:p w14:paraId="26BCB74A">
            <w:pPr>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1家（个）</w:t>
            </w:r>
          </w:p>
        </w:tc>
        <w:tc>
          <w:tcPr>
            <w:tcW w:w="1227" w:type="dxa"/>
            <w:noWrap w:val="0"/>
            <w:vAlign w:val="center"/>
          </w:tcPr>
          <w:p w14:paraId="37BEC560">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r>
      <w:tr w14:paraId="4FFA5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1642" w:type="dxa"/>
            <w:vMerge w:val="continue"/>
            <w:noWrap w:val="0"/>
            <w:vAlign w:val="center"/>
          </w:tcPr>
          <w:p w14:paraId="76C4BF15">
            <w:pPr>
              <w:jc w:val="center"/>
              <w:rPr>
                <w:rFonts w:hint="eastAsia" w:ascii="宋体" w:hAnsi="宋体" w:eastAsia="宋体" w:cs="宋体"/>
                <w:b w:val="0"/>
                <w:bCs w:val="0"/>
                <w:color w:val="auto"/>
                <w:sz w:val="21"/>
                <w:szCs w:val="21"/>
                <w:highlight w:val="none"/>
              </w:rPr>
            </w:pPr>
          </w:p>
        </w:tc>
        <w:tc>
          <w:tcPr>
            <w:tcW w:w="5241" w:type="dxa"/>
            <w:shd w:val="clear" w:color="auto" w:fill="auto"/>
            <w:noWrap w:val="0"/>
            <w:vAlign w:val="center"/>
          </w:tcPr>
          <w:p w14:paraId="501B7E39">
            <w:pPr>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2家（个）</w:t>
            </w:r>
          </w:p>
        </w:tc>
        <w:tc>
          <w:tcPr>
            <w:tcW w:w="1227" w:type="dxa"/>
            <w:noWrap w:val="0"/>
            <w:vAlign w:val="center"/>
          </w:tcPr>
          <w:p w14:paraId="6BD76E86">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r>
      <w:tr w14:paraId="35A2B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1642" w:type="dxa"/>
            <w:vMerge w:val="continue"/>
            <w:noWrap w:val="0"/>
            <w:vAlign w:val="center"/>
          </w:tcPr>
          <w:p w14:paraId="32EB4A00">
            <w:pPr>
              <w:jc w:val="center"/>
              <w:rPr>
                <w:rFonts w:hint="eastAsia" w:ascii="宋体" w:hAnsi="宋体" w:eastAsia="宋体" w:cs="宋体"/>
                <w:b w:val="0"/>
                <w:bCs w:val="0"/>
                <w:color w:val="auto"/>
                <w:sz w:val="21"/>
                <w:szCs w:val="21"/>
                <w:highlight w:val="none"/>
              </w:rPr>
            </w:pPr>
          </w:p>
        </w:tc>
        <w:tc>
          <w:tcPr>
            <w:tcW w:w="5241" w:type="dxa"/>
            <w:shd w:val="clear" w:color="auto" w:fill="auto"/>
            <w:noWrap w:val="0"/>
            <w:vAlign w:val="center"/>
          </w:tcPr>
          <w:p w14:paraId="0770E186">
            <w:pPr>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3家（个）以上，不足5家（个）</w:t>
            </w:r>
          </w:p>
        </w:tc>
        <w:tc>
          <w:tcPr>
            <w:tcW w:w="1227" w:type="dxa"/>
            <w:noWrap w:val="0"/>
            <w:vAlign w:val="center"/>
          </w:tcPr>
          <w:p w14:paraId="3C083172">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r>
      <w:tr w14:paraId="41BC4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1642" w:type="dxa"/>
            <w:vMerge w:val="continue"/>
            <w:noWrap w:val="0"/>
            <w:vAlign w:val="center"/>
          </w:tcPr>
          <w:p w14:paraId="5220C2D9">
            <w:pPr>
              <w:jc w:val="center"/>
              <w:rPr>
                <w:rFonts w:hint="eastAsia" w:ascii="宋体" w:hAnsi="宋体" w:eastAsia="宋体" w:cs="宋体"/>
                <w:b w:val="0"/>
                <w:bCs w:val="0"/>
                <w:color w:val="auto"/>
                <w:sz w:val="21"/>
                <w:szCs w:val="21"/>
                <w:highlight w:val="none"/>
              </w:rPr>
            </w:pPr>
          </w:p>
        </w:tc>
        <w:tc>
          <w:tcPr>
            <w:tcW w:w="5241" w:type="dxa"/>
            <w:shd w:val="clear" w:color="auto" w:fill="auto"/>
            <w:noWrap w:val="0"/>
            <w:vAlign w:val="center"/>
          </w:tcPr>
          <w:p w14:paraId="04B47791">
            <w:pPr>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5家（个）以上</w:t>
            </w:r>
          </w:p>
        </w:tc>
        <w:tc>
          <w:tcPr>
            <w:tcW w:w="1227" w:type="dxa"/>
            <w:noWrap w:val="0"/>
            <w:vAlign w:val="center"/>
          </w:tcPr>
          <w:p w14:paraId="7635E4BD">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r>
      <w:tr w14:paraId="3853F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1642" w:type="dxa"/>
            <w:vMerge w:val="restart"/>
            <w:noWrap w:val="0"/>
            <w:vAlign w:val="center"/>
          </w:tcPr>
          <w:p w14:paraId="4F0409A4">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right="0" w:rightChars="0" w:firstLine="0"/>
              <w:jc w:val="center"/>
              <w:textAlignment w:val="baseline"/>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违法所得</w:t>
            </w:r>
          </w:p>
          <w:p w14:paraId="28272220">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金额</w:t>
            </w:r>
          </w:p>
        </w:tc>
        <w:tc>
          <w:tcPr>
            <w:tcW w:w="5241" w:type="dxa"/>
            <w:shd w:val="clear" w:color="auto" w:fill="auto"/>
            <w:noWrap w:val="0"/>
            <w:vAlign w:val="center"/>
          </w:tcPr>
          <w:p w14:paraId="24B4C75E">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420" w:firstLineChars="200"/>
              <w:textAlignment w:val="baseline"/>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1万元以下</w:t>
            </w:r>
          </w:p>
        </w:tc>
        <w:tc>
          <w:tcPr>
            <w:tcW w:w="1227" w:type="dxa"/>
            <w:noWrap w:val="0"/>
            <w:vAlign w:val="center"/>
          </w:tcPr>
          <w:p w14:paraId="17549C6F">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r>
      <w:tr w14:paraId="4A1E4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1642" w:type="dxa"/>
            <w:vMerge w:val="continue"/>
            <w:noWrap w:val="0"/>
            <w:vAlign w:val="center"/>
          </w:tcPr>
          <w:p w14:paraId="08A78BE0">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b/>
                <w:bCs/>
                <w:color w:val="auto"/>
                <w:sz w:val="21"/>
                <w:szCs w:val="21"/>
                <w:highlight w:val="none"/>
              </w:rPr>
            </w:pPr>
          </w:p>
        </w:tc>
        <w:tc>
          <w:tcPr>
            <w:tcW w:w="5241" w:type="dxa"/>
            <w:shd w:val="clear" w:color="auto" w:fill="auto"/>
            <w:noWrap w:val="0"/>
            <w:vAlign w:val="center"/>
          </w:tcPr>
          <w:p w14:paraId="77D8F5CC">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420" w:firstLineChars="200"/>
              <w:textAlignment w:val="baseline"/>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w:t>
            </w:r>
            <w:r>
              <w:rPr>
                <w:rFonts w:hint="eastAsia" w:cs="宋体"/>
                <w:color w:val="auto"/>
                <w:kern w:val="2"/>
                <w:sz w:val="21"/>
                <w:szCs w:val="21"/>
                <w:highlight w:val="none"/>
                <w:lang w:val="en-US" w:eastAsia="zh-CN" w:bidi="ar-SA"/>
              </w:rPr>
              <w:t>万元</w:t>
            </w:r>
            <w:r>
              <w:rPr>
                <w:rFonts w:hint="eastAsia" w:ascii="宋体" w:hAnsi="宋体" w:eastAsia="宋体" w:cs="宋体"/>
                <w:color w:val="auto"/>
                <w:kern w:val="2"/>
                <w:sz w:val="21"/>
                <w:szCs w:val="21"/>
                <w:highlight w:val="none"/>
                <w:lang w:val="en-US" w:eastAsia="zh-CN" w:bidi="ar-SA"/>
              </w:rPr>
              <w:t>以上，不足5万元</w:t>
            </w:r>
          </w:p>
        </w:tc>
        <w:tc>
          <w:tcPr>
            <w:tcW w:w="1227" w:type="dxa"/>
            <w:noWrap w:val="0"/>
            <w:vAlign w:val="center"/>
          </w:tcPr>
          <w:p w14:paraId="0A246397">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r>
      <w:tr w14:paraId="1B601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1642" w:type="dxa"/>
            <w:vMerge w:val="continue"/>
            <w:noWrap w:val="0"/>
            <w:vAlign w:val="center"/>
          </w:tcPr>
          <w:p w14:paraId="29C4D714">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b/>
                <w:bCs/>
                <w:color w:val="auto"/>
                <w:sz w:val="21"/>
                <w:szCs w:val="21"/>
                <w:highlight w:val="none"/>
              </w:rPr>
            </w:pPr>
          </w:p>
        </w:tc>
        <w:tc>
          <w:tcPr>
            <w:tcW w:w="5241" w:type="dxa"/>
            <w:shd w:val="clear" w:color="auto" w:fill="auto"/>
            <w:noWrap w:val="0"/>
            <w:vAlign w:val="center"/>
          </w:tcPr>
          <w:p w14:paraId="52400D23">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420" w:firstLineChars="200"/>
              <w:textAlignment w:val="baseline"/>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5万元以上，不足10万元</w:t>
            </w:r>
          </w:p>
        </w:tc>
        <w:tc>
          <w:tcPr>
            <w:tcW w:w="1227" w:type="dxa"/>
            <w:noWrap w:val="0"/>
            <w:vAlign w:val="center"/>
          </w:tcPr>
          <w:p w14:paraId="608CAB2D">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r>
      <w:tr w14:paraId="0DEC7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1642" w:type="dxa"/>
            <w:vMerge w:val="continue"/>
            <w:noWrap w:val="0"/>
            <w:vAlign w:val="center"/>
          </w:tcPr>
          <w:p w14:paraId="34272321">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b/>
                <w:bCs/>
                <w:color w:val="auto"/>
                <w:sz w:val="21"/>
                <w:szCs w:val="21"/>
                <w:highlight w:val="none"/>
              </w:rPr>
            </w:pPr>
          </w:p>
        </w:tc>
        <w:tc>
          <w:tcPr>
            <w:tcW w:w="5241" w:type="dxa"/>
            <w:shd w:val="clear" w:color="auto" w:fill="auto"/>
            <w:noWrap w:val="0"/>
            <w:vAlign w:val="center"/>
          </w:tcPr>
          <w:p w14:paraId="02E14181">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420" w:firstLineChars="200"/>
              <w:textAlignment w:val="baseline"/>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10万元以上</w:t>
            </w:r>
          </w:p>
        </w:tc>
        <w:tc>
          <w:tcPr>
            <w:tcW w:w="1227" w:type="dxa"/>
            <w:noWrap w:val="0"/>
            <w:vAlign w:val="center"/>
          </w:tcPr>
          <w:p w14:paraId="4B510D18">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r>
    </w:tbl>
    <w:p w14:paraId="7BD35C6C">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p w14:paraId="249C05F0">
      <w:pPr>
        <w:rPr>
          <w:rFonts w:hint="eastAsia" w:ascii="宋体" w:hAnsi="宋体" w:eastAsia="宋体" w:cs="宋体"/>
          <w:sz w:val="21"/>
          <w:szCs w:val="21"/>
          <w:highlight w:val="none"/>
        </w:rPr>
      </w:pPr>
    </w:p>
    <w:tbl>
      <w:tblPr>
        <w:tblStyle w:val="8"/>
        <w:tblW w:w="475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23"/>
        <w:gridCol w:w="5505"/>
        <w:gridCol w:w="1287"/>
      </w:tblGrid>
      <w:tr w14:paraId="168C3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8110" w:type="dxa"/>
            <w:gridSpan w:val="3"/>
            <w:noWrap w:val="0"/>
            <w:vAlign w:val="center"/>
          </w:tcPr>
          <w:p w14:paraId="1B79FC43">
            <w:pPr>
              <w:jc w:val="center"/>
              <w:rPr>
                <w:rFonts w:hint="eastAsia" w:ascii="宋体" w:hAnsi="宋体" w:eastAsia="宋体" w:cs="宋体"/>
                <w:bCs/>
                <w:color w:val="auto"/>
                <w:sz w:val="21"/>
                <w:szCs w:val="21"/>
                <w:highlight w:val="none"/>
                <w:lang w:eastAsia="zh-CN"/>
              </w:rPr>
            </w:pPr>
            <w:r>
              <w:rPr>
                <w:rFonts w:hint="eastAsia" w:ascii="宋体" w:hAnsi="宋体" w:cs="宋体"/>
                <w:bCs/>
                <w:color w:val="auto"/>
                <w:sz w:val="21"/>
                <w:szCs w:val="21"/>
                <w:highlight w:val="none"/>
                <w:lang w:eastAsia="zh-CN"/>
              </w:rPr>
              <w:t>（一）生态环境监测管理类</w:t>
            </w:r>
          </w:p>
        </w:tc>
      </w:tr>
      <w:tr w14:paraId="51065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1641" w:type="dxa"/>
            <w:noWrap w:val="0"/>
            <w:vAlign w:val="center"/>
          </w:tcPr>
          <w:p w14:paraId="385A8FE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469" w:type="dxa"/>
            <w:gridSpan w:val="2"/>
            <w:noWrap w:val="0"/>
            <w:vAlign w:val="center"/>
          </w:tcPr>
          <w:p w14:paraId="1D104B24">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w:t>
            </w:r>
          </w:p>
        </w:tc>
      </w:tr>
      <w:tr w14:paraId="6C7A0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1641" w:type="dxa"/>
            <w:noWrap w:val="0"/>
            <w:vAlign w:val="center"/>
          </w:tcPr>
          <w:p w14:paraId="6A42AD6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6469" w:type="dxa"/>
            <w:gridSpan w:val="2"/>
            <w:noWrap w:val="0"/>
            <w:vAlign w:val="center"/>
          </w:tcPr>
          <w:p w14:paraId="027CA23F">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strike w:val="0"/>
                <w:dstrike w:val="0"/>
                <w:color w:val="auto"/>
                <w:sz w:val="21"/>
                <w:szCs w:val="21"/>
                <w:highlight w:val="none"/>
              </w:rPr>
              <w:t>从事放射性污染监测的生态环境监测机构未取得许可证或者未按照许可证规定开展监测业务的</w:t>
            </w:r>
          </w:p>
        </w:tc>
      </w:tr>
      <w:tr w14:paraId="5745E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9" w:hRule="atLeast"/>
          <w:jc w:val="center"/>
        </w:trPr>
        <w:tc>
          <w:tcPr>
            <w:tcW w:w="1641" w:type="dxa"/>
            <w:noWrap w:val="0"/>
            <w:vAlign w:val="center"/>
          </w:tcPr>
          <w:p w14:paraId="71C9C37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6469" w:type="dxa"/>
            <w:gridSpan w:val="2"/>
            <w:noWrap w:val="0"/>
            <w:vAlign w:val="center"/>
          </w:tcPr>
          <w:p w14:paraId="686EE5FF">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《中华人民共和国生态环境法典》第六百一十一条  国家对从事放射性污染防治的专业人员实行资格管理制度，对从事放射性污染监测工作的机构实行资质管理制度。</w:t>
            </w:r>
          </w:p>
          <w:p w14:paraId="3794BB7F">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从事放射性污染监测工作的机构，应当具备下列条件，经国务院生态环境主管部门依法审查合格，取得资质证书后，方可在资质许可范围内从事放射性污染监测工作：</w:t>
            </w:r>
          </w:p>
          <w:p w14:paraId="221452E3">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（一）有法人资格；</w:t>
            </w:r>
          </w:p>
          <w:p w14:paraId="6093B90B">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（二）有与所开展监测工作相匹配的专业技术人员；</w:t>
            </w:r>
          </w:p>
          <w:p w14:paraId="72EE8D4C">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（三）有满足相关标准规范要求的工作场所、实验条件、设施、设备；</w:t>
            </w:r>
          </w:p>
          <w:p w14:paraId="15F90A87">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（四）有健全的质量管理体系。</w:t>
            </w:r>
          </w:p>
        </w:tc>
      </w:tr>
      <w:tr w14:paraId="039F1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7" w:hRule="atLeast"/>
          <w:jc w:val="center"/>
        </w:trPr>
        <w:tc>
          <w:tcPr>
            <w:tcW w:w="1641" w:type="dxa"/>
            <w:noWrap w:val="0"/>
            <w:vAlign w:val="center"/>
          </w:tcPr>
          <w:p w14:paraId="13BFFE3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6469" w:type="dxa"/>
            <w:gridSpan w:val="2"/>
            <w:noWrap w:val="0"/>
            <w:vAlign w:val="center"/>
          </w:tcPr>
          <w:p w14:paraId="65900582">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《中华人民共和国生态环境法典》第一千零八十九条第二款  违反本法规定，从事放射性污染监测的生态环境监测机构未取得许可证或者未按照许可证规定开展监测业务的，由生态环境主管部门责令改正，没收违法所得，并处五万元以上五十万元以下的罚款；拒不改正的，报经有批准权的人民政府批准，责令停业、关闭。</w:t>
            </w:r>
          </w:p>
        </w:tc>
      </w:tr>
      <w:tr w14:paraId="625A5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1641" w:type="dxa"/>
            <w:noWrap w:val="0"/>
            <w:vAlign w:val="center"/>
          </w:tcPr>
          <w:p w14:paraId="423EAA5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243" w:type="dxa"/>
            <w:noWrap w:val="0"/>
            <w:vAlign w:val="center"/>
          </w:tcPr>
          <w:p w14:paraId="056F973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226" w:type="dxa"/>
            <w:noWrap w:val="0"/>
            <w:vAlign w:val="center"/>
          </w:tcPr>
          <w:p w14:paraId="196BDF0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09B1A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1641" w:type="dxa"/>
            <w:vMerge w:val="restart"/>
            <w:noWrap w:val="0"/>
            <w:vAlign w:val="center"/>
          </w:tcPr>
          <w:p w14:paraId="421C508E">
            <w:pPr>
              <w:keepNext w:val="0"/>
              <w:keepLines w:val="0"/>
              <w:widowControl/>
              <w:suppressLineNumbers w:val="0"/>
              <w:jc w:val="center"/>
              <w:rPr>
                <w:rFonts w:hint="eastAsia" w:ascii="宋体" w:hAnsi="宋体" w:eastAsia="宋体" w:cs="宋体"/>
                <w:color w:val="auto"/>
                <w:sz w:val="21"/>
                <w:szCs w:val="21"/>
                <w:highlight w:val="none"/>
              </w:rPr>
            </w:pPr>
            <w:r>
              <w:rPr>
                <w:rFonts w:hint="eastAsia" w:ascii="宋体" w:hAnsi="宋体" w:eastAsia="宋体" w:cs="宋体"/>
                <w:b w:val="0"/>
                <w:bCs w:val="0"/>
                <w:color w:val="000000"/>
                <w:kern w:val="0"/>
                <w:sz w:val="21"/>
                <w:szCs w:val="21"/>
                <w:highlight w:val="none"/>
                <w:lang w:val="en-US" w:eastAsia="zh-CN" w:bidi="ar"/>
              </w:rPr>
              <w:t>涉及服务对象（环境质量监测站点）数量</w:t>
            </w:r>
          </w:p>
        </w:tc>
        <w:tc>
          <w:tcPr>
            <w:tcW w:w="5243" w:type="dxa"/>
            <w:noWrap w:val="0"/>
            <w:vAlign w:val="center"/>
          </w:tcPr>
          <w:p w14:paraId="321ACE46">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1家（个）</w:t>
            </w:r>
          </w:p>
        </w:tc>
        <w:tc>
          <w:tcPr>
            <w:tcW w:w="1226" w:type="dxa"/>
            <w:noWrap w:val="0"/>
            <w:vAlign w:val="center"/>
          </w:tcPr>
          <w:p w14:paraId="61A7130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p>
        </w:tc>
      </w:tr>
      <w:tr w14:paraId="0D987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1641" w:type="dxa"/>
            <w:vMerge w:val="continue"/>
            <w:noWrap w:val="0"/>
            <w:vAlign w:val="center"/>
          </w:tcPr>
          <w:p w14:paraId="01C8702C">
            <w:pPr>
              <w:jc w:val="center"/>
              <w:rPr>
                <w:rFonts w:hint="eastAsia" w:ascii="宋体" w:hAnsi="宋体" w:eastAsia="宋体" w:cs="宋体"/>
                <w:color w:val="auto"/>
                <w:sz w:val="21"/>
                <w:szCs w:val="21"/>
                <w:highlight w:val="none"/>
              </w:rPr>
            </w:pPr>
          </w:p>
        </w:tc>
        <w:tc>
          <w:tcPr>
            <w:tcW w:w="5243" w:type="dxa"/>
            <w:noWrap w:val="0"/>
            <w:vAlign w:val="center"/>
          </w:tcPr>
          <w:p w14:paraId="0D993BE6">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2家（个）</w:t>
            </w:r>
          </w:p>
        </w:tc>
        <w:tc>
          <w:tcPr>
            <w:tcW w:w="1226" w:type="dxa"/>
            <w:noWrap w:val="0"/>
            <w:vAlign w:val="center"/>
          </w:tcPr>
          <w:p w14:paraId="375D026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p>
        </w:tc>
      </w:tr>
      <w:tr w14:paraId="2A84B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1641" w:type="dxa"/>
            <w:vMerge w:val="continue"/>
            <w:noWrap w:val="0"/>
            <w:vAlign w:val="center"/>
          </w:tcPr>
          <w:p w14:paraId="247A0D37">
            <w:pPr>
              <w:jc w:val="center"/>
              <w:rPr>
                <w:rFonts w:hint="eastAsia" w:ascii="宋体" w:hAnsi="宋体" w:eastAsia="宋体" w:cs="宋体"/>
                <w:color w:val="auto"/>
                <w:sz w:val="21"/>
                <w:szCs w:val="21"/>
                <w:highlight w:val="none"/>
              </w:rPr>
            </w:pPr>
          </w:p>
        </w:tc>
        <w:tc>
          <w:tcPr>
            <w:tcW w:w="5243" w:type="dxa"/>
            <w:noWrap w:val="0"/>
            <w:vAlign w:val="center"/>
          </w:tcPr>
          <w:p w14:paraId="652BD73B">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3家（个）以上，不足5家（个）</w:t>
            </w:r>
          </w:p>
        </w:tc>
        <w:tc>
          <w:tcPr>
            <w:tcW w:w="1226" w:type="dxa"/>
            <w:noWrap w:val="0"/>
            <w:vAlign w:val="center"/>
          </w:tcPr>
          <w:p w14:paraId="5ED3471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p>
        </w:tc>
      </w:tr>
      <w:tr w14:paraId="0A751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1641" w:type="dxa"/>
            <w:vMerge w:val="continue"/>
            <w:noWrap w:val="0"/>
            <w:vAlign w:val="center"/>
          </w:tcPr>
          <w:p w14:paraId="0F1244F1">
            <w:pPr>
              <w:jc w:val="center"/>
              <w:rPr>
                <w:rFonts w:hint="eastAsia" w:ascii="宋体" w:hAnsi="宋体" w:eastAsia="宋体" w:cs="宋体"/>
                <w:color w:val="auto"/>
                <w:sz w:val="21"/>
                <w:szCs w:val="21"/>
                <w:highlight w:val="none"/>
              </w:rPr>
            </w:pPr>
          </w:p>
        </w:tc>
        <w:tc>
          <w:tcPr>
            <w:tcW w:w="5243" w:type="dxa"/>
            <w:noWrap w:val="0"/>
            <w:vAlign w:val="center"/>
          </w:tcPr>
          <w:p w14:paraId="31AB69CD">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5家（个）以上</w:t>
            </w:r>
          </w:p>
        </w:tc>
        <w:tc>
          <w:tcPr>
            <w:tcW w:w="1226" w:type="dxa"/>
            <w:noWrap w:val="0"/>
            <w:vAlign w:val="center"/>
          </w:tcPr>
          <w:p w14:paraId="06323EC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p>
        </w:tc>
      </w:tr>
      <w:tr w14:paraId="6AB8C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1641" w:type="dxa"/>
            <w:vMerge w:val="restart"/>
            <w:noWrap w:val="0"/>
            <w:vAlign w:val="center"/>
          </w:tcPr>
          <w:p w14:paraId="4743A550">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right="0" w:rightChars="0" w:firstLine="0"/>
              <w:jc w:val="center"/>
              <w:textAlignment w:val="baseline"/>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违法所得</w:t>
            </w:r>
          </w:p>
          <w:p w14:paraId="34B3A064">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b/>
                <w:bCs/>
                <w:color w:val="auto"/>
                <w:sz w:val="21"/>
                <w:szCs w:val="21"/>
                <w:highlight w:val="none"/>
              </w:rPr>
            </w:pPr>
            <w:r>
              <w:rPr>
                <w:rFonts w:hint="eastAsia" w:ascii="宋体" w:hAnsi="宋体" w:eastAsia="宋体" w:cs="宋体"/>
                <w:b w:val="0"/>
                <w:bCs w:val="0"/>
                <w:color w:val="auto"/>
                <w:sz w:val="21"/>
                <w:szCs w:val="21"/>
                <w:highlight w:val="none"/>
                <w:lang w:val="en-US" w:eastAsia="zh-CN"/>
              </w:rPr>
              <w:t>金额</w:t>
            </w:r>
          </w:p>
        </w:tc>
        <w:tc>
          <w:tcPr>
            <w:tcW w:w="5243" w:type="dxa"/>
            <w:noWrap w:val="0"/>
            <w:vAlign w:val="center"/>
          </w:tcPr>
          <w:p w14:paraId="3EC5810A">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420" w:firstLineChars="20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2"/>
                <w:sz w:val="21"/>
                <w:szCs w:val="21"/>
                <w:highlight w:val="none"/>
                <w:lang w:val="en-US" w:eastAsia="zh-CN" w:bidi="ar-SA"/>
              </w:rPr>
              <w:t>1万元以下</w:t>
            </w:r>
          </w:p>
        </w:tc>
        <w:tc>
          <w:tcPr>
            <w:tcW w:w="1226" w:type="dxa"/>
            <w:noWrap w:val="0"/>
            <w:vAlign w:val="center"/>
          </w:tcPr>
          <w:p w14:paraId="72B83768">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r>
      <w:tr w14:paraId="754C3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1641" w:type="dxa"/>
            <w:vMerge w:val="continue"/>
            <w:noWrap w:val="0"/>
            <w:vAlign w:val="center"/>
          </w:tcPr>
          <w:p w14:paraId="37A74CAC">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b/>
                <w:bCs/>
                <w:color w:val="auto"/>
                <w:sz w:val="21"/>
                <w:szCs w:val="21"/>
                <w:highlight w:val="none"/>
              </w:rPr>
            </w:pPr>
          </w:p>
        </w:tc>
        <w:tc>
          <w:tcPr>
            <w:tcW w:w="5243" w:type="dxa"/>
            <w:noWrap w:val="0"/>
            <w:vAlign w:val="center"/>
          </w:tcPr>
          <w:p w14:paraId="4D1D733E">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420" w:firstLineChars="20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2"/>
                <w:sz w:val="21"/>
                <w:szCs w:val="21"/>
                <w:highlight w:val="none"/>
                <w:lang w:val="en-US" w:eastAsia="zh-CN" w:bidi="ar-SA"/>
              </w:rPr>
              <w:t>1</w:t>
            </w:r>
            <w:r>
              <w:rPr>
                <w:rFonts w:hint="eastAsia" w:cs="宋体"/>
                <w:color w:val="auto"/>
                <w:kern w:val="2"/>
                <w:sz w:val="21"/>
                <w:szCs w:val="21"/>
                <w:highlight w:val="none"/>
                <w:lang w:val="en-US" w:eastAsia="zh-CN" w:bidi="ar-SA"/>
              </w:rPr>
              <w:t>万元</w:t>
            </w:r>
            <w:r>
              <w:rPr>
                <w:rFonts w:hint="eastAsia" w:ascii="宋体" w:hAnsi="宋体" w:eastAsia="宋体" w:cs="宋体"/>
                <w:color w:val="auto"/>
                <w:kern w:val="2"/>
                <w:sz w:val="21"/>
                <w:szCs w:val="21"/>
                <w:highlight w:val="none"/>
                <w:lang w:val="en-US" w:eastAsia="zh-CN" w:bidi="ar-SA"/>
              </w:rPr>
              <w:t>以上，不足5万元</w:t>
            </w:r>
          </w:p>
        </w:tc>
        <w:tc>
          <w:tcPr>
            <w:tcW w:w="1226" w:type="dxa"/>
            <w:noWrap w:val="0"/>
            <w:vAlign w:val="center"/>
          </w:tcPr>
          <w:p w14:paraId="4FA5CE60">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r>
      <w:tr w14:paraId="205B9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1641" w:type="dxa"/>
            <w:vMerge w:val="continue"/>
            <w:noWrap w:val="0"/>
            <w:vAlign w:val="center"/>
          </w:tcPr>
          <w:p w14:paraId="2BB2BE32">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b/>
                <w:bCs/>
                <w:color w:val="auto"/>
                <w:sz w:val="21"/>
                <w:szCs w:val="21"/>
                <w:highlight w:val="none"/>
              </w:rPr>
            </w:pPr>
          </w:p>
        </w:tc>
        <w:tc>
          <w:tcPr>
            <w:tcW w:w="5243" w:type="dxa"/>
            <w:noWrap w:val="0"/>
            <w:vAlign w:val="center"/>
          </w:tcPr>
          <w:p w14:paraId="15AAEA50">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420" w:firstLineChars="20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2"/>
                <w:sz w:val="21"/>
                <w:szCs w:val="21"/>
                <w:highlight w:val="none"/>
                <w:lang w:val="en-US" w:eastAsia="zh-CN" w:bidi="ar-SA"/>
              </w:rPr>
              <w:t>5万元以上，不足10万元</w:t>
            </w:r>
          </w:p>
        </w:tc>
        <w:tc>
          <w:tcPr>
            <w:tcW w:w="1226" w:type="dxa"/>
            <w:noWrap w:val="0"/>
            <w:vAlign w:val="center"/>
          </w:tcPr>
          <w:p w14:paraId="176D4064">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r>
      <w:tr w14:paraId="2F658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1641" w:type="dxa"/>
            <w:vMerge w:val="continue"/>
            <w:noWrap w:val="0"/>
            <w:vAlign w:val="center"/>
          </w:tcPr>
          <w:p w14:paraId="703D43FE">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b/>
                <w:bCs/>
                <w:color w:val="auto"/>
                <w:sz w:val="21"/>
                <w:szCs w:val="21"/>
                <w:highlight w:val="none"/>
              </w:rPr>
            </w:pPr>
          </w:p>
        </w:tc>
        <w:tc>
          <w:tcPr>
            <w:tcW w:w="5243" w:type="dxa"/>
            <w:noWrap w:val="0"/>
            <w:vAlign w:val="center"/>
          </w:tcPr>
          <w:p w14:paraId="5E13BC30">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420" w:firstLineChars="20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2"/>
                <w:sz w:val="21"/>
                <w:szCs w:val="21"/>
                <w:highlight w:val="none"/>
                <w:lang w:val="en-US" w:eastAsia="zh-CN" w:bidi="ar-SA"/>
              </w:rPr>
              <w:t>10万元以上</w:t>
            </w:r>
          </w:p>
        </w:tc>
        <w:tc>
          <w:tcPr>
            <w:tcW w:w="1226" w:type="dxa"/>
            <w:noWrap w:val="0"/>
            <w:vAlign w:val="center"/>
          </w:tcPr>
          <w:p w14:paraId="0A9C275E">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r>
    </w:tbl>
    <w:p w14:paraId="2FFE0C9C">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p w14:paraId="3F9BDF07">
      <w:pPr>
        <w:rPr>
          <w:rFonts w:hint="eastAsia" w:ascii="宋体" w:hAnsi="宋体" w:eastAsia="宋体" w:cs="宋体"/>
          <w:sz w:val="21"/>
          <w:szCs w:val="21"/>
          <w:highlight w:val="none"/>
        </w:rPr>
      </w:pPr>
    </w:p>
    <w:tbl>
      <w:tblPr>
        <w:tblStyle w:val="8"/>
        <w:tblW w:w="475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25"/>
        <w:gridCol w:w="5502"/>
        <w:gridCol w:w="1288"/>
      </w:tblGrid>
      <w:tr w14:paraId="7F130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8110" w:type="dxa"/>
            <w:gridSpan w:val="3"/>
            <w:noWrap w:val="0"/>
            <w:vAlign w:val="center"/>
          </w:tcPr>
          <w:p w14:paraId="2C2DE613">
            <w:pPr>
              <w:jc w:val="center"/>
              <w:rPr>
                <w:rFonts w:hint="eastAsia" w:ascii="宋体" w:hAnsi="宋体" w:eastAsia="宋体" w:cs="宋体"/>
                <w:bCs/>
                <w:color w:val="auto"/>
                <w:sz w:val="21"/>
                <w:szCs w:val="21"/>
                <w:highlight w:val="none"/>
                <w:lang w:eastAsia="zh-CN"/>
              </w:rPr>
            </w:pPr>
            <w:r>
              <w:rPr>
                <w:rFonts w:hint="eastAsia" w:ascii="宋体" w:hAnsi="宋体" w:cs="宋体"/>
                <w:color w:val="auto"/>
                <w:sz w:val="21"/>
                <w:szCs w:val="21"/>
                <w:highlight w:val="none"/>
                <w:lang w:eastAsia="zh-CN"/>
              </w:rPr>
              <w:t>（一）生态环境监测管理类</w:t>
            </w:r>
          </w:p>
        </w:tc>
      </w:tr>
      <w:tr w14:paraId="42BDA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1643" w:type="dxa"/>
            <w:noWrap w:val="0"/>
            <w:vAlign w:val="center"/>
          </w:tcPr>
          <w:p w14:paraId="0CC4793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467" w:type="dxa"/>
            <w:gridSpan w:val="2"/>
            <w:noWrap w:val="0"/>
            <w:vAlign w:val="center"/>
          </w:tcPr>
          <w:p w14:paraId="319E0597">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w:t>
            </w:r>
          </w:p>
        </w:tc>
      </w:tr>
      <w:tr w14:paraId="6AE26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1643" w:type="dxa"/>
            <w:noWrap w:val="0"/>
            <w:vAlign w:val="center"/>
          </w:tcPr>
          <w:p w14:paraId="0911926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6467" w:type="dxa"/>
            <w:gridSpan w:val="2"/>
            <w:noWrap w:val="0"/>
            <w:vAlign w:val="center"/>
          </w:tcPr>
          <w:p w14:paraId="7FF5FF49">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strike w:val="0"/>
                <w:dstrike w:val="0"/>
                <w:color w:val="auto"/>
                <w:sz w:val="21"/>
                <w:szCs w:val="21"/>
                <w:highlight w:val="none"/>
              </w:rPr>
              <w:t>生态环境监测机构对监测数据弄虚作假的</w:t>
            </w:r>
          </w:p>
        </w:tc>
      </w:tr>
      <w:tr w14:paraId="6C555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1643" w:type="dxa"/>
            <w:noWrap w:val="0"/>
            <w:vAlign w:val="center"/>
          </w:tcPr>
          <w:p w14:paraId="1869732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6467" w:type="dxa"/>
            <w:gridSpan w:val="2"/>
            <w:noWrap w:val="0"/>
            <w:vAlign w:val="center"/>
          </w:tcPr>
          <w:p w14:paraId="048AE60C">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《中华人民共和国生态环境法典》第八十条</w:t>
            </w:r>
            <w:r>
              <w:rPr>
                <w:rFonts w:hint="eastAsia" w:ascii="宋体" w:hAnsi="宋体" w:eastAsia="宋体" w:cs="宋体"/>
                <w:color w:val="auto"/>
                <w:sz w:val="21"/>
                <w:szCs w:val="21"/>
                <w:highlight w:val="none"/>
                <w:lang w:val="en-US" w:eastAsia="zh-CN"/>
              </w:rPr>
              <w:t>第一款</w:t>
            </w:r>
            <w:r>
              <w:rPr>
                <w:rFonts w:hint="eastAsia" w:ascii="宋体" w:hAnsi="宋体" w:eastAsia="宋体" w:cs="宋体"/>
                <w:color w:val="auto"/>
                <w:sz w:val="21"/>
                <w:szCs w:val="21"/>
                <w:highlight w:val="none"/>
              </w:rPr>
              <w:t>　禁止通过干扰采样、调换样品、改变监测条件、虚假监测、篡改或者伪造记录等方式对生态环境监测数据弄虚作假或者指使对生态环境监测数据弄虚作假。</w:t>
            </w:r>
          </w:p>
        </w:tc>
      </w:tr>
      <w:tr w14:paraId="25F90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43" w:type="dxa"/>
            <w:noWrap w:val="0"/>
            <w:vAlign w:val="center"/>
          </w:tcPr>
          <w:p w14:paraId="29B9880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6467" w:type="dxa"/>
            <w:gridSpan w:val="2"/>
            <w:noWrap w:val="0"/>
            <w:vAlign w:val="center"/>
          </w:tcPr>
          <w:p w14:paraId="268AD58D">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《中华人民共和国生态环境法典》第一千零九十一条  违反本法规定，生态环境监测机构对监测数据弄虚作假的，由负有生态环境保护监督管理职责的部门、机构按照职责分工没收违法所得，并处十万元以上五十万元以下的罚款；</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w:t>
            </w:r>
          </w:p>
          <w:p w14:paraId="7C3196D6">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有前款规定情形的，由负有生态环境保护监督管理职责的部门、机构按照职责分工对直接负责的主管人员和其他直接责任人员处一万元以上五万元以下的罚款，五年内禁止从事前款规定的业务</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w:t>
            </w:r>
          </w:p>
        </w:tc>
      </w:tr>
      <w:tr w14:paraId="5AEBF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1643" w:type="dxa"/>
            <w:noWrap w:val="0"/>
            <w:vAlign w:val="center"/>
          </w:tcPr>
          <w:p w14:paraId="650553B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240" w:type="dxa"/>
            <w:noWrap w:val="0"/>
            <w:vAlign w:val="center"/>
          </w:tcPr>
          <w:p w14:paraId="135BEAA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227" w:type="dxa"/>
            <w:noWrap w:val="0"/>
            <w:vAlign w:val="center"/>
          </w:tcPr>
          <w:p w14:paraId="6814E1B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53B03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43" w:type="dxa"/>
            <w:vMerge w:val="restart"/>
            <w:noWrap w:val="0"/>
            <w:vAlign w:val="center"/>
          </w:tcPr>
          <w:p w14:paraId="5F2B4B93">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涉案监测</w:t>
            </w:r>
          </w:p>
          <w:p w14:paraId="26BD2F2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报告数量</w:t>
            </w:r>
          </w:p>
        </w:tc>
        <w:tc>
          <w:tcPr>
            <w:tcW w:w="5240" w:type="dxa"/>
            <w:noWrap w:val="0"/>
            <w:vAlign w:val="center"/>
          </w:tcPr>
          <w:p w14:paraId="44F72E92">
            <w:pPr>
              <w:keepNext w:val="0"/>
              <w:keepLines w:val="0"/>
              <w:pageBreakBefore w:val="0"/>
              <w:widowControl w:val="0"/>
              <w:kinsoku/>
              <w:wordWrap/>
              <w:overflowPunct/>
              <w:topLinePunct w:val="0"/>
              <w:autoSpaceDE/>
              <w:autoSpaceDN/>
              <w:bidi w:val="0"/>
              <w:adjustRightInd/>
              <w:snapToGrid w:val="0"/>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1份</w:t>
            </w:r>
          </w:p>
        </w:tc>
        <w:tc>
          <w:tcPr>
            <w:tcW w:w="1227" w:type="dxa"/>
            <w:noWrap w:val="0"/>
            <w:vAlign w:val="center"/>
          </w:tcPr>
          <w:p w14:paraId="534585D7">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p>
        </w:tc>
      </w:tr>
      <w:tr w14:paraId="4DF6C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43" w:type="dxa"/>
            <w:vMerge w:val="continue"/>
            <w:noWrap w:val="0"/>
            <w:vAlign w:val="center"/>
          </w:tcPr>
          <w:p w14:paraId="57AE3CA6">
            <w:pPr>
              <w:jc w:val="center"/>
              <w:rPr>
                <w:rFonts w:hint="eastAsia" w:ascii="宋体" w:hAnsi="宋体" w:eastAsia="宋体" w:cs="宋体"/>
                <w:color w:val="auto"/>
                <w:sz w:val="21"/>
                <w:szCs w:val="21"/>
                <w:highlight w:val="none"/>
              </w:rPr>
            </w:pPr>
          </w:p>
        </w:tc>
        <w:tc>
          <w:tcPr>
            <w:tcW w:w="5240" w:type="dxa"/>
            <w:noWrap w:val="0"/>
            <w:vAlign w:val="center"/>
          </w:tcPr>
          <w:p w14:paraId="781FB452">
            <w:pPr>
              <w:keepNext w:val="0"/>
              <w:keepLines w:val="0"/>
              <w:pageBreakBefore w:val="0"/>
              <w:widowControl w:val="0"/>
              <w:kinsoku/>
              <w:wordWrap/>
              <w:overflowPunct/>
              <w:topLinePunct w:val="0"/>
              <w:autoSpaceDE/>
              <w:autoSpaceDN/>
              <w:bidi w:val="0"/>
              <w:adjustRightInd/>
              <w:snapToGrid w:val="0"/>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2份以上</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不足5份</w:t>
            </w:r>
          </w:p>
        </w:tc>
        <w:tc>
          <w:tcPr>
            <w:tcW w:w="1227" w:type="dxa"/>
            <w:noWrap w:val="0"/>
            <w:vAlign w:val="center"/>
          </w:tcPr>
          <w:p w14:paraId="38632027">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p>
        </w:tc>
      </w:tr>
      <w:tr w14:paraId="1A8F6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43" w:type="dxa"/>
            <w:vMerge w:val="continue"/>
            <w:noWrap w:val="0"/>
            <w:vAlign w:val="center"/>
          </w:tcPr>
          <w:p w14:paraId="5DFC1703">
            <w:pPr>
              <w:jc w:val="center"/>
              <w:rPr>
                <w:rFonts w:hint="eastAsia" w:ascii="宋体" w:hAnsi="宋体" w:eastAsia="宋体" w:cs="宋体"/>
                <w:color w:val="auto"/>
                <w:sz w:val="21"/>
                <w:szCs w:val="21"/>
                <w:highlight w:val="none"/>
              </w:rPr>
            </w:pPr>
          </w:p>
        </w:tc>
        <w:tc>
          <w:tcPr>
            <w:tcW w:w="5240" w:type="dxa"/>
            <w:noWrap w:val="0"/>
            <w:vAlign w:val="center"/>
          </w:tcPr>
          <w:p w14:paraId="3EBFBBD0">
            <w:pPr>
              <w:keepNext w:val="0"/>
              <w:keepLines w:val="0"/>
              <w:pageBreakBefore w:val="0"/>
              <w:widowControl w:val="0"/>
              <w:kinsoku/>
              <w:wordWrap/>
              <w:overflowPunct/>
              <w:topLinePunct w:val="0"/>
              <w:autoSpaceDE/>
              <w:autoSpaceDN/>
              <w:bidi w:val="0"/>
              <w:adjustRightInd/>
              <w:snapToGrid w:val="0"/>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5份以上</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不足</w:t>
            </w: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份</w:t>
            </w:r>
          </w:p>
        </w:tc>
        <w:tc>
          <w:tcPr>
            <w:tcW w:w="1227" w:type="dxa"/>
            <w:noWrap w:val="0"/>
            <w:vAlign w:val="center"/>
          </w:tcPr>
          <w:p w14:paraId="779FD09F">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p>
        </w:tc>
      </w:tr>
      <w:tr w14:paraId="58F03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43" w:type="dxa"/>
            <w:vMerge w:val="continue"/>
            <w:noWrap w:val="0"/>
            <w:vAlign w:val="center"/>
          </w:tcPr>
          <w:p w14:paraId="1CC44CAE">
            <w:pPr>
              <w:jc w:val="center"/>
              <w:rPr>
                <w:rFonts w:hint="eastAsia" w:ascii="宋体" w:hAnsi="宋体" w:eastAsia="宋体" w:cs="宋体"/>
                <w:color w:val="auto"/>
                <w:sz w:val="21"/>
                <w:szCs w:val="21"/>
                <w:highlight w:val="none"/>
              </w:rPr>
            </w:pPr>
          </w:p>
        </w:tc>
        <w:tc>
          <w:tcPr>
            <w:tcW w:w="5240" w:type="dxa"/>
            <w:noWrap w:val="0"/>
            <w:vAlign w:val="center"/>
          </w:tcPr>
          <w:p w14:paraId="10AD17AF">
            <w:pPr>
              <w:keepNext w:val="0"/>
              <w:keepLines w:val="0"/>
              <w:pageBreakBefore w:val="0"/>
              <w:widowControl w:val="0"/>
              <w:kinsoku/>
              <w:wordWrap/>
              <w:overflowPunct/>
              <w:topLinePunct w:val="0"/>
              <w:autoSpaceDE/>
              <w:autoSpaceDN/>
              <w:bidi w:val="0"/>
              <w:adjustRightInd/>
              <w:snapToGrid w:val="0"/>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份以上</w:t>
            </w:r>
          </w:p>
        </w:tc>
        <w:tc>
          <w:tcPr>
            <w:tcW w:w="1227" w:type="dxa"/>
            <w:noWrap w:val="0"/>
            <w:vAlign w:val="center"/>
          </w:tcPr>
          <w:p w14:paraId="12C36E4F">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p>
        </w:tc>
      </w:tr>
      <w:tr w14:paraId="063C6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43" w:type="dxa"/>
            <w:vMerge w:val="restart"/>
            <w:noWrap w:val="0"/>
            <w:vAlign w:val="center"/>
          </w:tcPr>
          <w:p w14:paraId="53726154">
            <w:pPr>
              <w:keepNext w:val="0"/>
              <w:keepLines w:val="0"/>
              <w:widowControl/>
              <w:suppressLineNumbers w:val="0"/>
              <w:jc w:val="center"/>
              <w:rPr>
                <w:rFonts w:hint="eastAsia" w:ascii="宋体" w:hAnsi="宋体" w:eastAsia="宋体" w:cs="宋体"/>
                <w:color w:val="auto"/>
                <w:sz w:val="21"/>
                <w:szCs w:val="21"/>
                <w:highlight w:val="none"/>
              </w:rPr>
            </w:pPr>
            <w:r>
              <w:rPr>
                <w:rFonts w:hint="eastAsia" w:ascii="宋体" w:hAnsi="宋体" w:eastAsia="宋体" w:cs="宋体"/>
                <w:b w:val="0"/>
                <w:bCs w:val="0"/>
                <w:color w:val="000000"/>
                <w:kern w:val="0"/>
                <w:sz w:val="21"/>
                <w:szCs w:val="21"/>
                <w:highlight w:val="none"/>
                <w:lang w:val="en-US" w:eastAsia="zh-CN" w:bidi="ar"/>
              </w:rPr>
              <w:t>涉及服务对象数量</w:t>
            </w:r>
          </w:p>
        </w:tc>
        <w:tc>
          <w:tcPr>
            <w:tcW w:w="5240" w:type="dxa"/>
            <w:noWrap w:val="0"/>
            <w:vAlign w:val="center"/>
          </w:tcPr>
          <w:p w14:paraId="2DB83A62">
            <w:pPr>
              <w:keepNext w:val="0"/>
              <w:keepLines w:val="0"/>
              <w:pageBreakBefore w:val="0"/>
              <w:widowControl w:val="0"/>
              <w:kinsoku/>
              <w:wordWrap/>
              <w:overflowPunct/>
              <w:topLinePunct w:val="0"/>
              <w:autoSpaceDE/>
              <w:autoSpaceDN/>
              <w:bidi w:val="0"/>
              <w:adjustRightInd/>
              <w:snapToGrid w:val="0"/>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1家（个）</w:t>
            </w:r>
          </w:p>
        </w:tc>
        <w:tc>
          <w:tcPr>
            <w:tcW w:w="1227" w:type="dxa"/>
            <w:noWrap w:val="0"/>
            <w:vAlign w:val="center"/>
          </w:tcPr>
          <w:p w14:paraId="1FA614F7">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r>
      <w:tr w14:paraId="4834A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43" w:type="dxa"/>
            <w:vMerge w:val="continue"/>
            <w:noWrap w:val="0"/>
            <w:vAlign w:val="center"/>
          </w:tcPr>
          <w:p w14:paraId="02E65568">
            <w:pPr>
              <w:jc w:val="center"/>
              <w:rPr>
                <w:rFonts w:hint="eastAsia" w:ascii="宋体" w:hAnsi="宋体" w:eastAsia="宋体" w:cs="宋体"/>
                <w:color w:val="auto"/>
                <w:sz w:val="21"/>
                <w:szCs w:val="21"/>
                <w:highlight w:val="none"/>
              </w:rPr>
            </w:pPr>
          </w:p>
        </w:tc>
        <w:tc>
          <w:tcPr>
            <w:tcW w:w="5240" w:type="dxa"/>
            <w:noWrap w:val="0"/>
            <w:vAlign w:val="center"/>
          </w:tcPr>
          <w:p w14:paraId="5B55F0BC">
            <w:pPr>
              <w:keepNext w:val="0"/>
              <w:keepLines w:val="0"/>
              <w:pageBreakBefore w:val="0"/>
              <w:widowControl w:val="0"/>
              <w:kinsoku/>
              <w:wordWrap/>
              <w:overflowPunct/>
              <w:topLinePunct w:val="0"/>
              <w:autoSpaceDE/>
              <w:autoSpaceDN/>
              <w:bidi w:val="0"/>
              <w:adjustRightInd/>
              <w:snapToGrid w:val="0"/>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2家（个）</w:t>
            </w:r>
          </w:p>
        </w:tc>
        <w:tc>
          <w:tcPr>
            <w:tcW w:w="1227" w:type="dxa"/>
            <w:noWrap w:val="0"/>
            <w:vAlign w:val="center"/>
          </w:tcPr>
          <w:p w14:paraId="4E0BE90E">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r>
      <w:tr w14:paraId="0622E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43" w:type="dxa"/>
            <w:vMerge w:val="continue"/>
            <w:noWrap w:val="0"/>
            <w:vAlign w:val="center"/>
          </w:tcPr>
          <w:p w14:paraId="36DBA6F6">
            <w:pPr>
              <w:jc w:val="center"/>
              <w:rPr>
                <w:rFonts w:hint="eastAsia" w:ascii="宋体" w:hAnsi="宋体" w:eastAsia="宋体" w:cs="宋体"/>
                <w:color w:val="auto"/>
                <w:sz w:val="21"/>
                <w:szCs w:val="21"/>
                <w:highlight w:val="none"/>
              </w:rPr>
            </w:pPr>
          </w:p>
        </w:tc>
        <w:tc>
          <w:tcPr>
            <w:tcW w:w="5240" w:type="dxa"/>
            <w:noWrap w:val="0"/>
            <w:vAlign w:val="center"/>
          </w:tcPr>
          <w:p w14:paraId="4189398E">
            <w:pPr>
              <w:keepNext w:val="0"/>
              <w:keepLines w:val="0"/>
              <w:pageBreakBefore w:val="0"/>
              <w:widowControl w:val="0"/>
              <w:kinsoku/>
              <w:wordWrap/>
              <w:overflowPunct/>
              <w:topLinePunct w:val="0"/>
              <w:autoSpaceDE/>
              <w:autoSpaceDN/>
              <w:bidi w:val="0"/>
              <w:adjustRightInd/>
              <w:snapToGrid w:val="0"/>
              <w:ind w:firstLine="420" w:firstLineChars="200"/>
              <w:jc w:val="both"/>
              <w:textAlignment w:val="auto"/>
              <w:rPr>
                <w:rFonts w:hint="eastAsia" w:ascii="宋体" w:hAnsi="宋体" w:eastAsia="宋体" w:cs="宋体"/>
                <w:b/>
                <w:bCs/>
                <w:sz w:val="21"/>
                <w:szCs w:val="21"/>
                <w:highlight w:val="none"/>
                <w:lang w:val="en-US" w:eastAsia="zh-CN"/>
              </w:rPr>
            </w:pPr>
            <w:r>
              <w:rPr>
                <w:rFonts w:hint="eastAsia" w:ascii="宋体" w:hAnsi="宋体" w:eastAsia="宋体" w:cs="宋体"/>
                <w:color w:val="auto"/>
                <w:sz w:val="21"/>
                <w:szCs w:val="21"/>
                <w:highlight w:val="none"/>
                <w:lang w:val="en-US" w:eastAsia="zh-CN"/>
              </w:rPr>
              <w:t>3家（个）以上，不足5家（个）</w:t>
            </w:r>
          </w:p>
        </w:tc>
        <w:tc>
          <w:tcPr>
            <w:tcW w:w="1227" w:type="dxa"/>
            <w:noWrap w:val="0"/>
            <w:vAlign w:val="center"/>
          </w:tcPr>
          <w:p w14:paraId="58E827F1">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r>
      <w:tr w14:paraId="6433C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43" w:type="dxa"/>
            <w:vMerge w:val="continue"/>
            <w:noWrap w:val="0"/>
            <w:vAlign w:val="center"/>
          </w:tcPr>
          <w:p w14:paraId="4D2B107B">
            <w:pPr>
              <w:jc w:val="center"/>
              <w:rPr>
                <w:rFonts w:hint="eastAsia" w:ascii="宋体" w:hAnsi="宋体" w:eastAsia="宋体" w:cs="宋体"/>
                <w:color w:val="auto"/>
                <w:sz w:val="21"/>
                <w:szCs w:val="21"/>
                <w:highlight w:val="none"/>
              </w:rPr>
            </w:pPr>
          </w:p>
        </w:tc>
        <w:tc>
          <w:tcPr>
            <w:tcW w:w="5240" w:type="dxa"/>
            <w:noWrap w:val="0"/>
            <w:vAlign w:val="center"/>
          </w:tcPr>
          <w:p w14:paraId="04E4DEDE">
            <w:pPr>
              <w:keepNext w:val="0"/>
              <w:keepLines w:val="0"/>
              <w:pageBreakBefore w:val="0"/>
              <w:widowControl w:val="0"/>
              <w:kinsoku/>
              <w:wordWrap/>
              <w:overflowPunct/>
              <w:topLinePunct w:val="0"/>
              <w:autoSpaceDE/>
              <w:autoSpaceDN/>
              <w:bidi w:val="0"/>
              <w:adjustRightInd/>
              <w:snapToGrid w:val="0"/>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5家（个）以上</w:t>
            </w:r>
          </w:p>
        </w:tc>
        <w:tc>
          <w:tcPr>
            <w:tcW w:w="1227" w:type="dxa"/>
            <w:noWrap w:val="0"/>
            <w:vAlign w:val="center"/>
          </w:tcPr>
          <w:p w14:paraId="7E805200">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r>
      <w:tr w14:paraId="7DA58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1643" w:type="dxa"/>
            <w:vMerge w:val="restart"/>
            <w:noWrap w:val="0"/>
            <w:vAlign w:val="center"/>
          </w:tcPr>
          <w:p w14:paraId="6E9421E7">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right="0" w:rightChars="0" w:firstLine="0"/>
              <w:jc w:val="center"/>
              <w:textAlignment w:val="baseline"/>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违法所得</w:t>
            </w:r>
          </w:p>
          <w:p w14:paraId="03683A22">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lang w:val="en-US" w:eastAsia="zh-CN"/>
              </w:rPr>
              <w:t>金额</w:t>
            </w:r>
          </w:p>
        </w:tc>
        <w:tc>
          <w:tcPr>
            <w:tcW w:w="5240" w:type="dxa"/>
            <w:noWrap w:val="0"/>
            <w:vAlign w:val="center"/>
          </w:tcPr>
          <w:p w14:paraId="12274CD1">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420" w:firstLineChars="200"/>
              <w:textAlignment w:val="baseline"/>
              <w:rPr>
                <w:rFonts w:hint="eastAsia" w:ascii="宋体" w:hAnsi="宋体" w:eastAsia="宋体" w:cs="宋体"/>
                <w:b/>
                <w:bCs/>
                <w:sz w:val="21"/>
                <w:szCs w:val="21"/>
                <w:highlight w:val="none"/>
                <w:lang w:val="en-US" w:eastAsia="zh-CN"/>
              </w:rPr>
            </w:pPr>
            <w:r>
              <w:rPr>
                <w:rFonts w:hint="eastAsia" w:ascii="宋体" w:hAnsi="宋体" w:eastAsia="宋体" w:cs="宋体"/>
                <w:color w:val="auto"/>
                <w:kern w:val="2"/>
                <w:sz w:val="21"/>
                <w:szCs w:val="21"/>
                <w:highlight w:val="none"/>
                <w:lang w:val="en-US" w:eastAsia="zh-CN" w:bidi="ar-SA"/>
              </w:rPr>
              <w:t>1万元以下</w:t>
            </w:r>
          </w:p>
        </w:tc>
        <w:tc>
          <w:tcPr>
            <w:tcW w:w="1227" w:type="dxa"/>
            <w:noWrap w:val="0"/>
            <w:vAlign w:val="center"/>
          </w:tcPr>
          <w:p w14:paraId="05B19D2B">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p>
        </w:tc>
      </w:tr>
      <w:tr w14:paraId="3EBA9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1643" w:type="dxa"/>
            <w:vMerge w:val="continue"/>
            <w:noWrap w:val="0"/>
            <w:vAlign w:val="center"/>
          </w:tcPr>
          <w:p w14:paraId="035658CE">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p>
        </w:tc>
        <w:tc>
          <w:tcPr>
            <w:tcW w:w="5240" w:type="dxa"/>
            <w:noWrap w:val="0"/>
            <w:vAlign w:val="center"/>
          </w:tcPr>
          <w:p w14:paraId="76AE6081">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420" w:firstLineChars="200"/>
              <w:textAlignment w:val="baseline"/>
              <w:rPr>
                <w:rFonts w:hint="eastAsia" w:ascii="宋体" w:hAnsi="宋体" w:eastAsia="宋体" w:cs="宋体"/>
                <w:b/>
                <w:bCs/>
                <w:sz w:val="21"/>
                <w:szCs w:val="21"/>
                <w:highlight w:val="none"/>
                <w:lang w:val="en-US" w:eastAsia="zh-CN"/>
              </w:rPr>
            </w:pPr>
            <w:r>
              <w:rPr>
                <w:rFonts w:hint="eastAsia" w:ascii="宋体" w:hAnsi="宋体" w:eastAsia="宋体" w:cs="宋体"/>
                <w:color w:val="auto"/>
                <w:kern w:val="2"/>
                <w:sz w:val="21"/>
                <w:szCs w:val="21"/>
                <w:highlight w:val="none"/>
                <w:lang w:val="en-US" w:eastAsia="zh-CN" w:bidi="ar-SA"/>
              </w:rPr>
              <w:t>1</w:t>
            </w:r>
            <w:r>
              <w:rPr>
                <w:rFonts w:hint="eastAsia" w:cs="宋体"/>
                <w:color w:val="auto"/>
                <w:kern w:val="2"/>
                <w:sz w:val="21"/>
                <w:szCs w:val="21"/>
                <w:highlight w:val="none"/>
                <w:lang w:val="en-US" w:eastAsia="zh-CN" w:bidi="ar-SA"/>
              </w:rPr>
              <w:t>万元</w:t>
            </w:r>
            <w:r>
              <w:rPr>
                <w:rFonts w:hint="eastAsia" w:ascii="宋体" w:hAnsi="宋体" w:eastAsia="宋体" w:cs="宋体"/>
                <w:color w:val="auto"/>
                <w:kern w:val="2"/>
                <w:sz w:val="21"/>
                <w:szCs w:val="21"/>
                <w:highlight w:val="none"/>
                <w:lang w:val="en-US" w:eastAsia="zh-CN" w:bidi="ar-SA"/>
              </w:rPr>
              <w:t>以上，不足5万元</w:t>
            </w:r>
          </w:p>
        </w:tc>
        <w:tc>
          <w:tcPr>
            <w:tcW w:w="1227" w:type="dxa"/>
            <w:noWrap w:val="0"/>
            <w:vAlign w:val="center"/>
          </w:tcPr>
          <w:p w14:paraId="606EBADB">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p>
        </w:tc>
      </w:tr>
      <w:tr w14:paraId="31383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1643" w:type="dxa"/>
            <w:vMerge w:val="continue"/>
            <w:noWrap w:val="0"/>
            <w:vAlign w:val="center"/>
          </w:tcPr>
          <w:p w14:paraId="0E05E545">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p>
        </w:tc>
        <w:tc>
          <w:tcPr>
            <w:tcW w:w="5240" w:type="dxa"/>
            <w:noWrap w:val="0"/>
            <w:vAlign w:val="center"/>
          </w:tcPr>
          <w:p w14:paraId="13D1A821">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420" w:firstLineChars="200"/>
              <w:textAlignment w:val="baseline"/>
              <w:rPr>
                <w:rFonts w:hint="eastAsia" w:ascii="宋体" w:hAnsi="宋体" w:eastAsia="宋体" w:cs="宋体"/>
                <w:b/>
                <w:bCs/>
                <w:sz w:val="21"/>
                <w:szCs w:val="21"/>
                <w:highlight w:val="none"/>
                <w:lang w:val="en-US" w:eastAsia="zh-CN"/>
              </w:rPr>
            </w:pPr>
            <w:r>
              <w:rPr>
                <w:rFonts w:hint="eastAsia" w:ascii="宋体" w:hAnsi="宋体" w:eastAsia="宋体" w:cs="宋体"/>
                <w:color w:val="auto"/>
                <w:kern w:val="2"/>
                <w:sz w:val="21"/>
                <w:szCs w:val="21"/>
                <w:highlight w:val="none"/>
                <w:lang w:val="en-US" w:eastAsia="zh-CN" w:bidi="ar-SA"/>
              </w:rPr>
              <w:t>5万元以上，不足10万元</w:t>
            </w:r>
          </w:p>
        </w:tc>
        <w:tc>
          <w:tcPr>
            <w:tcW w:w="1227" w:type="dxa"/>
            <w:noWrap w:val="0"/>
            <w:vAlign w:val="center"/>
          </w:tcPr>
          <w:p w14:paraId="0254493D">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p>
        </w:tc>
      </w:tr>
      <w:tr w14:paraId="0713D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1643" w:type="dxa"/>
            <w:vMerge w:val="continue"/>
            <w:noWrap w:val="0"/>
            <w:vAlign w:val="center"/>
          </w:tcPr>
          <w:p w14:paraId="4862D48F">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p>
        </w:tc>
        <w:tc>
          <w:tcPr>
            <w:tcW w:w="5240" w:type="dxa"/>
            <w:noWrap w:val="0"/>
            <w:vAlign w:val="center"/>
          </w:tcPr>
          <w:p w14:paraId="450319E2">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420" w:firstLineChars="200"/>
              <w:textAlignment w:val="baseline"/>
              <w:rPr>
                <w:rFonts w:hint="eastAsia" w:ascii="宋体" w:hAnsi="宋体" w:eastAsia="宋体" w:cs="宋体"/>
                <w:b/>
                <w:bCs/>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10万元以上</w:t>
            </w:r>
          </w:p>
        </w:tc>
        <w:tc>
          <w:tcPr>
            <w:tcW w:w="1227" w:type="dxa"/>
            <w:noWrap w:val="0"/>
            <w:vAlign w:val="center"/>
          </w:tcPr>
          <w:p w14:paraId="22076E4C">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p>
        </w:tc>
      </w:tr>
      <w:tr w14:paraId="149E8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1643" w:type="dxa"/>
            <w:vMerge w:val="restart"/>
            <w:noWrap w:val="0"/>
            <w:vAlign w:val="center"/>
          </w:tcPr>
          <w:p w14:paraId="725FADD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污染物</w:t>
            </w:r>
            <w:r>
              <w:rPr>
                <w:rFonts w:hint="eastAsia" w:ascii="宋体" w:hAnsi="宋体" w:eastAsia="宋体" w:cs="宋体"/>
                <w:color w:val="auto"/>
                <w:sz w:val="21"/>
                <w:szCs w:val="21"/>
                <w:highlight w:val="none"/>
              </w:rPr>
              <w:t>类别</w:t>
            </w:r>
          </w:p>
        </w:tc>
        <w:tc>
          <w:tcPr>
            <w:tcW w:w="5240" w:type="dxa"/>
            <w:noWrap w:val="0"/>
            <w:vAlign w:val="center"/>
          </w:tcPr>
          <w:p w14:paraId="6DA8D4B7">
            <w:pPr>
              <w:keepNext w:val="0"/>
              <w:keepLines w:val="0"/>
              <w:pageBreakBefore w:val="0"/>
              <w:widowControl w:val="0"/>
              <w:kinsoku/>
              <w:wordWrap/>
              <w:overflowPunct/>
              <w:topLinePunct w:val="0"/>
              <w:autoSpaceDE/>
              <w:autoSpaceDN/>
              <w:bidi w:val="0"/>
              <w:adjustRightInd/>
              <w:snapToGrid w:val="0"/>
              <w:ind w:firstLine="420" w:firstLineChars="200"/>
              <w:jc w:val="both"/>
              <w:textAlignment w:val="auto"/>
              <w:rPr>
                <w:rFonts w:hint="eastAsia" w:ascii="宋体" w:hAnsi="宋体" w:eastAsia="宋体" w:cs="宋体"/>
                <w:b/>
                <w:bCs/>
                <w:sz w:val="21"/>
                <w:szCs w:val="21"/>
                <w:highlight w:val="none"/>
                <w:lang w:val="en-US" w:eastAsia="zh-CN"/>
              </w:rPr>
            </w:pPr>
            <w:r>
              <w:rPr>
                <w:rFonts w:hint="eastAsia" w:ascii="宋体" w:hAnsi="宋体" w:eastAsia="宋体" w:cs="宋体"/>
                <w:color w:val="auto"/>
                <w:sz w:val="21"/>
                <w:szCs w:val="21"/>
                <w:highlight w:val="none"/>
                <w:lang w:val="en-US" w:eastAsia="zh-CN"/>
              </w:rPr>
              <w:t>一般废气、废水、固体废物、噪声、畜禽养殖废水</w:t>
            </w:r>
          </w:p>
        </w:tc>
        <w:tc>
          <w:tcPr>
            <w:tcW w:w="1227" w:type="dxa"/>
            <w:noWrap w:val="0"/>
            <w:vAlign w:val="center"/>
          </w:tcPr>
          <w:p w14:paraId="3790C454">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1</w:t>
            </w:r>
          </w:p>
        </w:tc>
      </w:tr>
      <w:tr w14:paraId="2B76C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1643" w:type="dxa"/>
            <w:vMerge w:val="continue"/>
            <w:noWrap w:val="0"/>
            <w:vAlign w:val="center"/>
          </w:tcPr>
          <w:p w14:paraId="55E918FF">
            <w:pPr>
              <w:jc w:val="center"/>
              <w:rPr>
                <w:rFonts w:hint="eastAsia" w:ascii="宋体" w:hAnsi="宋体" w:eastAsia="宋体" w:cs="宋体"/>
                <w:color w:val="auto"/>
                <w:sz w:val="21"/>
                <w:szCs w:val="21"/>
                <w:highlight w:val="none"/>
              </w:rPr>
            </w:pPr>
          </w:p>
        </w:tc>
        <w:tc>
          <w:tcPr>
            <w:tcW w:w="5240" w:type="dxa"/>
            <w:noWrap w:val="0"/>
            <w:vAlign w:val="center"/>
          </w:tcPr>
          <w:p w14:paraId="44403871">
            <w:pPr>
              <w:keepNext w:val="0"/>
              <w:keepLines w:val="0"/>
              <w:pageBreakBefore w:val="0"/>
              <w:widowControl w:val="0"/>
              <w:kinsoku/>
              <w:wordWrap/>
              <w:overflowPunct/>
              <w:topLinePunct w:val="0"/>
              <w:autoSpaceDE/>
              <w:autoSpaceDN/>
              <w:bidi w:val="0"/>
              <w:adjustRightInd/>
              <w:snapToGrid w:val="0"/>
              <w:ind w:firstLine="420" w:firstLineChars="200"/>
              <w:jc w:val="both"/>
              <w:textAlignment w:val="auto"/>
              <w:rPr>
                <w:rFonts w:hint="eastAsia" w:ascii="宋体" w:hAnsi="宋体" w:eastAsia="宋体" w:cs="宋体"/>
                <w:b/>
                <w:bCs/>
                <w:sz w:val="21"/>
                <w:szCs w:val="21"/>
                <w:highlight w:val="none"/>
                <w:lang w:val="en-US" w:eastAsia="zh-CN"/>
              </w:rPr>
            </w:pPr>
            <w:r>
              <w:rPr>
                <w:rFonts w:hint="eastAsia" w:ascii="宋体" w:hAnsi="宋体" w:eastAsia="宋体" w:cs="宋体"/>
                <w:color w:val="auto"/>
                <w:sz w:val="21"/>
                <w:szCs w:val="21"/>
                <w:highlight w:val="none"/>
              </w:rPr>
              <w:t>火电、钢铁、石化、水泥、炼焦、有色、化工废气/医疗废水</w:t>
            </w:r>
          </w:p>
        </w:tc>
        <w:tc>
          <w:tcPr>
            <w:tcW w:w="1227" w:type="dxa"/>
            <w:noWrap w:val="0"/>
            <w:vAlign w:val="center"/>
          </w:tcPr>
          <w:p w14:paraId="273293EE">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r>
      <w:tr w14:paraId="34428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1643" w:type="dxa"/>
            <w:vMerge w:val="continue"/>
            <w:noWrap w:val="0"/>
            <w:vAlign w:val="center"/>
          </w:tcPr>
          <w:p w14:paraId="37CD6958">
            <w:pPr>
              <w:jc w:val="center"/>
              <w:rPr>
                <w:rFonts w:hint="eastAsia" w:ascii="宋体" w:hAnsi="宋体" w:eastAsia="宋体" w:cs="宋体"/>
                <w:color w:val="auto"/>
                <w:sz w:val="21"/>
                <w:szCs w:val="21"/>
                <w:highlight w:val="none"/>
              </w:rPr>
            </w:pPr>
          </w:p>
        </w:tc>
        <w:tc>
          <w:tcPr>
            <w:tcW w:w="5240" w:type="dxa"/>
            <w:noWrap w:val="0"/>
            <w:vAlign w:val="center"/>
          </w:tcPr>
          <w:p w14:paraId="3FCB1446">
            <w:pPr>
              <w:keepNext w:val="0"/>
              <w:keepLines w:val="0"/>
              <w:pageBreakBefore w:val="0"/>
              <w:widowControl w:val="0"/>
              <w:kinsoku/>
              <w:wordWrap/>
              <w:overflowPunct/>
              <w:topLinePunct w:val="0"/>
              <w:autoSpaceDE/>
              <w:autoSpaceDN/>
              <w:bidi w:val="0"/>
              <w:adjustRightInd/>
              <w:snapToGrid w:val="0"/>
              <w:ind w:firstLine="420" w:firstLineChars="200"/>
              <w:jc w:val="both"/>
              <w:textAlignment w:val="auto"/>
              <w:rPr>
                <w:rFonts w:hint="eastAsia" w:ascii="宋体" w:hAnsi="宋体" w:eastAsia="宋体" w:cs="宋体"/>
                <w:b/>
                <w:bCs/>
                <w:sz w:val="21"/>
                <w:szCs w:val="21"/>
                <w:highlight w:val="none"/>
                <w:lang w:val="en-US" w:eastAsia="zh-CN"/>
              </w:rPr>
            </w:pPr>
            <w:r>
              <w:rPr>
                <w:rFonts w:hint="eastAsia" w:ascii="宋体" w:hAnsi="宋体" w:eastAsia="宋体" w:cs="宋体"/>
                <w:color w:val="auto"/>
                <w:sz w:val="21"/>
                <w:szCs w:val="21"/>
                <w:highlight w:val="none"/>
              </w:rPr>
              <w:t>含有毒有害物质的废气、废水／含一类污染物或重金属、病原体、放射性物质的废水／危险废物</w:t>
            </w:r>
          </w:p>
        </w:tc>
        <w:tc>
          <w:tcPr>
            <w:tcW w:w="1227" w:type="dxa"/>
            <w:noWrap w:val="0"/>
            <w:vAlign w:val="center"/>
          </w:tcPr>
          <w:p w14:paraId="6DD73CF8">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r>
      <w:tr w14:paraId="7B904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1643" w:type="dxa"/>
            <w:noWrap w:val="0"/>
            <w:vAlign w:val="center"/>
          </w:tcPr>
          <w:p w14:paraId="20B36B5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备注</w:t>
            </w:r>
          </w:p>
        </w:tc>
        <w:tc>
          <w:tcPr>
            <w:tcW w:w="6467" w:type="dxa"/>
            <w:gridSpan w:val="2"/>
            <w:noWrap w:val="0"/>
            <w:vAlign w:val="center"/>
          </w:tcPr>
          <w:p w14:paraId="65DDF5AC">
            <w:pPr>
              <w:keepNext w:val="0"/>
              <w:keepLines w:val="0"/>
              <w:pageBreakBefore w:val="0"/>
              <w:widowControl w:val="0"/>
              <w:kinsoku/>
              <w:wordWrap/>
              <w:overflowPunct/>
              <w:topLinePunct w:val="0"/>
              <w:autoSpaceDE/>
              <w:autoSpaceDN/>
              <w:bidi w:val="0"/>
              <w:adjustRightInd/>
              <w:snapToGrid w:val="0"/>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涉及多种污染物类别时，</w:t>
            </w:r>
            <w:r>
              <w:rPr>
                <w:rFonts w:hint="eastAsia" w:ascii="宋体" w:hAnsi="宋体" w:cs="宋体"/>
                <w:color w:val="auto"/>
                <w:sz w:val="21"/>
                <w:szCs w:val="21"/>
                <w:highlight w:val="none"/>
                <w:lang w:eastAsia="zh-CN"/>
              </w:rPr>
              <w:t>裁量</w:t>
            </w:r>
            <w:r>
              <w:rPr>
                <w:rFonts w:hint="eastAsia" w:ascii="宋体" w:hAnsi="宋体" w:eastAsia="宋体" w:cs="宋体"/>
                <w:color w:val="auto"/>
                <w:sz w:val="21"/>
                <w:szCs w:val="21"/>
                <w:highlight w:val="none"/>
              </w:rPr>
              <w:t>标准以裁量等级最高为准</w:t>
            </w:r>
          </w:p>
        </w:tc>
      </w:tr>
    </w:tbl>
    <w:p w14:paraId="49F1E150">
      <w:pPr>
        <w:rPr>
          <w:highlight w:val="none"/>
        </w:rPr>
      </w:pPr>
      <w:r>
        <w:rPr>
          <w:highlight w:val="none"/>
        </w:rPr>
        <w:br w:type="page"/>
      </w:r>
    </w:p>
    <w:p w14:paraId="752AE8E8">
      <w:pPr>
        <w:widowControl w:val="0"/>
        <w:adjustRightInd w:val="0"/>
        <w:snapToGrid w:val="0"/>
        <w:spacing w:line="360" w:lineRule="auto"/>
        <w:jc w:val="center"/>
        <w:rPr>
          <w:rFonts w:hint="eastAsia" w:ascii="楷体_GB2312" w:hAnsi="楷体_GB2312" w:eastAsia="楷体_GB2312" w:cs="楷体_GB2312"/>
          <w:b/>
          <w:bCs/>
          <w:color w:val="auto"/>
          <w:kern w:val="0"/>
          <w:sz w:val="28"/>
          <w:szCs w:val="28"/>
          <w:lang w:val="en-US" w:eastAsia="zh-CN"/>
        </w:rPr>
      </w:pPr>
      <w:r>
        <w:rPr>
          <w:rFonts w:hint="eastAsia" w:ascii="楷体_GB2312" w:hAnsi="楷体_GB2312" w:eastAsia="楷体_GB2312" w:cs="楷体_GB2312"/>
          <w:b/>
          <w:bCs/>
          <w:color w:val="auto"/>
          <w:kern w:val="0"/>
          <w:sz w:val="28"/>
          <w:szCs w:val="28"/>
          <w:lang w:val="en-US" w:eastAsia="zh-CN"/>
        </w:rPr>
        <w:t>（二）生态环境影响评价管理类</w:t>
      </w:r>
    </w:p>
    <w:p w14:paraId="661ECB72">
      <w:pPr>
        <w:widowControl w:val="0"/>
        <w:adjustRightInd w:val="0"/>
        <w:snapToGrid w:val="0"/>
        <w:spacing w:line="360" w:lineRule="auto"/>
        <w:jc w:val="center"/>
        <w:rPr>
          <w:rFonts w:hint="eastAsia" w:ascii="楷体_GB2312" w:hAnsi="楷体_GB2312" w:eastAsia="楷体_GB2312" w:cs="楷体_GB2312"/>
          <w:b/>
          <w:bCs/>
          <w:color w:val="auto"/>
          <w:kern w:val="0"/>
          <w:sz w:val="28"/>
          <w:szCs w:val="28"/>
          <w:lang w:val="en-US" w:eastAsia="zh-CN"/>
        </w:rPr>
      </w:pPr>
    </w:p>
    <w:p w14:paraId="240E121B">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1.建设单位未依法报批，或者未依照本法有关规定重新报批或者报请重新审核生态环境影响报告书、报告表，建设项目生态环境影响报告书、报告表未经批准或者未经原审批部门重新审核同意，擅自开工建设的；核设施选址、建造、运行、退役和核技术、铀（钍）矿、伴生放射性矿开发利用中有上述违法情形的；</w:t>
      </w:r>
    </w:p>
    <w:p w14:paraId="19A240A7">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2.建设项目生态环境影响报告书、报告表存在基础资料明显不实，内容存在重大缺陷、遗漏或者虚假，生态环境影响评价结论不正确或者不合理等严重质量问题的；</w:t>
      </w:r>
    </w:p>
    <w:p w14:paraId="4B35D8EA">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3.接受委托为建设单位编制建设项目生态环境影响报告书、报告表的技术单位违反国家有关生态环境影响评价标准和技术规范等规定，致使其编制的报告书、报告表存在基础资料明显不实，内容存在重大缺陷、遗漏或者虚假，生态环境影响评价结论不正确或者不合理等严重后果的；</w:t>
      </w:r>
    </w:p>
    <w:p w14:paraId="1AE2122B">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4.在建设项目建设、运行过程中，未实施生态环境影响报告书、报告表及其审批部门审批意见中提出的生态环境保护对策措施的；</w:t>
      </w:r>
    </w:p>
    <w:p w14:paraId="33A15C40">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5-1.生态环境保护设施未与主体工程同时设计、同时施工、同时投产使用的；</w:t>
      </w:r>
    </w:p>
    <w:p w14:paraId="0CEF48EC">
      <w:pPr>
        <w:widowControl w:val="0"/>
        <w:adjustRightInd w:val="0"/>
        <w:snapToGrid w:val="0"/>
        <w:spacing w:line="360" w:lineRule="auto"/>
        <w:ind w:firstLine="480" w:firstLineChars="200"/>
        <w:jc w:val="both"/>
        <w:rPr>
          <w:rFonts w:hint="default"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5-2.生态环境保护设施未建成、未达到规定要求即投入生产、使用的</w:t>
      </w:r>
    </w:p>
    <w:p w14:paraId="0D12C5FA">
      <w:pPr>
        <w:rPr>
          <w:rFonts w:hint="eastAsia" w:ascii="仿宋_GB2312" w:hAnsi="仿宋_GB2312" w:eastAsia="仿宋_GB2312" w:cs="仿宋_GB2312"/>
          <w:sz w:val="32"/>
          <w:szCs w:val="32"/>
          <w:highlight w:val="none"/>
          <w:lang w:val="en-US" w:eastAsia="zh-CN"/>
        </w:rPr>
      </w:pPr>
    </w:p>
    <w:p w14:paraId="27BD5979">
      <w:pPr>
        <w:rPr>
          <w:highlight w:val="none"/>
        </w:rPr>
      </w:pPr>
      <w:r>
        <w:rPr>
          <w:highlight w:val="none"/>
        </w:rPr>
        <w:br w:type="page"/>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5"/>
        <w:gridCol w:w="5958"/>
        <w:gridCol w:w="1185"/>
      </w:tblGrid>
      <w:tr w14:paraId="183C5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3"/>
            <w:noWrap w:val="0"/>
            <w:vAlign w:val="top"/>
          </w:tcPr>
          <w:p w14:paraId="6EBCD3FD">
            <w:pPr>
              <w:jc w:val="center"/>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（二）生态环境影响评价管理类</w:t>
            </w:r>
          </w:p>
        </w:tc>
      </w:tr>
      <w:tr w14:paraId="6B6F7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9" w:type="dxa"/>
            <w:noWrap w:val="0"/>
            <w:vAlign w:val="center"/>
          </w:tcPr>
          <w:p w14:paraId="365EA16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803" w:type="dxa"/>
            <w:gridSpan w:val="2"/>
            <w:noWrap w:val="0"/>
            <w:vAlign w:val="top"/>
          </w:tcPr>
          <w:p w14:paraId="47FE256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69F3B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9" w:type="dxa"/>
            <w:noWrap w:val="0"/>
            <w:vAlign w:val="center"/>
          </w:tcPr>
          <w:p w14:paraId="6D58B45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6803" w:type="dxa"/>
            <w:gridSpan w:val="2"/>
            <w:noWrap w:val="0"/>
            <w:vAlign w:val="center"/>
          </w:tcPr>
          <w:p w14:paraId="2B9BC138">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建设单位未依法报批，或者未依照本法有关规定重新报批或者报请重新审核生态环境影响报告书、报告表，建设项目生态环境影响报告书、报告表未经批准或者未经原审批部门重新审核同意，擅自开工建设的；核设施选址、建造、运行、退役和核技术、铀（钍）矿、伴生放射性矿开发利用中有上述违法情形的</w:t>
            </w:r>
          </w:p>
        </w:tc>
      </w:tr>
      <w:tr w14:paraId="7AF5C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9" w:type="dxa"/>
            <w:noWrap w:val="0"/>
            <w:vAlign w:val="center"/>
          </w:tcPr>
          <w:p w14:paraId="3802AE2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6803" w:type="dxa"/>
            <w:gridSpan w:val="2"/>
            <w:noWrap w:val="0"/>
            <w:vAlign w:val="top"/>
          </w:tcPr>
          <w:p w14:paraId="46721747">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《中华人民共和国生态环境法典》第八十三条</w:t>
            </w:r>
            <w:r>
              <w:rPr>
                <w:rFonts w:hint="eastAsia" w:ascii="宋体" w:hAnsi="宋体" w:eastAsia="宋体" w:cs="宋体"/>
                <w:color w:val="auto"/>
                <w:sz w:val="21"/>
                <w:szCs w:val="21"/>
                <w:highlight w:val="none"/>
                <w:lang w:val="en-US" w:eastAsia="zh-CN"/>
              </w:rPr>
              <w:t>第二款</w:t>
            </w:r>
            <w:r>
              <w:rPr>
                <w:rFonts w:hint="eastAsia" w:ascii="宋体" w:hAnsi="宋体" w:eastAsia="宋体" w:cs="宋体"/>
                <w:color w:val="auto"/>
                <w:sz w:val="21"/>
                <w:szCs w:val="21"/>
                <w:highlight w:val="none"/>
              </w:rPr>
              <w:t>　未依法进行生态环境影响评价的开发利用规划，不得组织实施；未依法进行生态环境影响评价的建设项目，不得开工建设。</w:t>
            </w:r>
          </w:p>
          <w:p w14:paraId="7BD9AB19">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《中华人民共和国生态环境法典》第九十五条</w:t>
            </w:r>
            <w:r>
              <w:rPr>
                <w:rFonts w:hint="eastAsia" w:ascii="宋体" w:hAnsi="宋体" w:eastAsia="宋体" w:cs="宋体"/>
                <w:color w:val="auto"/>
                <w:sz w:val="21"/>
                <w:szCs w:val="21"/>
                <w:highlight w:val="none"/>
                <w:lang w:eastAsia="zh-CN"/>
              </w:rPr>
              <w:t>第一项、第二项</w:t>
            </w:r>
            <w:r>
              <w:rPr>
                <w:rFonts w:hint="eastAsia" w:ascii="宋体" w:hAnsi="宋体" w:eastAsia="宋体" w:cs="宋体"/>
                <w:color w:val="auto"/>
                <w:sz w:val="21"/>
                <w:szCs w:val="21"/>
                <w:highlight w:val="none"/>
              </w:rPr>
              <w:t>　国家根据建设项目对生态环境的影响程度，对建设项目的生态环境影响评价实行分类管理。建设单位应当按照下列规定组织编制生态环境影响报告书、生态环境影响报告表或者填报生态环境影响登记表：</w:t>
            </w:r>
          </w:p>
          <w:p w14:paraId="02871550">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（一）可能造成重大生态环境影响的，应当编制生态环境影响报告书，对产生的生态环境影响进行全面评价；</w:t>
            </w:r>
          </w:p>
          <w:p w14:paraId="40EC378A">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（二）可能造成轻度生态环境影响的，应当编制生态环境影响报告表，对产生的生态环境影响进行分析或者专项评价；</w:t>
            </w:r>
          </w:p>
          <w:p w14:paraId="0D9D70B4">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《中华人民共和国生态环境法典》第一百零六条　建设项目的生态环境影响报告书、生态环境影响报告表经批准后，建设项目的性质、规模、地点、采用的生产工艺或者防治污染、防止生态破坏的措施发生重大变动的，建设单位应当重新报批建设项目的生态环境影响报告书、生态环境影响报告表。建设项目的生态环境影响报告书、生态环境影响报告表自批准之日起超过五年，该项目方开工建设的，其生态环境影响报告书、生态环境影响报告表应当报原审批部门重新审核；原审批部门应当自收到建设项目生态环境影响报告书、生态环境影响报告表之日起十日内，将审核意见书面通知建设单位。</w:t>
            </w:r>
          </w:p>
          <w:p w14:paraId="34B140F5">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《中华人民共和国生态环境法典》第一百零七条　建设项目的生态环境影响报告书、生态环境影响报告表未依法经审批部门审查或者审查后未予批准的，或者未经原审批部门重新审核同意的，建设单位不得开工建设。</w:t>
            </w:r>
          </w:p>
          <w:p w14:paraId="255C3340">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w:t>
            </w:r>
            <w:r>
              <w:rPr>
                <w:rFonts w:hint="eastAsia" w:ascii="宋体" w:hAnsi="宋体" w:cs="宋体"/>
                <w:color w:val="auto"/>
                <w:szCs w:val="21"/>
                <w:highlight w:val="none"/>
              </w:rPr>
              <w:t>第六百一十六条　核设施营运单位应当按照国务院生态环境主管部门的规定在核设施建造、退役，以及选址、运行等环节开展生态环境影响评价。</w:t>
            </w:r>
          </w:p>
          <w:p w14:paraId="416B813E">
            <w:pPr>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《中华人民共和国生态环境法典》第六百二十九条第一款、</w:t>
            </w:r>
            <w:r>
              <w:rPr>
                <w:rFonts w:hint="eastAsia" w:ascii="宋体" w:hAnsi="宋体" w:eastAsia="宋体" w:cs="宋体"/>
                <w:color w:val="auto"/>
                <w:sz w:val="21"/>
                <w:szCs w:val="21"/>
                <w:highlight w:val="none"/>
                <w:lang w:val="en-US" w:eastAsia="zh-CN"/>
              </w:rPr>
              <w:t>第二款  开发利用或者关闭铀（钍）矿的单位，应当在开工建设或者办理退役审批手续前编制生态环境影响报告书、生态环境影响报告表，报国务院生态环境主管部门审查批准。</w:t>
            </w:r>
          </w:p>
          <w:p w14:paraId="2E676888">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开发利用伴生放射性矿的单位，应当在开工建设或者退役前编制生态环境影响报告书、生态环境影响报告表，报省级以上人民政府生态环境主管部门审查批准。</w:t>
            </w:r>
          </w:p>
        </w:tc>
      </w:tr>
      <w:tr w14:paraId="569D3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9" w:type="dxa"/>
            <w:noWrap w:val="0"/>
            <w:vAlign w:val="center"/>
          </w:tcPr>
          <w:p w14:paraId="7A6343D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6803" w:type="dxa"/>
            <w:gridSpan w:val="2"/>
            <w:noWrap w:val="0"/>
            <w:vAlign w:val="top"/>
          </w:tcPr>
          <w:p w14:paraId="3C1EF05F">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《中华人民共和国生态环境法典》第一千零九十五条</w:t>
            </w:r>
            <w:r>
              <w:rPr>
                <w:rFonts w:hint="eastAsia" w:ascii="宋体" w:hAnsi="宋体" w:eastAsia="宋体" w:cs="宋体"/>
                <w:color w:val="auto"/>
                <w:sz w:val="21"/>
                <w:szCs w:val="21"/>
                <w:highlight w:val="none"/>
                <w:lang w:eastAsia="zh-CN"/>
              </w:rPr>
              <w:t>第一款、</w:t>
            </w:r>
            <w:r>
              <w:rPr>
                <w:rFonts w:hint="eastAsia" w:ascii="宋体" w:hAnsi="宋体" w:eastAsia="宋体" w:cs="宋体"/>
                <w:color w:val="auto"/>
                <w:sz w:val="21"/>
                <w:szCs w:val="21"/>
                <w:highlight w:val="none"/>
                <w:lang w:val="en-US" w:eastAsia="zh-CN"/>
              </w:rPr>
              <w:t>第四款</w:t>
            </w:r>
            <w:r>
              <w:rPr>
                <w:rFonts w:hint="eastAsia" w:ascii="宋体" w:hAnsi="宋体" w:eastAsia="宋体" w:cs="宋体"/>
                <w:color w:val="auto"/>
                <w:sz w:val="21"/>
                <w:szCs w:val="21"/>
                <w:highlight w:val="none"/>
              </w:rPr>
              <w:t>　违反本法规定，建设单位未依法报批，或者未依照本法有关规定重新报批或者报请重新审核生态环境影响报告书、报告表，建设项目生态环境影响报告书、报告表未经批准或者未经原审批部门重新审核同意，擅自开工建设的，由生态环境主管部门、海警机构按照职责分工责令其停止建设，并可以责令恢复原状，报批、审核类型为生态环境影响报告书的，处二十万元以上一百万元以下的罚款</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；报批、审核类型为生态环境影响报告表的，处十万元以上五十万元以下的罚款</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w:t>
            </w:r>
          </w:p>
          <w:p w14:paraId="01CF8FCA">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违反本法规定，核设施选址、建造、运行、退役和核技术、铀（钍）矿、伴生放射性矿开发利用中有第一款至第三款规定的违法情形的，适用第一款至第三款的规定予以处罚。</w:t>
            </w:r>
          </w:p>
        </w:tc>
      </w:tr>
      <w:tr w14:paraId="41EFB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9" w:type="dxa"/>
            <w:noWrap w:val="0"/>
            <w:vAlign w:val="center"/>
          </w:tcPr>
          <w:p w14:paraId="0CDCBDC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674" w:type="dxa"/>
            <w:noWrap w:val="0"/>
            <w:vAlign w:val="center"/>
          </w:tcPr>
          <w:p w14:paraId="0EBEBE5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129" w:type="dxa"/>
            <w:noWrap w:val="0"/>
            <w:vAlign w:val="top"/>
          </w:tcPr>
          <w:p w14:paraId="782D58E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3AA8A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719" w:type="dxa"/>
            <w:vMerge w:val="restart"/>
            <w:noWrap w:val="0"/>
            <w:vAlign w:val="center"/>
          </w:tcPr>
          <w:p w14:paraId="4A777A5E">
            <w:pPr>
              <w:jc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违法事实</w:t>
            </w:r>
          </w:p>
        </w:tc>
        <w:tc>
          <w:tcPr>
            <w:tcW w:w="5674" w:type="dxa"/>
            <w:noWrap w:val="0"/>
            <w:vAlign w:val="center"/>
          </w:tcPr>
          <w:p w14:paraId="6B5D1CBA">
            <w:pPr>
              <w:pStyle w:val="11"/>
              <w:keepNext w:val="0"/>
              <w:keepLines w:val="0"/>
              <w:pageBreakBefore w:val="0"/>
              <w:widowControl w:val="0"/>
              <w:shd w:val="clear" w:color="auto" w:fill="auto"/>
              <w:kinsoku/>
              <w:wordWrap/>
              <w:overflowPunct/>
              <w:topLinePunct w:val="0"/>
              <w:autoSpaceDE w:val="0"/>
              <w:autoSpaceDN w:val="0"/>
              <w:bidi w:val="0"/>
              <w:adjustRightInd w:val="0"/>
              <w:snapToGrid w:val="0"/>
              <w:ind w:left="0" w:leftChars="0" w:right="0" w:rightChars="0" w:firstLine="420" w:firstLineChars="200"/>
              <w:textAlignment w:val="baseline"/>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已开工建设但主体工程未建成</w:t>
            </w:r>
          </w:p>
        </w:tc>
        <w:tc>
          <w:tcPr>
            <w:tcW w:w="1129" w:type="dxa"/>
            <w:noWrap w:val="0"/>
            <w:vAlign w:val="center"/>
          </w:tcPr>
          <w:p w14:paraId="6FC34E76">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47003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9" w:type="dxa"/>
            <w:vMerge w:val="continue"/>
            <w:noWrap w:val="0"/>
            <w:vAlign w:val="center"/>
          </w:tcPr>
          <w:p w14:paraId="2BB5F01F">
            <w:pPr>
              <w:jc w:val="center"/>
              <w:rPr>
                <w:rFonts w:hint="eastAsia" w:ascii="宋体" w:hAnsi="宋体" w:eastAsia="宋体" w:cs="宋体"/>
                <w:color w:val="auto"/>
                <w:sz w:val="21"/>
                <w:szCs w:val="21"/>
                <w:highlight w:val="none"/>
              </w:rPr>
            </w:pPr>
          </w:p>
        </w:tc>
        <w:tc>
          <w:tcPr>
            <w:tcW w:w="5674" w:type="dxa"/>
            <w:noWrap w:val="0"/>
            <w:vAlign w:val="center"/>
          </w:tcPr>
          <w:p w14:paraId="7A4D2FF0">
            <w:pPr>
              <w:pStyle w:val="11"/>
              <w:keepNext w:val="0"/>
              <w:keepLines w:val="0"/>
              <w:pageBreakBefore w:val="0"/>
              <w:widowControl w:val="0"/>
              <w:shd w:val="clear" w:color="auto" w:fill="auto"/>
              <w:kinsoku/>
              <w:wordWrap/>
              <w:overflowPunct/>
              <w:topLinePunct w:val="0"/>
              <w:autoSpaceDE w:val="0"/>
              <w:autoSpaceDN w:val="0"/>
              <w:bidi w:val="0"/>
              <w:adjustRightInd w:val="0"/>
              <w:snapToGrid w:val="0"/>
              <w:ind w:left="0" w:leftChars="0" w:right="0" w:rightChars="0" w:firstLine="420" w:firstLineChars="200"/>
              <w:textAlignment w:val="baseline"/>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主体工程已建成但尚未投入生产或者使用</w:t>
            </w:r>
          </w:p>
        </w:tc>
        <w:tc>
          <w:tcPr>
            <w:tcW w:w="1129" w:type="dxa"/>
            <w:noWrap w:val="0"/>
            <w:vAlign w:val="center"/>
          </w:tcPr>
          <w:p w14:paraId="2ACD3815">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r>
      <w:tr w14:paraId="43D95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1719" w:type="dxa"/>
            <w:vMerge w:val="continue"/>
            <w:noWrap w:val="0"/>
            <w:vAlign w:val="center"/>
          </w:tcPr>
          <w:p w14:paraId="2C35EE19">
            <w:pPr>
              <w:jc w:val="center"/>
              <w:rPr>
                <w:rFonts w:hint="eastAsia" w:ascii="宋体" w:hAnsi="宋体" w:eastAsia="宋体" w:cs="宋体"/>
                <w:color w:val="auto"/>
                <w:sz w:val="21"/>
                <w:szCs w:val="21"/>
                <w:highlight w:val="none"/>
              </w:rPr>
            </w:pPr>
          </w:p>
        </w:tc>
        <w:tc>
          <w:tcPr>
            <w:tcW w:w="5674" w:type="dxa"/>
            <w:noWrap w:val="0"/>
            <w:vAlign w:val="center"/>
          </w:tcPr>
          <w:p w14:paraId="5409AA01">
            <w:pPr>
              <w:keepNext w:val="0"/>
              <w:keepLines w:val="0"/>
              <w:pageBreakBefore w:val="0"/>
              <w:widowControl w:val="0"/>
              <w:kinsoku/>
              <w:wordWrap/>
              <w:overflowPunct/>
              <w:topLinePunct w:val="0"/>
              <w:bidi w:val="0"/>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主体工程已建成，并投入生产或者使用</w:t>
            </w:r>
          </w:p>
        </w:tc>
        <w:tc>
          <w:tcPr>
            <w:tcW w:w="1129" w:type="dxa"/>
            <w:noWrap w:val="0"/>
            <w:vAlign w:val="center"/>
          </w:tcPr>
          <w:p w14:paraId="70494979">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5</w:t>
            </w:r>
          </w:p>
        </w:tc>
      </w:tr>
      <w:tr w14:paraId="173B5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9" w:type="dxa"/>
            <w:vMerge w:val="restart"/>
            <w:noWrap w:val="0"/>
            <w:vAlign w:val="center"/>
          </w:tcPr>
          <w:p w14:paraId="269D2EE4">
            <w:pPr>
              <w:jc w:val="center"/>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违法行为发生地</w:t>
            </w:r>
          </w:p>
        </w:tc>
        <w:tc>
          <w:tcPr>
            <w:tcW w:w="5674" w:type="dxa"/>
            <w:noWrap w:val="0"/>
            <w:vAlign w:val="top"/>
          </w:tcPr>
          <w:p w14:paraId="449D7009">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 w:val="21"/>
                <w:szCs w:val="21"/>
                <w:highlight w:val="none"/>
                <w:lang w:eastAsia="zh-CN"/>
              </w:rPr>
              <w:t>二类环境空气功能区</w:t>
            </w:r>
            <w:r>
              <w:rPr>
                <w:rFonts w:hint="eastAsia" w:ascii="宋体" w:hAnsi="宋体" w:eastAsia="宋体" w:cs="宋体"/>
                <w:color w:val="auto"/>
                <w:sz w:val="21"/>
                <w:szCs w:val="21"/>
                <w:highlight w:val="none"/>
              </w:rPr>
              <w:t>（工业区和农村地区）</w:t>
            </w:r>
            <w:r>
              <w:rPr>
                <w:rFonts w:hint="eastAsia" w:ascii="宋体" w:hAnsi="宋体" w:cs="宋体"/>
                <w:color w:val="auto"/>
                <w:sz w:val="21"/>
                <w:szCs w:val="21"/>
                <w:highlight w:val="none"/>
                <w:lang w:val="en-US" w:eastAsia="zh-CN"/>
              </w:rPr>
              <w:t>/V类水体（或者污水集中处理设施）/</w:t>
            </w:r>
            <w:r>
              <w:rPr>
                <w:rFonts w:hint="eastAsia" w:ascii="宋体" w:hAnsi="宋体" w:eastAsia="宋体" w:cs="宋体"/>
                <w:color w:val="auto"/>
                <w:sz w:val="21"/>
                <w:szCs w:val="21"/>
                <w:highlight w:val="none"/>
              </w:rPr>
              <w:t>4类声环境功能区</w:t>
            </w:r>
            <w:r>
              <w:rPr>
                <w:rFonts w:hint="eastAsia" w:ascii="宋体" w:hAnsi="宋体" w:eastAsia="宋体" w:cs="宋体"/>
                <w:color w:val="auto"/>
                <w:sz w:val="21"/>
                <w:szCs w:val="21"/>
                <w:highlight w:val="none"/>
                <w:lang w:val="en-US" w:eastAsia="zh-CN"/>
              </w:rPr>
              <w:t>/第四类海水水质的区域</w:t>
            </w:r>
          </w:p>
        </w:tc>
        <w:tc>
          <w:tcPr>
            <w:tcW w:w="1129" w:type="dxa"/>
            <w:noWrap w:val="0"/>
            <w:vAlign w:val="center"/>
          </w:tcPr>
          <w:p w14:paraId="0CD1664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45FA1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9" w:type="dxa"/>
            <w:vMerge w:val="continue"/>
            <w:noWrap w:val="0"/>
            <w:vAlign w:val="center"/>
          </w:tcPr>
          <w:p w14:paraId="5FB9CC08">
            <w:pPr>
              <w:jc w:val="center"/>
              <w:rPr>
                <w:rFonts w:hint="eastAsia" w:ascii="宋体" w:hAnsi="宋体" w:eastAsia="宋体" w:cs="宋体"/>
                <w:color w:val="auto"/>
                <w:sz w:val="21"/>
                <w:szCs w:val="21"/>
                <w:highlight w:val="none"/>
              </w:rPr>
            </w:pPr>
          </w:p>
        </w:tc>
        <w:tc>
          <w:tcPr>
            <w:tcW w:w="5674" w:type="dxa"/>
            <w:noWrap w:val="0"/>
            <w:vAlign w:val="top"/>
          </w:tcPr>
          <w:p w14:paraId="2D2DCB25">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 w:val="21"/>
                <w:szCs w:val="21"/>
                <w:highlight w:val="none"/>
                <w:lang w:eastAsia="zh-CN"/>
              </w:rPr>
              <w:t>Ⅳ类</w:t>
            </w:r>
            <w:r>
              <w:rPr>
                <w:rFonts w:hint="eastAsia" w:ascii="宋体" w:hAnsi="宋体" w:eastAsia="宋体" w:cs="宋体"/>
                <w:color w:val="auto"/>
                <w:sz w:val="21"/>
                <w:szCs w:val="21"/>
                <w:highlight w:val="none"/>
              </w:rPr>
              <w:t>水体</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3类声环境功能区</w:t>
            </w:r>
            <w:r>
              <w:rPr>
                <w:rFonts w:hint="eastAsia" w:ascii="宋体" w:hAnsi="宋体" w:eastAsia="宋体" w:cs="宋体"/>
                <w:color w:val="auto"/>
                <w:sz w:val="21"/>
                <w:szCs w:val="21"/>
                <w:highlight w:val="none"/>
                <w:lang w:val="en-US" w:eastAsia="zh-CN"/>
              </w:rPr>
              <w:t>/第三类海水水质的区域</w:t>
            </w:r>
          </w:p>
        </w:tc>
        <w:tc>
          <w:tcPr>
            <w:tcW w:w="1129" w:type="dxa"/>
            <w:noWrap w:val="0"/>
            <w:vAlign w:val="center"/>
          </w:tcPr>
          <w:p w14:paraId="66004AD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r>
      <w:tr w14:paraId="34516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9" w:type="dxa"/>
            <w:vMerge w:val="continue"/>
            <w:noWrap w:val="0"/>
            <w:vAlign w:val="center"/>
          </w:tcPr>
          <w:p w14:paraId="1B68C022">
            <w:pPr>
              <w:jc w:val="center"/>
              <w:rPr>
                <w:rFonts w:hint="eastAsia" w:ascii="宋体" w:hAnsi="宋体" w:eastAsia="宋体" w:cs="宋体"/>
                <w:color w:val="auto"/>
                <w:sz w:val="21"/>
                <w:szCs w:val="21"/>
                <w:highlight w:val="none"/>
              </w:rPr>
            </w:pPr>
          </w:p>
        </w:tc>
        <w:tc>
          <w:tcPr>
            <w:tcW w:w="5674" w:type="dxa"/>
            <w:noWrap w:val="0"/>
            <w:vAlign w:val="top"/>
          </w:tcPr>
          <w:p w14:paraId="36CCE822">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 w:val="21"/>
                <w:szCs w:val="21"/>
                <w:highlight w:val="none"/>
                <w:lang w:eastAsia="zh-CN"/>
              </w:rPr>
              <w:t>二类环境空气功能区</w:t>
            </w:r>
            <w:r>
              <w:rPr>
                <w:rFonts w:hint="eastAsia" w:ascii="宋体" w:hAnsi="宋体" w:eastAsia="宋体" w:cs="宋体"/>
                <w:color w:val="auto"/>
                <w:sz w:val="21"/>
                <w:szCs w:val="21"/>
                <w:highlight w:val="none"/>
                <w:lang w:eastAsia="zh-CN"/>
              </w:rPr>
              <w:t>（居民区、商业交通居民混合区、文化区）/</w:t>
            </w:r>
            <w:r>
              <w:rPr>
                <w:rFonts w:hint="eastAsia" w:ascii="宋体" w:hAnsi="宋体" w:cs="宋体"/>
                <w:color w:val="auto"/>
                <w:sz w:val="21"/>
                <w:szCs w:val="21"/>
                <w:highlight w:val="none"/>
                <w:lang w:eastAsia="zh-CN"/>
              </w:rPr>
              <w:t>Ⅲ类</w:t>
            </w:r>
            <w:r>
              <w:rPr>
                <w:rFonts w:hint="eastAsia" w:ascii="宋体" w:hAnsi="宋体" w:eastAsia="宋体" w:cs="宋体"/>
                <w:color w:val="auto"/>
                <w:sz w:val="21"/>
                <w:szCs w:val="21"/>
                <w:highlight w:val="none"/>
                <w:lang w:eastAsia="zh-CN"/>
              </w:rPr>
              <w:t>水体/2类声环境功能区/饮用水水源准保护区/自然保护地外的生态保护红线区域</w:t>
            </w:r>
          </w:p>
        </w:tc>
        <w:tc>
          <w:tcPr>
            <w:tcW w:w="1129" w:type="dxa"/>
            <w:noWrap w:val="0"/>
            <w:vAlign w:val="center"/>
          </w:tcPr>
          <w:p w14:paraId="5A6A388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5CBB0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9" w:type="dxa"/>
            <w:vMerge w:val="continue"/>
            <w:noWrap w:val="0"/>
            <w:vAlign w:val="center"/>
          </w:tcPr>
          <w:p w14:paraId="05C36524">
            <w:pPr>
              <w:jc w:val="center"/>
              <w:rPr>
                <w:rFonts w:hint="eastAsia" w:ascii="宋体" w:hAnsi="宋体" w:eastAsia="宋体" w:cs="宋体"/>
                <w:color w:val="auto"/>
                <w:sz w:val="21"/>
                <w:szCs w:val="21"/>
                <w:highlight w:val="none"/>
              </w:rPr>
            </w:pPr>
          </w:p>
        </w:tc>
        <w:tc>
          <w:tcPr>
            <w:tcW w:w="5674" w:type="dxa"/>
            <w:noWrap w:val="0"/>
            <w:vAlign w:val="top"/>
          </w:tcPr>
          <w:p w14:paraId="45CF3BEB">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 w:val="21"/>
                <w:szCs w:val="21"/>
                <w:highlight w:val="none"/>
                <w:lang w:eastAsia="zh-CN"/>
              </w:rPr>
              <w:t>Ⅱ类</w:t>
            </w:r>
            <w:r>
              <w:rPr>
                <w:rFonts w:hint="eastAsia" w:ascii="宋体" w:hAnsi="宋体" w:eastAsia="宋体" w:cs="宋体"/>
                <w:color w:val="auto"/>
                <w:sz w:val="21"/>
                <w:szCs w:val="21"/>
                <w:highlight w:val="none"/>
              </w:rPr>
              <w:t>水体</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1类声环境功能区／自然保护地一般控制区</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饮用水水源二级保护区</w:t>
            </w:r>
            <w:r>
              <w:rPr>
                <w:rFonts w:hint="eastAsia" w:ascii="宋体" w:hAnsi="宋体" w:eastAsia="宋体" w:cs="宋体"/>
                <w:color w:val="auto"/>
                <w:sz w:val="21"/>
                <w:szCs w:val="21"/>
                <w:highlight w:val="none"/>
                <w:lang w:val="en-US" w:eastAsia="zh-CN"/>
              </w:rPr>
              <w:t>/第二类海水水质的区域</w:t>
            </w:r>
          </w:p>
        </w:tc>
        <w:tc>
          <w:tcPr>
            <w:tcW w:w="1129" w:type="dxa"/>
            <w:noWrap w:val="0"/>
            <w:vAlign w:val="center"/>
          </w:tcPr>
          <w:p w14:paraId="6EC8791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r>
      <w:tr w14:paraId="7140E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9" w:type="dxa"/>
            <w:vMerge w:val="continue"/>
            <w:noWrap w:val="0"/>
            <w:vAlign w:val="center"/>
          </w:tcPr>
          <w:p w14:paraId="139DD853">
            <w:pPr>
              <w:jc w:val="center"/>
              <w:rPr>
                <w:rFonts w:hint="eastAsia" w:ascii="宋体" w:hAnsi="宋体" w:eastAsia="宋体" w:cs="宋体"/>
                <w:color w:val="auto"/>
                <w:sz w:val="21"/>
                <w:szCs w:val="21"/>
                <w:highlight w:val="none"/>
              </w:rPr>
            </w:pPr>
          </w:p>
        </w:tc>
        <w:tc>
          <w:tcPr>
            <w:tcW w:w="5674" w:type="dxa"/>
            <w:noWrap w:val="0"/>
            <w:vAlign w:val="top"/>
          </w:tcPr>
          <w:p w14:paraId="4A69A757">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 w:val="21"/>
                <w:szCs w:val="21"/>
                <w:highlight w:val="none"/>
                <w:lang w:eastAsia="zh-CN"/>
              </w:rPr>
              <w:t>一类环境空气功能区</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I类水体</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0类声环境功能区／自然保护地核心保护区</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饮用水水源一级保护区</w:t>
            </w:r>
            <w:r>
              <w:rPr>
                <w:rFonts w:hint="eastAsia" w:ascii="宋体" w:hAnsi="宋体" w:eastAsia="宋体" w:cs="宋体"/>
                <w:color w:val="auto"/>
                <w:sz w:val="21"/>
                <w:szCs w:val="21"/>
                <w:highlight w:val="none"/>
                <w:lang w:val="en-US" w:eastAsia="zh-CN"/>
              </w:rPr>
              <w:t>/第一类海水水质的区域</w:t>
            </w:r>
          </w:p>
        </w:tc>
        <w:tc>
          <w:tcPr>
            <w:tcW w:w="1129" w:type="dxa"/>
            <w:noWrap w:val="0"/>
            <w:vAlign w:val="center"/>
          </w:tcPr>
          <w:p w14:paraId="03B6C0B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5E4B3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9" w:type="dxa"/>
            <w:vMerge w:val="restart"/>
            <w:noWrap w:val="0"/>
            <w:vAlign w:val="center"/>
          </w:tcPr>
          <w:p w14:paraId="6C585D7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项目应报批的环评文件类型</w:t>
            </w:r>
          </w:p>
        </w:tc>
        <w:tc>
          <w:tcPr>
            <w:tcW w:w="5674" w:type="dxa"/>
            <w:noWrap w:val="0"/>
            <w:vAlign w:val="top"/>
          </w:tcPr>
          <w:p w14:paraId="537F43FC">
            <w:pPr>
              <w:keepNext w:val="0"/>
              <w:keepLines w:val="0"/>
              <w:pageBreakBefore w:val="0"/>
              <w:widowControl w:val="0"/>
              <w:kinsoku/>
              <w:wordWrap/>
              <w:overflowPunct/>
              <w:topLinePunct w:val="0"/>
              <w:bidi w:val="0"/>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报告表</w:t>
            </w:r>
          </w:p>
        </w:tc>
        <w:tc>
          <w:tcPr>
            <w:tcW w:w="1129" w:type="dxa"/>
            <w:noWrap w:val="0"/>
            <w:vAlign w:val="center"/>
          </w:tcPr>
          <w:p w14:paraId="1B3E123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34AC8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9" w:type="dxa"/>
            <w:vMerge w:val="continue"/>
            <w:noWrap w:val="0"/>
            <w:vAlign w:val="center"/>
          </w:tcPr>
          <w:p w14:paraId="37438310">
            <w:pPr>
              <w:jc w:val="center"/>
              <w:rPr>
                <w:rFonts w:hint="eastAsia" w:ascii="宋体" w:hAnsi="宋体" w:eastAsia="宋体" w:cs="宋体"/>
                <w:color w:val="auto"/>
                <w:sz w:val="21"/>
                <w:szCs w:val="21"/>
                <w:highlight w:val="none"/>
              </w:rPr>
            </w:pPr>
          </w:p>
        </w:tc>
        <w:tc>
          <w:tcPr>
            <w:tcW w:w="5674" w:type="dxa"/>
            <w:noWrap w:val="0"/>
            <w:vAlign w:val="top"/>
          </w:tcPr>
          <w:p w14:paraId="50540C45">
            <w:pPr>
              <w:keepNext w:val="0"/>
              <w:keepLines w:val="0"/>
              <w:pageBreakBefore w:val="0"/>
              <w:widowControl w:val="0"/>
              <w:kinsoku/>
              <w:wordWrap/>
              <w:overflowPunct/>
              <w:topLinePunct w:val="0"/>
              <w:bidi w:val="0"/>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一般报告书</w:t>
            </w:r>
          </w:p>
        </w:tc>
        <w:tc>
          <w:tcPr>
            <w:tcW w:w="1129" w:type="dxa"/>
            <w:noWrap w:val="0"/>
            <w:vAlign w:val="center"/>
          </w:tcPr>
          <w:p w14:paraId="5D81932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732C9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9" w:type="dxa"/>
            <w:vMerge w:val="continue"/>
            <w:noWrap w:val="0"/>
            <w:vAlign w:val="center"/>
          </w:tcPr>
          <w:p w14:paraId="37AAF8D7">
            <w:pPr>
              <w:jc w:val="center"/>
              <w:rPr>
                <w:rFonts w:hint="eastAsia" w:ascii="宋体" w:hAnsi="宋体" w:eastAsia="宋体" w:cs="宋体"/>
                <w:color w:val="auto"/>
                <w:sz w:val="21"/>
                <w:szCs w:val="21"/>
                <w:highlight w:val="none"/>
              </w:rPr>
            </w:pPr>
          </w:p>
        </w:tc>
        <w:tc>
          <w:tcPr>
            <w:tcW w:w="5674" w:type="dxa"/>
            <w:noWrap w:val="0"/>
            <w:vAlign w:val="top"/>
          </w:tcPr>
          <w:p w14:paraId="675B3F19">
            <w:pPr>
              <w:keepNext w:val="0"/>
              <w:keepLines w:val="0"/>
              <w:pageBreakBefore w:val="0"/>
              <w:widowControl w:val="0"/>
              <w:kinsoku/>
              <w:wordWrap/>
              <w:overflowPunct/>
              <w:topLinePunct w:val="0"/>
              <w:bidi w:val="0"/>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报告书（化工、电镀、皮革、造纸、制浆、冶炼、放射性、印染、染料、炼焦、炼油项目）</w:t>
            </w:r>
          </w:p>
        </w:tc>
        <w:tc>
          <w:tcPr>
            <w:tcW w:w="1129" w:type="dxa"/>
            <w:noWrap w:val="0"/>
            <w:vAlign w:val="center"/>
          </w:tcPr>
          <w:p w14:paraId="0B71A53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4B846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9" w:type="dxa"/>
            <w:noWrap w:val="0"/>
            <w:vAlign w:val="center"/>
          </w:tcPr>
          <w:p w14:paraId="1741ED1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备注</w:t>
            </w:r>
          </w:p>
        </w:tc>
        <w:tc>
          <w:tcPr>
            <w:tcW w:w="6803" w:type="dxa"/>
            <w:gridSpan w:val="2"/>
            <w:noWrap w:val="0"/>
            <w:vAlign w:val="top"/>
          </w:tcPr>
          <w:p w14:paraId="165EAC18">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一般报告书指除化工、电镀、皮革、造纸、制浆、冶炼、放射性、印染、染料、炼焦、炼油项目外的报告书</w:t>
            </w:r>
          </w:p>
        </w:tc>
      </w:tr>
    </w:tbl>
    <w:p w14:paraId="518E7297">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p w14:paraId="0B173A6E">
      <w:pPr>
        <w:rPr>
          <w:rFonts w:hint="eastAsia" w:ascii="宋体" w:hAnsi="宋体" w:eastAsia="宋体" w:cs="宋体"/>
          <w:sz w:val="21"/>
          <w:szCs w:val="21"/>
          <w:highlight w:val="none"/>
        </w:rPr>
      </w:pP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2"/>
        <w:gridCol w:w="5908"/>
        <w:gridCol w:w="1188"/>
      </w:tblGrid>
      <w:tr w14:paraId="02FB1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3"/>
            <w:noWrap w:val="0"/>
            <w:vAlign w:val="top"/>
          </w:tcPr>
          <w:p w14:paraId="5EB4D7E3">
            <w:pPr>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（二）生态环境影响评价管理类</w:t>
            </w:r>
          </w:p>
        </w:tc>
      </w:tr>
      <w:tr w14:paraId="20986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64" w:type="dxa"/>
            <w:noWrap w:val="0"/>
            <w:vAlign w:val="top"/>
          </w:tcPr>
          <w:p w14:paraId="0349F50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758" w:type="dxa"/>
            <w:gridSpan w:val="2"/>
            <w:noWrap w:val="0"/>
            <w:vAlign w:val="top"/>
          </w:tcPr>
          <w:p w14:paraId="3386816F">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r>
      <w:tr w14:paraId="12E6B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64" w:type="dxa"/>
            <w:noWrap w:val="0"/>
            <w:vAlign w:val="center"/>
          </w:tcPr>
          <w:p w14:paraId="7298A57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6758" w:type="dxa"/>
            <w:gridSpan w:val="2"/>
            <w:noWrap w:val="0"/>
            <w:vAlign w:val="center"/>
          </w:tcPr>
          <w:p w14:paraId="6418B16E">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建设项目生态环境影响报告书、报告表存在基础资料明显不实，内容存在重大缺陷、遗漏或者虚假，生态环境影响评价结论不正确或者不合理等严重质量问题的</w:t>
            </w:r>
          </w:p>
        </w:tc>
      </w:tr>
      <w:tr w14:paraId="0EF7A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64" w:type="dxa"/>
            <w:noWrap w:val="0"/>
            <w:vAlign w:val="center"/>
          </w:tcPr>
          <w:p w14:paraId="547FAED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6758" w:type="dxa"/>
            <w:gridSpan w:val="2"/>
            <w:noWrap w:val="0"/>
            <w:vAlign w:val="center"/>
          </w:tcPr>
          <w:p w14:paraId="1379B299">
            <w:pPr>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《中华人民共和国生态环境法典》第九十八条第一款、第二款　建设单位可以委托技术单位对其建设项目开展生态环境影响评价，编制建设项目生态环境影响报告书、生态环境影响报告表；建设单位具备生态环境影响评价技术能力的，可以自行对其建设项目开展生态环境影响评价，编制建设项目生态环境影响报告书、生态环境影响报告表。</w:t>
            </w:r>
          </w:p>
          <w:p w14:paraId="7521BF29">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编制建设项目生态环境影响报告书、生态环境影响报告表应当遵守国家有关生态环境影响评价标准、技术规范等规定。</w:t>
            </w:r>
          </w:p>
          <w:p w14:paraId="2029980F">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《中华人民共和国生态环境法典》第一百条第一款</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建设单位应当对建设项目生态环境影响报告书、生态环境影响报告表的内容和结论负责，接受委托编制建设项目生态环境影响报告书、生态环境影响报告表的技术单位对其编制的建设项目生态环境影响报告书、生态环境影响报告表承担相应责任。</w:t>
            </w:r>
          </w:p>
          <w:p w14:paraId="5AFE06F9">
            <w:pPr>
              <w:ind w:firstLine="420" w:firstLineChars="200"/>
              <w:jc w:val="both"/>
              <w:rPr>
                <w:rFonts w:hint="eastAsia" w:ascii="宋体" w:hAnsi="宋体" w:cs="宋体"/>
                <w:color w:val="auto"/>
                <w:szCs w:val="21"/>
                <w:highlight w:val="none"/>
              </w:rPr>
            </w:pPr>
            <w:r>
              <w:rPr>
                <w:rFonts w:hint="eastAsia" w:ascii="宋体" w:hAnsi="宋体" w:eastAsia="宋体" w:cs="宋体"/>
                <w:color w:val="auto"/>
                <w:sz w:val="21"/>
                <w:szCs w:val="21"/>
                <w:highlight w:val="none"/>
              </w:rPr>
              <w:t>《中华人民共和国生态环境法典》</w:t>
            </w:r>
            <w:r>
              <w:rPr>
                <w:rFonts w:hint="eastAsia" w:ascii="宋体" w:hAnsi="宋体" w:cs="宋体"/>
                <w:color w:val="auto"/>
                <w:szCs w:val="21"/>
                <w:highlight w:val="none"/>
              </w:rPr>
              <w:t>第一百零五条　建设项目有下列情形之一的，生态环境主管部门应当对生态环境影响报告书、生态环境影响报告表作出不予批准的决定：</w:t>
            </w:r>
          </w:p>
          <w:p w14:paraId="0006E3B1">
            <w:pPr>
              <w:ind w:firstLine="420" w:firstLineChars="200"/>
              <w:jc w:val="both"/>
              <w:rPr>
                <w:rFonts w:hint="eastAsia" w:ascii="宋体" w:hAnsi="宋体" w:cs="宋体"/>
                <w:color w:val="auto"/>
                <w:szCs w:val="21"/>
                <w:highlight w:val="none"/>
              </w:rPr>
            </w:pPr>
            <w:r>
              <w:rPr>
                <w:rFonts w:hint="eastAsia" w:ascii="宋体" w:hAnsi="宋体" w:cs="宋体"/>
                <w:color w:val="auto"/>
                <w:szCs w:val="21"/>
                <w:highlight w:val="none"/>
              </w:rPr>
              <w:t>（一）建设项目类型及其选址、布局、规模等不符合生态环境法律法规规定和相关法定规划；</w:t>
            </w:r>
          </w:p>
          <w:p w14:paraId="6203FC22">
            <w:pPr>
              <w:ind w:firstLine="420" w:firstLineChars="200"/>
              <w:jc w:val="both"/>
              <w:rPr>
                <w:rFonts w:hint="eastAsia" w:ascii="宋体" w:hAnsi="宋体" w:cs="宋体"/>
                <w:color w:val="auto"/>
                <w:szCs w:val="21"/>
                <w:highlight w:val="none"/>
              </w:rPr>
            </w:pPr>
            <w:r>
              <w:rPr>
                <w:rFonts w:hint="eastAsia" w:ascii="宋体" w:hAnsi="宋体" w:cs="宋体"/>
                <w:color w:val="auto"/>
                <w:szCs w:val="21"/>
                <w:highlight w:val="none"/>
              </w:rPr>
              <w:t>（二）所在区域、流域、海域生态环境质量未达到生态环境质量标准，且建设项目拟采取的措施不能满足生态环境质量改善目标管理要求；</w:t>
            </w:r>
          </w:p>
          <w:p w14:paraId="1760A7A4">
            <w:pPr>
              <w:ind w:firstLine="420" w:firstLineChars="200"/>
              <w:jc w:val="both"/>
              <w:rPr>
                <w:rFonts w:hint="eastAsia" w:ascii="宋体" w:hAnsi="宋体" w:cs="宋体"/>
                <w:color w:val="auto"/>
                <w:szCs w:val="21"/>
                <w:highlight w:val="none"/>
              </w:rPr>
            </w:pPr>
            <w:r>
              <w:rPr>
                <w:rFonts w:hint="eastAsia" w:ascii="宋体" w:hAnsi="宋体" w:cs="宋体"/>
                <w:color w:val="auto"/>
                <w:szCs w:val="21"/>
                <w:highlight w:val="none"/>
              </w:rPr>
              <w:t>（三）建设项目采取的污染防治措施无法确保污染物排放达到排放标准，或者未采取必要措施预防和控制生态破坏；</w:t>
            </w:r>
          </w:p>
          <w:p w14:paraId="40D399EE">
            <w:pPr>
              <w:ind w:firstLine="420" w:firstLineChars="200"/>
              <w:jc w:val="both"/>
              <w:rPr>
                <w:rFonts w:hint="eastAsia" w:ascii="宋体" w:hAnsi="宋体" w:cs="宋体"/>
                <w:color w:val="auto"/>
                <w:szCs w:val="21"/>
                <w:highlight w:val="none"/>
              </w:rPr>
            </w:pPr>
            <w:r>
              <w:rPr>
                <w:rFonts w:hint="eastAsia" w:ascii="宋体" w:hAnsi="宋体" w:cs="宋体"/>
                <w:color w:val="auto"/>
                <w:szCs w:val="21"/>
                <w:highlight w:val="none"/>
              </w:rPr>
              <w:t>（四）改建、扩建和技术改造项目，未针对项目原有环境污染和生态破坏提出有效防治措施；</w:t>
            </w:r>
          </w:p>
          <w:p w14:paraId="2D6E03A8">
            <w:pPr>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cs="宋体"/>
                <w:color w:val="auto"/>
                <w:szCs w:val="21"/>
                <w:highlight w:val="none"/>
              </w:rPr>
              <w:t>（五）建设项目的生态环境影响报告书、生态环境影响报告表存在基础资料明显不实，内容存在重大缺陷、遗漏或者虚假，生态环境影响评价结论不正确或者不合理等严重质量问题。</w:t>
            </w:r>
          </w:p>
        </w:tc>
      </w:tr>
      <w:tr w14:paraId="0B42F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64" w:type="dxa"/>
            <w:noWrap w:val="0"/>
            <w:vAlign w:val="center"/>
          </w:tcPr>
          <w:p w14:paraId="414B586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6758" w:type="dxa"/>
            <w:gridSpan w:val="2"/>
            <w:noWrap w:val="0"/>
            <w:vAlign w:val="center"/>
          </w:tcPr>
          <w:p w14:paraId="733FA0F6">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《中华人民共和国生态环境法典》第一千零九十六条　违反本法规定，建设项目生态环境影响报告书、报告表存在基础资料明显不实，内容存在重大缺陷、遗漏或者虚假，生态环境影响评价结论不正确或者不合理等严重质量问题的，由生态环境主管部门、海警机构按照职责分工对建设单位处五十万元以上二百万元以下的罚款，并对建设单位的法定代表人、主要负责人、直接负责的主管人员和其他直接责任人员，处五万元以上二十万元以下的罚款</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w:t>
            </w:r>
          </w:p>
          <w:p w14:paraId="5FB75F4D">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建设单位自行编制生态环境影响报告书、报告表有前款规定的违法情形的，对编制主持人和主要编制人员处一万元以上五万元以下的罚款，五年内禁止从事生态环境影响报告书、报告表编制工作</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w:t>
            </w:r>
          </w:p>
        </w:tc>
      </w:tr>
      <w:tr w14:paraId="17E04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64" w:type="dxa"/>
            <w:noWrap w:val="0"/>
            <w:vAlign w:val="center"/>
          </w:tcPr>
          <w:p w14:paraId="220576C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627" w:type="dxa"/>
            <w:noWrap w:val="0"/>
            <w:vAlign w:val="center"/>
          </w:tcPr>
          <w:p w14:paraId="0FC8B4D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131" w:type="dxa"/>
            <w:noWrap w:val="0"/>
            <w:vAlign w:val="top"/>
          </w:tcPr>
          <w:p w14:paraId="79B7C4A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6FC80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64" w:type="dxa"/>
            <w:vMerge w:val="restart"/>
            <w:noWrap w:val="0"/>
            <w:vAlign w:val="center"/>
          </w:tcPr>
          <w:p w14:paraId="253FF409">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违法事实</w:t>
            </w:r>
          </w:p>
        </w:tc>
        <w:tc>
          <w:tcPr>
            <w:tcW w:w="5627" w:type="dxa"/>
            <w:noWrap w:val="0"/>
            <w:vAlign w:val="center"/>
          </w:tcPr>
          <w:p w14:paraId="76A0FE9C">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建设项目生态环境影响报告书、报告表存在基础资料明显不实</w:t>
            </w:r>
          </w:p>
        </w:tc>
        <w:tc>
          <w:tcPr>
            <w:tcW w:w="1131" w:type="dxa"/>
            <w:noWrap w:val="0"/>
            <w:vAlign w:val="center"/>
          </w:tcPr>
          <w:p w14:paraId="474F79AA">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r>
      <w:tr w14:paraId="6BF1A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764" w:type="dxa"/>
            <w:vMerge w:val="continue"/>
            <w:noWrap w:val="0"/>
            <w:vAlign w:val="center"/>
          </w:tcPr>
          <w:p w14:paraId="2BA264C6">
            <w:pPr>
              <w:jc w:val="center"/>
              <w:rPr>
                <w:rFonts w:hint="eastAsia" w:ascii="宋体" w:hAnsi="宋体" w:eastAsia="宋体" w:cs="宋体"/>
                <w:color w:val="auto"/>
                <w:sz w:val="21"/>
                <w:szCs w:val="21"/>
                <w:highlight w:val="none"/>
              </w:rPr>
            </w:pPr>
          </w:p>
        </w:tc>
        <w:tc>
          <w:tcPr>
            <w:tcW w:w="5627" w:type="dxa"/>
            <w:noWrap w:val="0"/>
            <w:vAlign w:val="center"/>
          </w:tcPr>
          <w:p w14:paraId="03237FE5">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建设项目生态环境影响报告书、报告表内容存在重大缺陷、遗漏或者虚假</w:t>
            </w:r>
          </w:p>
        </w:tc>
        <w:tc>
          <w:tcPr>
            <w:tcW w:w="1131" w:type="dxa"/>
            <w:noWrap w:val="0"/>
            <w:vAlign w:val="center"/>
          </w:tcPr>
          <w:p w14:paraId="62618BB8">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r>
      <w:tr w14:paraId="7F34C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64" w:type="dxa"/>
            <w:vMerge w:val="continue"/>
            <w:noWrap w:val="0"/>
            <w:vAlign w:val="center"/>
          </w:tcPr>
          <w:p w14:paraId="58C39AAF">
            <w:pPr>
              <w:jc w:val="center"/>
              <w:rPr>
                <w:rFonts w:hint="eastAsia" w:ascii="宋体" w:hAnsi="宋体" w:eastAsia="宋体" w:cs="宋体"/>
                <w:color w:val="auto"/>
                <w:sz w:val="21"/>
                <w:szCs w:val="21"/>
                <w:highlight w:val="none"/>
              </w:rPr>
            </w:pPr>
          </w:p>
        </w:tc>
        <w:tc>
          <w:tcPr>
            <w:tcW w:w="5627" w:type="dxa"/>
            <w:noWrap w:val="0"/>
            <w:vAlign w:val="center"/>
          </w:tcPr>
          <w:p w14:paraId="52131B3E">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建设项目生态环境影响报告书、报告表存在基础资料明显不实</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且</w:t>
            </w:r>
            <w:r>
              <w:rPr>
                <w:rFonts w:hint="eastAsia" w:ascii="宋体" w:hAnsi="宋体" w:eastAsia="宋体" w:cs="宋体"/>
                <w:color w:val="auto"/>
                <w:sz w:val="21"/>
                <w:szCs w:val="21"/>
                <w:highlight w:val="none"/>
              </w:rPr>
              <w:t>内容存在重大缺陷、遗漏或者虚假</w:t>
            </w:r>
          </w:p>
        </w:tc>
        <w:tc>
          <w:tcPr>
            <w:tcW w:w="1131" w:type="dxa"/>
            <w:noWrap w:val="0"/>
            <w:vAlign w:val="center"/>
          </w:tcPr>
          <w:p w14:paraId="05E6C95F">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r>
      <w:tr w14:paraId="38F76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64" w:type="dxa"/>
            <w:vMerge w:val="continue"/>
            <w:noWrap w:val="0"/>
            <w:vAlign w:val="center"/>
          </w:tcPr>
          <w:p w14:paraId="28AA365F">
            <w:pPr>
              <w:jc w:val="center"/>
              <w:rPr>
                <w:rFonts w:hint="eastAsia" w:ascii="宋体" w:hAnsi="宋体" w:eastAsia="宋体" w:cs="宋体"/>
                <w:color w:val="auto"/>
                <w:sz w:val="21"/>
                <w:szCs w:val="21"/>
                <w:highlight w:val="none"/>
                <w:lang w:val="en-US" w:eastAsia="zh-CN"/>
              </w:rPr>
            </w:pPr>
          </w:p>
        </w:tc>
        <w:tc>
          <w:tcPr>
            <w:tcW w:w="5627" w:type="dxa"/>
            <w:noWrap w:val="0"/>
            <w:vAlign w:val="center"/>
          </w:tcPr>
          <w:p w14:paraId="205ADE59">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生态环境影响评价</w:t>
            </w:r>
            <w:r>
              <w:rPr>
                <w:rFonts w:hint="eastAsia" w:ascii="宋体" w:hAnsi="宋体" w:eastAsia="宋体" w:cs="宋体"/>
                <w:color w:val="auto"/>
                <w:kern w:val="2"/>
                <w:sz w:val="21"/>
                <w:szCs w:val="21"/>
                <w:highlight w:val="none"/>
                <w:lang w:val="en-US" w:eastAsia="zh-CN" w:bidi="ar-SA"/>
              </w:rPr>
              <w:t>结论不正确、不合理的</w:t>
            </w:r>
          </w:p>
        </w:tc>
        <w:tc>
          <w:tcPr>
            <w:tcW w:w="1131" w:type="dxa"/>
            <w:noWrap w:val="0"/>
            <w:vAlign w:val="center"/>
          </w:tcPr>
          <w:p w14:paraId="08C29468">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r>
      <w:tr w14:paraId="5F20D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64" w:type="dxa"/>
            <w:vMerge w:val="restart"/>
            <w:noWrap w:val="0"/>
            <w:vAlign w:val="center"/>
          </w:tcPr>
          <w:p w14:paraId="32A58FD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项目应报批的环评文件类型</w:t>
            </w:r>
          </w:p>
        </w:tc>
        <w:tc>
          <w:tcPr>
            <w:tcW w:w="5627" w:type="dxa"/>
            <w:noWrap w:val="0"/>
            <w:vAlign w:val="top"/>
          </w:tcPr>
          <w:p w14:paraId="0230375C">
            <w:pPr>
              <w:keepNext w:val="0"/>
              <w:keepLines w:val="0"/>
              <w:pageBreakBefore w:val="0"/>
              <w:widowControl w:val="0"/>
              <w:kinsoku/>
              <w:wordWrap/>
              <w:overflowPunct/>
              <w:topLinePunct w:val="0"/>
              <w:bidi w:val="0"/>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报告表</w:t>
            </w:r>
          </w:p>
        </w:tc>
        <w:tc>
          <w:tcPr>
            <w:tcW w:w="1131" w:type="dxa"/>
            <w:noWrap w:val="0"/>
            <w:vAlign w:val="center"/>
          </w:tcPr>
          <w:p w14:paraId="406F815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5CF3F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64" w:type="dxa"/>
            <w:vMerge w:val="continue"/>
            <w:noWrap w:val="0"/>
            <w:vAlign w:val="center"/>
          </w:tcPr>
          <w:p w14:paraId="7F67BA4F">
            <w:pPr>
              <w:jc w:val="center"/>
              <w:rPr>
                <w:rFonts w:hint="eastAsia" w:ascii="宋体" w:hAnsi="宋体" w:eastAsia="宋体" w:cs="宋体"/>
                <w:color w:val="auto"/>
                <w:sz w:val="21"/>
                <w:szCs w:val="21"/>
                <w:highlight w:val="none"/>
              </w:rPr>
            </w:pPr>
          </w:p>
        </w:tc>
        <w:tc>
          <w:tcPr>
            <w:tcW w:w="5627" w:type="dxa"/>
            <w:noWrap w:val="0"/>
            <w:vAlign w:val="top"/>
          </w:tcPr>
          <w:p w14:paraId="27219135">
            <w:pPr>
              <w:keepNext w:val="0"/>
              <w:keepLines w:val="0"/>
              <w:pageBreakBefore w:val="0"/>
              <w:widowControl w:val="0"/>
              <w:kinsoku/>
              <w:wordWrap/>
              <w:overflowPunct/>
              <w:topLinePunct w:val="0"/>
              <w:bidi w:val="0"/>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一般报告书</w:t>
            </w:r>
          </w:p>
        </w:tc>
        <w:tc>
          <w:tcPr>
            <w:tcW w:w="1131" w:type="dxa"/>
            <w:noWrap w:val="0"/>
            <w:vAlign w:val="center"/>
          </w:tcPr>
          <w:p w14:paraId="48B841D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77F91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64" w:type="dxa"/>
            <w:vMerge w:val="continue"/>
            <w:noWrap w:val="0"/>
            <w:vAlign w:val="center"/>
          </w:tcPr>
          <w:p w14:paraId="30BFC7A4">
            <w:pPr>
              <w:jc w:val="center"/>
              <w:rPr>
                <w:rFonts w:hint="eastAsia" w:ascii="宋体" w:hAnsi="宋体" w:eastAsia="宋体" w:cs="宋体"/>
                <w:color w:val="auto"/>
                <w:sz w:val="21"/>
                <w:szCs w:val="21"/>
                <w:highlight w:val="none"/>
              </w:rPr>
            </w:pPr>
          </w:p>
        </w:tc>
        <w:tc>
          <w:tcPr>
            <w:tcW w:w="5627" w:type="dxa"/>
            <w:noWrap w:val="0"/>
            <w:vAlign w:val="top"/>
          </w:tcPr>
          <w:p w14:paraId="3ED5B126">
            <w:pPr>
              <w:keepNext w:val="0"/>
              <w:keepLines w:val="0"/>
              <w:pageBreakBefore w:val="0"/>
              <w:widowControl w:val="0"/>
              <w:kinsoku/>
              <w:wordWrap/>
              <w:overflowPunct/>
              <w:topLinePunct w:val="0"/>
              <w:bidi w:val="0"/>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报告书（化工、电镀、皮革、造纸、制浆、冶炼、放射性、印染、染料、炼焦、炼油项目）</w:t>
            </w:r>
          </w:p>
        </w:tc>
        <w:tc>
          <w:tcPr>
            <w:tcW w:w="1131" w:type="dxa"/>
            <w:noWrap w:val="0"/>
            <w:vAlign w:val="center"/>
          </w:tcPr>
          <w:p w14:paraId="7176876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55071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64" w:type="dxa"/>
            <w:vMerge w:val="restart"/>
            <w:noWrap w:val="0"/>
            <w:vAlign w:val="center"/>
          </w:tcPr>
          <w:p w14:paraId="17CBC7FD">
            <w:pPr>
              <w:jc w:val="center"/>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违法行为发生地</w:t>
            </w:r>
          </w:p>
        </w:tc>
        <w:tc>
          <w:tcPr>
            <w:tcW w:w="5627" w:type="dxa"/>
            <w:noWrap w:val="0"/>
            <w:vAlign w:val="top"/>
          </w:tcPr>
          <w:p w14:paraId="49FB4B72">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 w:val="21"/>
                <w:szCs w:val="21"/>
                <w:highlight w:val="none"/>
                <w:lang w:eastAsia="zh-CN"/>
              </w:rPr>
              <w:t>二类环境空气功能区</w:t>
            </w:r>
            <w:r>
              <w:rPr>
                <w:rFonts w:hint="eastAsia" w:ascii="宋体" w:hAnsi="宋体" w:eastAsia="宋体" w:cs="宋体"/>
                <w:color w:val="auto"/>
                <w:sz w:val="21"/>
                <w:szCs w:val="21"/>
                <w:highlight w:val="none"/>
              </w:rPr>
              <w:t>（工业区和农村地区）</w:t>
            </w:r>
            <w:r>
              <w:rPr>
                <w:rFonts w:hint="eastAsia" w:ascii="宋体" w:hAnsi="宋体" w:cs="宋体"/>
                <w:color w:val="auto"/>
                <w:sz w:val="21"/>
                <w:szCs w:val="21"/>
                <w:highlight w:val="none"/>
                <w:lang w:val="en-US" w:eastAsia="zh-CN"/>
              </w:rPr>
              <w:t>/V类水体（或者污水集中处理设施）/</w:t>
            </w:r>
            <w:r>
              <w:rPr>
                <w:rFonts w:hint="eastAsia" w:ascii="宋体" w:hAnsi="宋体" w:eastAsia="宋体" w:cs="宋体"/>
                <w:color w:val="auto"/>
                <w:sz w:val="21"/>
                <w:szCs w:val="21"/>
                <w:highlight w:val="none"/>
              </w:rPr>
              <w:t>4类声环境功能区</w:t>
            </w:r>
            <w:r>
              <w:rPr>
                <w:rFonts w:hint="eastAsia" w:ascii="宋体" w:hAnsi="宋体" w:eastAsia="宋体" w:cs="宋体"/>
                <w:color w:val="auto"/>
                <w:sz w:val="21"/>
                <w:szCs w:val="21"/>
                <w:highlight w:val="none"/>
                <w:lang w:val="en-US" w:eastAsia="zh-CN"/>
              </w:rPr>
              <w:t>/第四类海水水质的区域</w:t>
            </w:r>
          </w:p>
        </w:tc>
        <w:tc>
          <w:tcPr>
            <w:tcW w:w="1131" w:type="dxa"/>
            <w:noWrap w:val="0"/>
            <w:vAlign w:val="center"/>
          </w:tcPr>
          <w:p w14:paraId="6B98EB8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217F6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64" w:type="dxa"/>
            <w:vMerge w:val="continue"/>
            <w:noWrap w:val="0"/>
            <w:vAlign w:val="center"/>
          </w:tcPr>
          <w:p w14:paraId="670F0DF0">
            <w:pPr>
              <w:jc w:val="center"/>
              <w:rPr>
                <w:rFonts w:hint="eastAsia" w:ascii="宋体" w:hAnsi="宋体" w:eastAsia="宋体" w:cs="宋体"/>
                <w:color w:val="auto"/>
                <w:sz w:val="21"/>
                <w:szCs w:val="21"/>
                <w:highlight w:val="none"/>
              </w:rPr>
            </w:pPr>
          </w:p>
        </w:tc>
        <w:tc>
          <w:tcPr>
            <w:tcW w:w="5627" w:type="dxa"/>
            <w:noWrap w:val="0"/>
            <w:vAlign w:val="top"/>
          </w:tcPr>
          <w:p w14:paraId="0CD69D38">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 w:val="21"/>
                <w:szCs w:val="21"/>
                <w:highlight w:val="none"/>
                <w:lang w:eastAsia="zh-CN"/>
              </w:rPr>
              <w:t>Ⅳ类</w:t>
            </w:r>
            <w:r>
              <w:rPr>
                <w:rFonts w:hint="eastAsia" w:ascii="宋体" w:hAnsi="宋体" w:eastAsia="宋体" w:cs="宋体"/>
                <w:color w:val="auto"/>
                <w:sz w:val="21"/>
                <w:szCs w:val="21"/>
                <w:highlight w:val="none"/>
              </w:rPr>
              <w:t>水体</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3类声环境功能区</w:t>
            </w:r>
            <w:r>
              <w:rPr>
                <w:rFonts w:hint="eastAsia" w:ascii="宋体" w:hAnsi="宋体" w:eastAsia="宋体" w:cs="宋体"/>
                <w:color w:val="auto"/>
                <w:sz w:val="21"/>
                <w:szCs w:val="21"/>
                <w:highlight w:val="none"/>
                <w:lang w:val="en-US" w:eastAsia="zh-CN"/>
              </w:rPr>
              <w:t>/第三类海水水质的区域</w:t>
            </w:r>
          </w:p>
        </w:tc>
        <w:tc>
          <w:tcPr>
            <w:tcW w:w="1131" w:type="dxa"/>
            <w:noWrap w:val="0"/>
            <w:vAlign w:val="center"/>
          </w:tcPr>
          <w:p w14:paraId="2F97A5C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r>
      <w:tr w14:paraId="75D11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64" w:type="dxa"/>
            <w:vMerge w:val="continue"/>
            <w:noWrap w:val="0"/>
            <w:vAlign w:val="center"/>
          </w:tcPr>
          <w:p w14:paraId="4142E938">
            <w:pPr>
              <w:jc w:val="center"/>
              <w:rPr>
                <w:rFonts w:hint="eastAsia" w:ascii="宋体" w:hAnsi="宋体" w:eastAsia="宋体" w:cs="宋体"/>
                <w:color w:val="auto"/>
                <w:sz w:val="21"/>
                <w:szCs w:val="21"/>
                <w:highlight w:val="none"/>
              </w:rPr>
            </w:pPr>
          </w:p>
        </w:tc>
        <w:tc>
          <w:tcPr>
            <w:tcW w:w="5627" w:type="dxa"/>
            <w:noWrap w:val="0"/>
            <w:vAlign w:val="top"/>
          </w:tcPr>
          <w:p w14:paraId="0BF74ADB">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 w:val="21"/>
                <w:szCs w:val="21"/>
                <w:highlight w:val="none"/>
                <w:lang w:eastAsia="zh-CN"/>
              </w:rPr>
              <w:t>二类环境空气功能区</w:t>
            </w:r>
            <w:r>
              <w:rPr>
                <w:rFonts w:hint="eastAsia" w:ascii="宋体" w:hAnsi="宋体" w:eastAsia="宋体" w:cs="宋体"/>
                <w:color w:val="auto"/>
                <w:sz w:val="21"/>
                <w:szCs w:val="21"/>
                <w:highlight w:val="none"/>
                <w:lang w:eastAsia="zh-CN"/>
              </w:rPr>
              <w:t>（居民区、商业交通居民混合区、文化区）/</w:t>
            </w:r>
            <w:r>
              <w:rPr>
                <w:rFonts w:hint="eastAsia" w:ascii="宋体" w:hAnsi="宋体" w:cs="宋体"/>
                <w:color w:val="auto"/>
                <w:sz w:val="21"/>
                <w:szCs w:val="21"/>
                <w:highlight w:val="none"/>
                <w:lang w:eastAsia="zh-CN"/>
              </w:rPr>
              <w:t>Ⅲ类</w:t>
            </w:r>
            <w:r>
              <w:rPr>
                <w:rFonts w:hint="eastAsia" w:ascii="宋体" w:hAnsi="宋体" w:eastAsia="宋体" w:cs="宋体"/>
                <w:color w:val="auto"/>
                <w:sz w:val="21"/>
                <w:szCs w:val="21"/>
                <w:highlight w:val="none"/>
                <w:lang w:eastAsia="zh-CN"/>
              </w:rPr>
              <w:t>水体/2类声环境功能区/饮用水水源准保护区/自然保护地外的生态保护红线区域</w:t>
            </w:r>
          </w:p>
        </w:tc>
        <w:tc>
          <w:tcPr>
            <w:tcW w:w="1131" w:type="dxa"/>
            <w:noWrap w:val="0"/>
            <w:vAlign w:val="center"/>
          </w:tcPr>
          <w:p w14:paraId="0F229D1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7B6CA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64" w:type="dxa"/>
            <w:vMerge w:val="continue"/>
            <w:noWrap w:val="0"/>
            <w:vAlign w:val="center"/>
          </w:tcPr>
          <w:p w14:paraId="3317DAA4">
            <w:pPr>
              <w:jc w:val="center"/>
              <w:rPr>
                <w:rFonts w:hint="eastAsia" w:ascii="宋体" w:hAnsi="宋体" w:eastAsia="宋体" w:cs="宋体"/>
                <w:color w:val="auto"/>
                <w:sz w:val="21"/>
                <w:szCs w:val="21"/>
                <w:highlight w:val="none"/>
              </w:rPr>
            </w:pPr>
          </w:p>
        </w:tc>
        <w:tc>
          <w:tcPr>
            <w:tcW w:w="5627" w:type="dxa"/>
            <w:noWrap w:val="0"/>
            <w:vAlign w:val="top"/>
          </w:tcPr>
          <w:p w14:paraId="4545A5BF">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 w:val="21"/>
                <w:szCs w:val="21"/>
                <w:highlight w:val="none"/>
                <w:lang w:eastAsia="zh-CN"/>
              </w:rPr>
              <w:t>Ⅱ类</w:t>
            </w:r>
            <w:r>
              <w:rPr>
                <w:rFonts w:hint="eastAsia" w:ascii="宋体" w:hAnsi="宋体" w:eastAsia="宋体" w:cs="宋体"/>
                <w:color w:val="auto"/>
                <w:sz w:val="21"/>
                <w:szCs w:val="21"/>
                <w:highlight w:val="none"/>
              </w:rPr>
              <w:t>水体</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1类声环境功能区／自然保护地一般控制区</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饮用水水源二级保护区</w:t>
            </w:r>
            <w:r>
              <w:rPr>
                <w:rFonts w:hint="eastAsia" w:ascii="宋体" w:hAnsi="宋体" w:eastAsia="宋体" w:cs="宋体"/>
                <w:color w:val="auto"/>
                <w:sz w:val="21"/>
                <w:szCs w:val="21"/>
                <w:highlight w:val="none"/>
                <w:lang w:val="en-US" w:eastAsia="zh-CN"/>
              </w:rPr>
              <w:t>/第二类海水水质的区域</w:t>
            </w:r>
          </w:p>
        </w:tc>
        <w:tc>
          <w:tcPr>
            <w:tcW w:w="1131" w:type="dxa"/>
            <w:noWrap w:val="0"/>
            <w:vAlign w:val="center"/>
          </w:tcPr>
          <w:p w14:paraId="01317DF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r>
      <w:tr w14:paraId="3F545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64" w:type="dxa"/>
            <w:vMerge w:val="continue"/>
            <w:noWrap w:val="0"/>
            <w:vAlign w:val="center"/>
          </w:tcPr>
          <w:p w14:paraId="09D8FAE7">
            <w:pPr>
              <w:jc w:val="center"/>
              <w:rPr>
                <w:rFonts w:hint="eastAsia" w:ascii="宋体" w:hAnsi="宋体" w:eastAsia="宋体" w:cs="宋体"/>
                <w:color w:val="auto"/>
                <w:sz w:val="21"/>
                <w:szCs w:val="21"/>
                <w:highlight w:val="none"/>
              </w:rPr>
            </w:pPr>
          </w:p>
        </w:tc>
        <w:tc>
          <w:tcPr>
            <w:tcW w:w="5627" w:type="dxa"/>
            <w:noWrap w:val="0"/>
            <w:vAlign w:val="top"/>
          </w:tcPr>
          <w:p w14:paraId="519A83F1">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 w:val="21"/>
                <w:szCs w:val="21"/>
                <w:highlight w:val="none"/>
                <w:lang w:eastAsia="zh-CN"/>
              </w:rPr>
              <w:t>一类环境空气功能区</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I类水体</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0类声环境功能区／自然保护地核心保护区</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饮用水水源一级保护区</w:t>
            </w:r>
            <w:r>
              <w:rPr>
                <w:rFonts w:hint="eastAsia" w:ascii="宋体" w:hAnsi="宋体" w:eastAsia="宋体" w:cs="宋体"/>
                <w:color w:val="auto"/>
                <w:sz w:val="21"/>
                <w:szCs w:val="21"/>
                <w:highlight w:val="none"/>
                <w:lang w:val="en-US" w:eastAsia="zh-CN"/>
              </w:rPr>
              <w:t>/第一类海水水质的区域</w:t>
            </w:r>
          </w:p>
        </w:tc>
        <w:tc>
          <w:tcPr>
            <w:tcW w:w="1131" w:type="dxa"/>
            <w:noWrap w:val="0"/>
            <w:vAlign w:val="center"/>
          </w:tcPr>
          <w:p w14:paraId="565A7FF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0B92F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64" w:type="dxa"/>
            <w:noWrap w:val="0"/>
            <w:vAlign w:val="center"/>
          </w:tcPr>
          <w:p w14:paraId="1E7834A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备注</w:t>
            </w:r>
          </w:p>
        </w:tc>
        <w:tc>
          <w:tcPr>
            <w:tcW w:w="6758" w:type="dxa"/>
            <w:gridSpan w:val="2"/>
            <w:noWrap w:val="0"/>
            <w:vAlign w:val="top"/>
          </w:tcPr>
          <w:p w14:paraId="45E03125">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一般报告书指除化工、电镀、皮革、造纸、制浆、冶炼、放射性、印染、染料、炼焦、炼油项目外的报告书</w:t>
            </w:r>
            <w:r>
              <w:rPr>
                <w:rFonts w:hint="eastAsia" w:ascii="宋体" w:hAnsi="宋体" w:eastAsia="宋体" w:cs="宋体"/>
                <w:color w:val="auto"/>
                <w:sz w:val="21"/>
                <w:szCs w:val="21"/>
                <w:highlight w:val="none"/>
                <w:lang w:eastAsia="zh-CN"/>
              </w:rPr>
              <w:t>；</w:t>
            </w:r>
          </w:p>
          <w:p w14:paraId="49B209B8">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304" w:lineRule="exact"/>
              <w:ind w:left="0" w:right="0" w:rightChars="0"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对企业的处罚和对法定代表人、主要负责人、直接负责的主管人员及其他直接责任人员、编制主持人和主要编制人员的处罚，以本表作为裁量选取。</w:t>
            </w:r>
          </w:p>
        </w:tc>
      </w:tr>
    </w:tbl>
    <w:p w14:paraId="4BC3A1F8">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33"/>
        <w:gridCol w:w="5925"/>
        <w:gridCol w:w="1190"/>
      </w:tblGrid>
      <w:tr w14:paraId="3D59C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3"/>
            <w:noWrap w:val="0"/>
            <w:vAlign w:val="top"/>
          </w:tcPr>
          <w:p w14:paraId="2E96A268">
            <w:pPr>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（二）生态环境影响评价管理类</w:t>
            </w:r>
          </w:p>
        </w:tc>
      </w:tr>
      <w:tr w14:paraId="046B5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6" w:type="dxa"/>
            <w:noWrap w:val="0"/>
            <w:vAlign w:val="center"/>
          </w:tcPr>
          <w:p w14:paraId="5EE9D0F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776" w:type="dxa"/>
            <w:gridSpan w:val="2"/>
            <w:noWrap w:val="0"/>
            <w:vAlign w:val="top"/>
          </w:tcPr>
          <w:p w14:paraId="4D957C92">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r>
      <w:tr w14:paraId="49947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6" w:type="dxa"/>
            <w:noWrap w:val="0"/>
            <w:vAlign w:val="center"/>
          </w:tcPr>
          <w:p w14:paraId="45A3435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6776" w:type="dxa"/>
            <w:gridSpan w:val="2"/>
            <w:noWrap w:val="0"/>
            <w:vAlign w:val="center"/>
          </w:tcPr>
          <w:p w14:paraId="7D3A20DB">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接受委托为建设单位编制建设项目生态环境影响报告书、报告表的技术单位违反国家有关生态环境影响评价标准和技术规范等规定，致使其编制的报告书、报告表存在基础资料明显不实，内容存在重大缺陷、遗漏或者虚假，生态环境影响评价结论不正确或者不合理等严重后果的</w:t>
            </w:r>
          </w:p>
        </w:tc>
      </w:tr>
      <w:tr w14:paraId="6CAFD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jc w:val="center"/>
        </w:trPr>
        <w:tc>
          <w:tcPr>
            <w:tcW w:w="1746" w:type="dxa"/>
            <w:noWrap w:val="0"/>
            <w:vAlign w:val="center"/>
          </w:tcPr>
          <w:p w14:paraId="14E178A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6776" w:type="dxa"/>
            <w:gridSpan w:val="2"/>
            <w:noWrap w:val="0"/>
            <w:vAlign w:val="center"/>
          </w:tcPr>
          <w:p w14:paraId="27674CB1">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《中华人民共和国生态环境法典》第九十八条</w:t>
            </w:r>
            <w:r>
              <w:rPr>
                <w:rFonts w:hint="eastAsia" w:ascii="宋体" w:hAnsi="宋体" w:cs="宋体"/>
                <w:color w:val="auto"/>
                <w:sz w:val="21"/>
                <w:szCs w:val="21"/>
                <w:highlight w:val="none"/>
                <w:lang w:val="en-US" w:eastAsia="zh-CN"/>
              </w:rPr>
              <w:t>第一款、第二款</w:t>
            </w:r>
            <w:r>
              <w:rPr>
                <w:rFonts w:hint="eastAsia" w:ascii="宋体" w:hAnsi="宋体" w:eastAsia="宋体" w:cs="宋体"/>
                <w:color w:val="auto"/>
                <w:sz w:val="21"/>
                <w:szCs w:val="21"/>
                <w:highlight w:val="none"/>
              </w:rPr>
              <w:t>　建设单位可以委托技术单位对其建设项目开展生态环境影响评价，编制建设项目生态环境影响报告书、生态环境影响报告表；建设单位具备生态环境影响评价技术能力的，可以自行对其建设项目开展生态环境影响评价，编制建设项目生态环境影响报告书、生态环境影响报告表。</w:t>
            </w:r>
          </w:p>
          <w:p w14:paraId="247C9526">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编制建设项目生态环境影响报告书、生态环境影响报告表应当遵守国家有关生态环境影响评价标准、技术规范等规定。</w:t>
            </w:r>
          </w:p>
          <w:p w14:paraId="42B3156E">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《中华人民共和国生态环境法典》第九十九条　接受委托为建设单位编制建设项目生态环境影响报告书、生态环境影响报告表的技术单位应当依法独立客观公正开展业务，建立健全质量控制制度，确保所出具的生态环境影响报告书、生态环境影响报告表客观、真实、准确。</w:t>
            </w:r>
          </w:p>
          <w:p w14:paraId="1376B3D9">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百条第一款：建设单位应当对建设项目生态环境影响报告书、生态环境影响报告表的内容和结论负责，接受委托编制建设项目生态环境影响报告书、生态环境影响报告表的技术单位对其编制的建设项目生态环境影响报告书、生态环境影响报告表承担相应责任。</w:t>
            </w:r>
          </w:p>
        </w:tc>
      </w:tr>
      <w:tr w14:paraId="6E7E0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6" w:hRule="atLeast"/>
          <w:jc w:val="center"/>
        </w:trPr>
        <w:tc>
          <w:tcPr>
            <w:tcW w:w="1746" w:type="dxa"/>
            <w:noWrap w:val="0"/>
            <w:vAlign w:val="center"/>
          </w:tcPr>
          <w:p w14:paraId="1A2A044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6776" w:type="dxa"/>
            <w:gridSpan w:val="2"/>
            <w:noWrap w:val="0"/>
            <w:vAlign w:val="center"/>
          </w:tcPr>
          <w:p w14:paraId="15AA6132">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《中华人民共和国生态环境法典》第一千零九十七条　违反本法规定，接受委托为建设单位编制建设项目生态环境影响报告书、报告表的技术单位违反国家有关生态环境影响评价标准和技术规范等规定，致使其编制的报告书、报告表存在基础资料明显不实，内容存在重大缺陷、遗漏或者虚假，生态环境影响评价结论不正确或者不合理等严重后果的，由生态环境主管部门、海警机构按照职责分工没收违法所得，并处十万元以上五十万元以下的罚款</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w:t>
            </w:r>
          </w:p>
          <w:p w14:paraId="7A635530">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技术单位有前款规定的违法情形的，主持编制的主要人员五年内禁止从事生态环境影响报告书、报告表编制工作</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w:t>
            </w:r>
          </w:p>
        </w:tc>
      </w:tr>
      <w:tr w14:paraId="5DF3E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6" w:type="dxa"/>
            <w:noWrap w:val="0"/>
            <w:vAlign w:val="center"/>
          </w:tcPr>
          <w:p w14:paraId="608A558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643" w:type="dxa"/>
            <w:noWrap w:val="0"/>
            <w:vAlign w:val="center"/>
          </w:tcPr>
          <w:p w14:paraId="7DA534C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133" w:type="dxa"/>
            <w:noWrap w:val="0"/>
            <w:vAlign w:val="top"/>
          </w:tcPr>
          <w:p w14:paraId="3BAE51B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44BE0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6" w:type="dxa"/>
            <w:vMerge w:val="restart"/>
            <w:noWrap w:val="0"/>
            <w:vAlign w:val="center"/>
          </w:tcPr>
          <w:p w14:paraId="05FA78D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违法数量</w:t>
            </w:r>
          </w:p>
        </w:tc>
        <w:tc>
          <w:tcPr>
            <w:tcW w:w="5643" w:type="dxa"/>
            <w:noWrap w:val="0"/>
            <w:vAlign w:val="center"/>
          </w:tcPr>
          <w:p w14:paraId="5F28D6DB">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1份</w:t>
            </w:r>
          </w:p>
        </w:tc>
        <w:tc>
          <w:tcPr>
            <w:tcW w:w="1133" w:type="dxa"/>
            <w:noWrap w:val="0"/>
            <w:vAlign w:val="center"/>
          </w:tcPr>
          <w:p w14:paraId="58EED9C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p>
        </w:tc>
      </w:tr>
      <w:tr w14:paraId="76DD4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6" w:type="dxa"/>
            <w:vMerge w:val="continue"/>
            <w:noWrap w:val="0"/>
            <w:vAlign w:val="center"/>
          </w:tcPr>
          <w:p w14:paraId="75445E24">
            <w:pPr>
              <w:jc w:val="center"/>
              <w:rPr>
                <w:rFonts w:hint="eastAsia" w:ascii="宋体" w:hAnsi="宋体" w:eastAsia="宋体" w:cs="宋体"/>
                <w:color w:val="auto"/>
                <w:sz w:val="21"/>
                <w:szCs w:val="21"/>
                <w:highlight w:val="none"/>
              </w:rPr>
            </w:pPr>
          </w:p>
        </w:tc>
        <w:tc>
          <w:tcPr>
            <w:tcW w:w="5643" w:type="dxa"/>
            <w:noWrap w:val="0"/>
            <w:vAlign w:val="center"/>
          </w:tcPr>
          <w:p w14:paraId="4F8C6B05">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2份以上不足5份</w:t>
            </w:r>
          </w:p>
        </w:tc>
        <w:tc>
          <w:tcPr>
            <w:tcW w:w="1133" w:type="dxa"/>
            <w:noWrap w:val="0"/>
            <w:vAlign w:val="center"/>
          </w:tcPr>
          <w:p w14:paraId="4DEFB0F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p>
        </w:tc>
      </w:tr>
      <w:tr w14:paraId="0443B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6" w:type="dxa"/>
            <w:vMerge w:val="continue"/>
            <w:noWrap w:val="0"/>
            <w:vAlign w:val="center"/>
          </w:tcPr>
          <w:p w14:paraId="2DA6B59F">
            <w:pPr>
              <w:jc w:val="center"/>
              <w:rPr>
                <w:rFonts w:hint="eastAsia" w:ascii="宋体" w:hAnsi="宋体" w:eastAsia="宋体" w:cs="宋体"/>
                <w:color w:val="auto"/>
                <w:sz w:val="21"/>
                <w:szCs w:val="21"/>
                <w:highlight w:val="none"/>
              </w:rPr>
            </w:pPr>
          </w:p>
        </w:tc>
        <w:tc>
          <w:tcPr>
            <w:tcW w:w="5643" w:type="dxa"/>
            <w:noWrap w:val="0"/>
            <w:vAlign w:val="center"/>
          </w:tcPr>
          <w:p w14:paraId="424E3A40">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5份以上不足</w:t>
            </w: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份</w:t>
            </w:r>
          </w:p>
        </w:tc>
        <w:tc>
          <w:tcPr>
            <w:tcW w:w="1133" w:type="dxa"/>
            <w:noWrap w:val="0"/>
            <w:vAlign w:val="center"/>
          </w:tcPr>
          <w:p w14:paraId="10C2E23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p>
        </w:tc>
      </w:tr>
      <w:tr w14:paraId="2AF62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1746" w:type="dxa"/>
            <w:vMerge w:val="continue"/>
            <w:noWrap w:val="0"/>
            <w:vAlign w:val="center"/>
          </w:tcPr>
          <w:p w14:paraId="0030B6B7">
            <w:pPr>
              <w:jc w:val="center"/>
              <w:rPr>
                <w:rFonts w:hint="eastAsia" w:ascii="宋体" w:hAnsi="宋体" w:eastAsia="宋体" w:cs="宋体"/>
                <w:color w:val="auto"/>
                <w:sz w:val="21"/>
                <w:szCs w:val="21"/>
                <w:highlight w:val="none"/>
              </w:rPr>
            </w:pPr>
          </w:p>
        </w:tc>
        <w:tc>
          <w:tcPr>
            <w:tcW w:w="5643" w:type="dxa"/>
            <w:noWrap w:val="0"/>
            <w:vAlign w:val="center"/>
          </w:tcPr>
          <w:p w14:paraId="45CBE90F">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份以上</w:t>
            </w:r>
          </w:p>
        </w:tc>
        <w:tc>
          <w:tcPr>
            <w:tcW w:w="1133" w:type="dxa"/>
            <w:noWrap w:val="0"/>
            <w:vAlign w:val="center"/>
          </w:tcPr>
          <w:p w14:paraId="51D7A79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p>
        </w:tc>
      </w:tr>
    </w:tbl>
    <w:p w14:paraId="07D96077">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p w14:paraId="51C40923">
      <w:pPr>
        <w:rPr>
          <w:rFonts w:hint="eastAsia" w:ascii="宋体" w:hAnsi="宋体" w:eastAsia="宋体" w:cs="宋体"/>
          <w:sz w:val="21"/>
          <w:szCs w:val="21"/>
          <w:highlight w:val="none"/>
        </w:rPr>
      </w:pP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11"/>
        <w:gridCol w:w="5944"/>
        <w:gridCol w:w="1193"/>
      </w:tblGrid>
      <w:tr w14:paraId="0B5E9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3"/>
            <w:noWrap w:val="0"/>
            <w:vAlign w:val="top"/>
          </w:tcPr>
          <w:p w14:paraId="24F8628F">
            <w:pPr>
              <w:jc w:val="center"/>
              <w:rPr>
                <w:rFonts w:hint="eastAsia" w:ascii="宋体" w:hAnsi="宋体" w:eastAsia="宋体" w:cs="宋体"/>
                <w:color w:val="auto"/>
                <w:sz w:val="21"/>
                <w:szCs w:val="21"/>
                <w:highlight w:val="none"/>
              </w:rPr>
            </w:pPr>
            <w:r>
              <w:rPr>
                <w:rFonts w:hint="eastAsia" w:ascii="宋体" w:hAnsi="宋体" w:cs="宋体"/>
                <w:b w:val="0"/>
                <w:bCs w:val="0"/>
                <w:color w:val="auto"/>
                <w:sz w:val="21"/>
                <w:szCs w:val="21"/>
                <w:highlight w:val="none"/>
                <w:lang w:val="en-US" w:eastAsia="zh-CN"/>
              </w:rPr>
              <w:t>（二）生态环境影响评价管理类</w:t>
            </w:r>
          </w:p>
        </w:tc>
      </w:tr>
      <w:tr w14:paraId="6E2BE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5" w:type="dxa"/>
            <w:noWrap w:val="0"/>
            <w:vAlign w:val="center"/>
          </w:tcPr>
          <w:p w14:paraId="0B4DCCE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797" w:type="dxa"/>
            <w:gridSpan w:val="2"/>
            <w:noWrap w:val="0"/>
            <w:vAlign w:val="top"/>
          </w:tcPr>
          <w:p w14:paraId="0B3CC86C">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r>
      <w:tr w14:paraId="4C6A7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5" w:type="dxa"/>
            <w:noWrap w:val="0"/>
            <w:vAlign w:val="center"/>
          </w:tcPr>
          <w:p w14:paraId="4EE649B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6797" w:type="dxa"/>
            <w:gridSpan w:val="2"/>
            <w:noWrap w:val="0"/>
            <w:vAlign w:val="center"/>
          </w:tcPr>
          <w:p w14:paraId="483C6DCF">
            <w:pPr>
              <w:keepNext w:val="0"/>
              <w:keepLines w:val="0"/>
              <w:pageBreakBefore w:val="0"/>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lang w:val="en-US" w:eastAsia="zh-CN"/>
              </w:rPr>
              <w:t>在建设项目建设、运行过程中，未实施生态环境影响报告书、报告表及其审批部门审批意见中提出的生态环境保护对策措施的</w:t>
            </w:r>
          </w:p>
        </w:tc>
      </w:tr>
      <w:tr w14:paraId="7E270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1725" w:type="dxa"/>
            <w:noWrap w:val="0"/>
            <w:vAlign w:val="center"/>
          </w:tcPr>
          <w:p w14:paraId="205DD01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6797" w:type="dxa"/>
            <w:gridSpan w:val="2"/>
            <w:noWrap w:val="0"/>
            <w:vAlign w:val="center"/>
          </w:tcPr>
          <w:p w14:paraId="568ABD13">
            <w:pPr>
              <w:keepNext w:val="0"/>
              <w:keepLines w:val="0"/>
              <w:pageBreakBefore w:val="0"/>
              <w:kinsoku/>
              <w:wordWrap/>
              <w:overflowPunct/>
              <w:topLinePunct w:val="0"/>
              <w:autoSpaceDE/>
              <w:autoSpaceDN/>
              <w:bidi w:val="0"/>
              <w:snapToGrid w:val="0"/>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《中华人民共和国生态环境法典》第一百零八条　建设项目建设、运行过程中，建设单位应当实施生态环境影响报告书、生态环境影响报告表及其审批部门审批意见中提出的生态环境保护对策措施。</w:t>
            </w:r>
          </w:p>
        </w:tc>
      </w:tr>
      <w:tr w14:paraId="769DA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1" w:hRule="atLeast"/>
          <w:jc w:val="center"/>
        </w:trPr>
        <w:tc>
          <w:tcPr>
            <w:tcW w:w="1725" w:type="dxa"/>
            <w:noWrap w:val="0"/>
            <w:vAlign w:val="center"/>
          </w:tcPr>
          <w:p w14:paraId="79F2E7F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6797" w:type="dxa"/>
            <w:gridSpan w:val="2"/>
            <w:noWrap w:val="0"/>
            <w:vAlign w:val="center"/>
          </w:tcPr>
          <w:p w14:paraId="36AD62A2">
            <w:pPr>
              <w:keepNext w:val="0"/>
              <w:keepLines w:val="0"/>
              <w:pageBreakBefore w:val="0"/>
              <w:kinsoku/>
              <w:wordWrap/>
              <w:overflowPunct/>
              <w:topLinePunct w:val="0"/>
              <w:autoSpaceDE/>
              <w:autoSpaceDN/>
              <w:bidi w:val="0"/>
              <w:snapToGrid w:val="0"/>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《中华人民共和国生态环境法典》第一千零九十九条　违反本法规定，在建设项目建设、运行过程中，未实施生态环境影响报告书、报告表及其审批部门审批意见中提出的生态环境保护对策措施的，由生态环境主管部门、海警机构按照职责分工对建设单位处五万元以上五十万元以下的罚款</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。本法另有规定的，适用其规定。</w:t>
            </w:r>
          </w:p>
        </w:tc>
      </w:tr>
      <w:tr w14:paraId="35701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5" w:type="dxa"/>
            <w:noWrap w:val="0"/>
            <w:vAlign w:val="center"/>
          </w:tcPr>
          <w:p w14:paraId="11F0A56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661" w:type="dxa"/>
            <w:noWrap w:val="0"/>
            <w:vAlign w:val="center"/>
          </w:tcPr>
          <w:p w14:paraId="31A97F19">
            <w:pPr>
              <w:keepNext w:val="0"/>
              <w:keepLines w:val="0"/>
              <w:pageBreakBefore w:val="0"/>
              <w:kinsoku/>
              <w:wordWrap/>
              <w:overflowPunct/>
              <w:topLinePunct w:val="0"/>
              <w:autoSpaceDE/>
              <w:autoSpaceDN/>
              <w:bidi w:val="0"/>
              <w:snapToGrid w:val="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136" w:type="dxa"/>
            <w:noWrap w:val="0"/>
            <w:vAlign w:val="top"/>
          </w:tcPr>
          <w:p w14:paraId="3458D833">
            <w:pPr>
              <w:keepNext w:val="0"/>
              <w:keepLines w:val="0"/>
              <w:pageBreakBefore w:val="0"/>
              <w:kinsoku/>
              <w:wordWrap/>
              <w:overflowPunct/>
              <w:topLinePunct w:val="0"/>
              <w:autoSpaceDE/>
              <w:autoSpaceDN/>
              <w:bidi w:val="0"/>
              <w:snapToGrid w:val="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01C57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5" w:type="dxa"/>
            <w:vMerge w:val="restart"/>
            <w:noWrap w:val="0"/>
            <w:vAlign w:val="center"/>
          </w:tcPr>
          <w:p w14:paraId="38698DF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违法事实</w:t>
            </w:r>
          </w:p>
        </w:tc>
        <w:tc>
          <w:tcPr>
            <w:tcW w:w="5661" w:type="dxa"/>
            <w:noWrap w:val="0"/>
            <w:vAlign w:val="center"/>
          </w:tcPr>
          <w:p w14:paraId="7A59AF73">
            <w:pPr>
              <w:keepNext w:val="0"/>
              <w:keepLines w:val="0"/>
              <w:pageBreakBefore w:val="0"/>
              <w:widowControl w:val="0"/>
              <w:kinsoku/>
              <w:wordWrap/>
              <w:overflowPunct/>
              <w:topLinePunct w:val="0"/>
              <w:autoSpaceDE/>
              <w:autoSpaceDN/>
              <w:bidi w:val="0"/>
              <w:adjustRightInd/>
              <w:snapToGrid w:val="0"/>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生态环境影响报告书、报告表中提出的生态环境保护对策措施</w:t>
            </w:r>
            <w:r>
              <w:rPr>
                <w:rFonts w:hint="eastAsia" w:ascii="宋体" w:hAnsi="宋体" w:eastAsia="宋体" w:cs="宋体"/>
                <w:color w:val="auto"/>
                <w:sz w:val="21"/>
                <w:szCs w:val="21"/>
                <w:highlight w:val="none"/>
                <w:lang w:val="en-US" w:eastAsia="zh-CN"/>
              </w:rPr>
              <w:t>和</w:t>
            </w:r>
            <w:r>
              <w:rPr>
                <w:rFonts w:hint="eastAsia" w:ascii="宋体" w:hAnsi="宋体" w:eastAsia="宋体" w:cs="宋体"/>
                <w:color w:val="auto"/>
                <w:sz w:val="21"/>
                <w:szCs w:val="21"/>
                <w:highlight w:val="none"/>
              </w:rPr>
              <w:t>审批部门审批意见中提出的生态环境保护对策措施</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以上两项</w:t>
            </w:r>
            <w:r>
              <w:rPr>
                <w:rFonts w:hint="eastAsia" w:ascii="宋体" w:hAnsi="宋体" w:eastAsia="宋体" w:cs="宋体"/>
                <w:color w:val="auto"/>
                <w:sz w:val="21"/>
                <w:szCs w:val="21"/>
                <w:highlight w:val="none"/>
              </w:rPr>
              <w:t>生态环境保护对策措施</w:t>
            </w:r>
            <w:r>
              <w:rPr>
                <w:rFonts w:hint="eastAsia" w:ascii="宋体" w:hAnsi="宋体" w:eastAsia="宋体" w:cs="宋体"/>
                <w:color w:val="auto"/>
                <w:sz w:val="21"/>
                <w:szCs w:val="21"/>
                <w:highlight w:val="none"/>
                <w:lang w:val="en-US" w:eastAsia="zh-CN"/>
              </w:rPr>
              <w:t>部分实施一项的。</w:t>
            </w:r>
          </w:p>
        </w:tc>
        <w:tc>
          <w:tcPr>
            <w:tcW w:w="1136" w:type="dxa"/>
            <w:noWrap w:val="0"/>
            <w:vAlign w:val="center"/>
          </w:tcPr>
          <w:p w14:paraId="137F366A">
            <w:pPr>
              <w:keepNext w:val="0"/>
              <w:keepLines w:val="0"/>
              <w:pageBreakBefore w:val="0"/>
              <w:kinsoku/>
              <w:wordWrap/>
              <w:overflowPunct/>
              <w:topLinePunct w:val="0"/>
              <w:autoSpaceDE/>
              <w:autoSpaceDN/>
              <w:bidi w:val="0"/>
              <w:snapToGrid w:val="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r>
      <w:tr w14:paraId="339CC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5" w:type="dxa"/>
            <w:vMerge w:val="continue"/>
            <w:noWrap w:val="0"/>
            <w:vAlign w:val="center"/>
          </w:tcPr>
          <w:p w14:paraId="64B6FAFE">
            <w:pPr>
              <w:jc w:val="center"/>
              <w:rPr>
                <w:rFonts w:hint="eastAsia" w:ascii="宋体" w:hAnsi="宋体" w:eastAsia="宋体" w:cs="宋体"/>
                <w:color w:val="auto"/>
                <w:sz w:val="21"/>
                <w:szCs w:val="21"/>
                <w:highlight w:val="none"/>
                <w:lang w:val="en-US" w:eastAsia="zh-CN"/>
              </w:rPr>
            </w:pPr>
          </w:p>
        </w:tc>
        <w:tc>
          <w:tcPr>
            <w:tcW w:w="5661" w:type="dxa"/>
            <w:noWrap w:val="0"/>
            <w:vAlign w:val="center"/>
          </w:tcPr>
          <w:p w14:paraId="00A9F250">
            <w:pPr>
              <w:keepNext w:val="0"/>
              <w:keepLines w:val="0"/>
              <w:pageBreakBefore w:val="0"/>
              <w:widowControl w:val="0"/>
              <w:kinsoku/>
              <w:wordWrap/>
              <w:overflowPunct/>
              <w:topLinePunct w:val="0"/>
              <w:autoSpaceDE/>
              <w:autoSpaceDN/>
              <w:bidi w:val="0"/>
              <w:adjustRightInd/>
              <w:snapToGrid w:val="0"/>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生态环境影响报告书、报告表中提出的生态环境保护对策措施</w:t>
            </w:r>
            <w:r>
              <w:rPr>
                <w:rFonts w:hint="eastAsia" w:ascii="宋体" w:hAnsi="宋体" w:eastAsia="宋体" w:cs="宋体"/>
                <w:color w:val="auto"/>
                <w:sz w:val="21"/>
                <w:szCs w:val="21"/>
                <w:highlight w:val="none"/>
                <w:lang w:val="en-US" w:eastAsia="zh-CN"/>
              </w:rPr>
              <w:t>和</w:t>
            </w:r>
            <w:r>
              <w:rPr>
                <w:rFonts w:hint="eastAsia" w:ascii="宋体" w:hAnsi="宋体" w:eastAsia="宋体" w:cs="宋体"/>
                <w:color w:val="auto"/>
                <w:sz w:val="21"/>
                <w:szCs w:val="21"/>
                <w:highlight w:val="none"/>
              </w:rPr>
              <w:t>审批部门审批意见中提出的生态环境保护对策措施</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以上两项</w:t>
            </w:r>
            <w:r>
              <w:rPr>
                <w:rFonts w:hint="eastAsia" w:ascii="宋体" w:hAnsi="宋体" w:eastAsia="宋体" w:cs="宋体"/>
                <w:color w:val="auto"/>
                <w:sz w:val="21"/>
                <w:szCs w:val="21"/>
                <w:highlight w:val="none"/>
              </w:rPr>
              <w:t>生态环境保护对策措施</w:t>
            </w:r>
            <w:r>
              <w:rPr>
                <w:rFonts w:hint="eastAsia" w:ascii="宋体" w:hAnsi="宋体" w:eastAsia="宋体" w:cs="宋体"/>
                <w:color w:val="auto"/>
                <w:sz w:val="21"/>
                <w:szCs w:val="21"/>
                <w:highlight w:val="none"/>
                <w:lang w:val="en-US" w:eastAsia="zh-CN"/>
              </w:rPr>
              <w:t>均部分实施的。</w:t>
            </w:r>
          </w:p>
        </w:tc>
        <w:tc>
          <w:tcPr>
            <w:tcW w:w="1136" w:type="dxa"/>
            <w:noWrap w:val="0"/>
            <w:vAlign w:val="center"/>
          </w:tcPr>
          <w:p w14:paraId="18E1F157">
            <w:pPr>
              <w:keepNext w:val="0"/>
              <w:keepLines w:val="0"/>
              <w:pageBreakBefore w:val="0"/>
              <w:kinsoku/>
              <w:wordWrap/>
              <w:overflowPunct/>
              <w:topLinePunct w:val="0"/>
              <w:autoSpaceDE/>
              <w:autoSpaceDN/>
              <w:bidi w:val="0"/>
              <w:snapToGrid w:val="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r>
      <w:tr w14:paraId="3EED1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5" w:type="dxa"/>
            <w:vMerge w:val="continue"/>
            <w:noWrap w:val="0"/>
            <w:vAlign w:val="center"/>
          </w:tcPr>
          <w:p w14:paraId="34DBBC69">
            <w:pPr>
              <w:jc w:val="center"/>
              <w:rPr>
                <w:rFonts w:hint="eastAsia" w:ascii="宋体" w:hAnsi="宋体" w:eastAsia="宋体" w:cs="宋体"/>
                <w:color w:val="auto"/>
                <w:sz w:val="21"/>
                <w:szCs w:val="21"/>
                <w:highlight w:val="none"/>
                <w:lang w:val="en-US" w:eastAsia="zh-CN"/>
              </w:rPr>
            </w:pPr>
          </w:p>
        </w:tc>
        <w:tc>
          <w:tcPr>
            <w:tcW w:w="5661" w:type="dxa"/>
            <w:noWrap w:val="0"/>
            <w:vAlign w:val="center"/>
          </w:tcPr>
          <w:p w14:paraId="31D813F8">
            <w:pPr>
              <w:keepNext w:val="0"/>
              <w:keepLines w:val="0"/>
              <w:pageBreakBefore w:val="0"/>
              <w:widowControl w:val="0"/>
              <w:kinsoku/>
              <w:wordWrap/>
              <w:overflowPunct/>
              <w:topLinePunct w:val="0"/>
              <w:autoSpaceDE/>
              <w:autoSpaceDN/>
              <w:bidi w:val="0"/>
              <w:adjustRightInd/>
              <w:snapToGrid w:val="0"/>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生态环境影响报告书、报告表中提出的生态环境保护对策措施</w:t>
            </w:r>
            <w:r>
              <w:rPr>
                <w:rFonts w:hint="eastAsia" w:ascii="宋体" w:hAnsi="宋体" w:eastAsia="宋体" w:cs="宋体"/>
                <w:color w:val="auto"/>
                <w:sz w:val="21"/>
                <w:szCs w:val="21"/>
                <w:highlight w:val="none"/>
                <w:lang w:val="en-US" w:eastAsia="zh-CN"/>
              </w:rPr>
              <w:t>和</w:t>
            </w:r>
            <w:r>
              <w:rPr>
                <w:rFonts w:hint="eastAsia" w:ascii="宋体" w:hAnsi="宋体" w:eastAsia="宋体" w:cs="宋体"/>
                <w:color w:val="auto"/>
                <w:sz w:val="21"/>
                <w:szCs w:val="21"/>
                <w:highlight w:val="none"/>
              </w:rPr>
              <w:t>审批部门审批意见中提出的生态环境保护对策措施</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以上两项</w:t>
            </w:r>
            <w:r>
              <w:rPr>
                <w:rFonts w:hint="eastAsia" w:ascii="宋体" w:hAnsi="宋体" w:eastAsia="宋体" w:cs="宋体"/>
                <w:color w:val="auto"/>
                <w:sz w:val="21"/>
                <w:szCs w:val="21"/>
                <w:highlight w:val="none"/>
              </w:rPr>
              <w:t>生态环境保护对策措施</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一项部分实施，一项未实施。</w:t>
            </w:r>
          </w:p>
        </w:tc>
        <w:tc>
          <w:tcPr>
            <w:tcW w:w="1136" w:type="dxa"/>
            <w:noWrap w:val="0"/>
            <w:vAlign w:val="center"/>
          </w:tcPr>
          <w:p w14:paraId="77260F72">
            <w:pPr>
              <w:keepNext w:val="0"/>
              <w:keepLines w:val="0"/>
              <w:pageBreakBefore w:val="0"/>
              <w:kinsoku/>
              <w:wordWrap/>
              <w:overflowPunct/>
              <w:topLinePunct w:val="0"/>
              <w:autoSpaceDE/>
              <w:autoSpaceDN/>
              <w:bidi w:val="0"/>
              <w:snapToGrid w:val="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r>
      <w:tr w14:paraId="6387A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5" w:type="dxa"/>
            <w:vMerge w:val="continue"/>
            <w:noWrap w:val="0"/>
            <w:vAlign w:val="center"/>
          </w:tcPr>
          <w:p w14:paraId="47ED455D">
            <w:pPr>
              <w:jc w:val="center"/>
              <w:rPr>
                <w:rFonts w:hint="eastAsia" w:ascii="宋体" w:hAnsi="宋体" w:eastAsia="宋体" w:cs="宋体"/>
                <w:color w:val="auto"/>
                <w:sz w:val="21"/>
                <w:szCs w:val="21"/>
                <w:highlight w:val="none"/>
              </w:rPr>
            </w:pPr>
          </w:p>
        </w:tc>
        <w:tc>
          <w:tcPr>
            <w:tcW w:w="5661" w:type="dxa"/>
            <w:noWrap w:val="0"/>
            <w:vAlign w:val="center"/>
          </w:tcPr>
          <w:p w14:paraId="1887AA2C">
            <w:pPr>
              <w:keepNext w:val="0"/>
              <w:keepLines w:val="0"/>
              <w:pageBreakBefore w:val="0"/>
              <w:widowControl w:val="0"/>
              <w:kinsoku/>
              <w:wordWrap/>
              <w:overflowPunct/>
              <w:topLinePunct w:val="0"/>
              <w:autoSpaceDE/>
              <w:autoSpaceDN/>
              <w:bidi w:val="0"/>
              <w:adjustRightInd/>
              <w:snapToGrid w:val="0"/>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生态环境影响报告书、报告表中提出的生态环境保护对策措施</w:t>
            </w:r>
            <w:r>
              <w:rPr>
                <w:rFonts w:hint="eastAsia" w:ascii="宋体" w:hAnsi="宋体" w:eastAsia="宋体" w:cs="宋体"/>
                <w:color w:val="auto"/>
                <w:sz w:val="21"/>
                <w:szCs w:val="21"/>
                <w:highlight w:val="none"/>
                <w:lang w:val="en-US" w:eastAsia="zh-CN"/>
              </w:rPr>
              <w:t>和</w:t>
            </w:r>
            <w:r>
              <w:rPr>
                <w:rFonts w:hint="eastAsia" w:ascii="宋体" w:hAnsi="宋体" w:eastAsia="宋体" w:cs="宋体"/>
                <w:color w:val="auto"/>
                <w:sz w:val="21"/>
                <w:szCs w:val="21"/>
                <w:highlight w:val="none"/>
              </w:rPr>
              <w:t>审批部门审批意见中提出的生态环境保护对策措施</w:t>
            </w:r>
            <w:r>
              <w:rPr>
                <w:rFonts w:hint="eastAsia" w:ascii="宋体" w:hAnsi="宋体" w:eastAsia="宋体" w:cs="宋体"/>
                <w:color w:val="auto"/>
                <w:sz w:val="21"/>
                <w:szCs w:val="21"/>
                <w:highlight w:val="none"/>
                <w:lang w:val="en-US" w:eastAsia="zh-CN"/>
              </w:rPr>
              <w:t>均未实施。</w:t>
            </w:r>
          </w:p>
        </w:tc>
        <w:tc>
          <w:tcPr>
            <w:tcW w:w="1136" w:type="dxa"/>
            <w:noWrap w:val="0"/>
            <w:vAlign w:val="center"/>
          </w:tcPr>
          <w:p w14:paraId="52AC0D94">
            <w:pPr>
              <w:keepNext w:val="0"/>
              <w:keepLines w:val="0"/>
              <w:pageBreakBefore w:val="0"/>
              <w:kinsoku/>
              <w:wordWrap/>
              <w:overflowPunct/>
              <w:topLinePunct w:val="0"/>
              <w:autoSpaceDE/>
              <w:autoSpaceDN/>
              <w:bidi w:val="0"/>
              <w:snapToGrid w:val="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r>
      <w:tr w14:paraId="107C2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5" w:type="dxa"/>
            <w:vMerge w:val="restart"/>
            <w:noWrap w:val="0"/>
            <w:vAlign w:val="center"/>
          </w:tcPr>
          <w:p w14:paraId="0C516E20">
            <w:pPr>
              <w:jc w:val="center"/>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违法行为发生地</w:t>
            </w:r>
          </w:p>
        </w:tc>
        <w:tc>
          <w:tcPr>
            <w:tcW w:w="5661" w:type="dxa"/>
            <w:noWrap w:val="0"/>
            <w:vAlign w:val="top"/>
          </w:tcPr>
          <w:p w14:paraId="5D744E87">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二类环境空气功能区</w:t>
            </w:r>
            <w:r>
              <w:rPr>
                <w:rFonts w:hint="eastAsia" w:ascii="宋体" w:hAnsi="宋体" w:eastAsia="宋体" w:cs="宋体"/>
                <w:color w:val="auto"/>
                <w:sz w:val="21"/>
                <w:szCs w:val="21"/>
                <w:highlight w:val="none"/>
              </w:rPr>
              <w:t>（工业区和农村地区）</w:t>
            </w:r>
            <w:r>
              <w:rPr>
                <w:rFonts w:hint="eastAsia" w:ascii="宋体" w:hAnsi="宋体" w:cs="宋体"/>
                <w:color w:val="auto"/>
                <w:sz w:val="21"/>
                <w:szCs w:val="21"/>
                <w:highlight w:val="none"/>
                <w:lang w:val="en-US" w:eastAsia="zh-CN"/>
              </w:rPr>
              <w:t>/V类水体（或者污水集中处理设施）/</w:t>
            </w:r>
            <w:r>
              <w:rPr>
                <w:rFonts w:hint="eastAsia" w:ascii="宋体" w:hAnsi="宋体" w:eastAsia="宋体" w:cs="宋体"/>
                <w:color w:val="auto"/>
                <w:sz w:val="21"/>
                <w:szCs w:val="21"/>
                <w:highlight w:val="none"/>
              </w:rPr>
              <w:t>4类声环境功能区</w:t>
            </w:r>
            <w:r>
              <w:rPr>
                <w:rFonts w:hint="eastAsia" w:ascii="宋体" w:hAnsi="宋体" w:eastAsia="宋体" w:cs="宋体"/>
                <w:color w:val="auto"/>
                <w:sz w:val="21"/>
                <w:szCs w:val="21"/>
                <w:highlight w:val="none"/>
                <w:lang w:val="en-US" w:eastAsia="zh-CN"/>
              </w:rPr>
              <w:t>/第四类海水水质的区域</w:t>
            </w:r>
          </w:p>
        </w:tc>
        <w:tc>
          <w:tcPr>
            <w:tcW w:w="1136" w:type="dxa"/>
            <w:noWrap w:val="0"/>
            <w:vAlign w:val="center"/>
          </w:tcPr>
          <w:p w14:paraId="6E8147C6">
            <w:pPr>
              <w:keepNext w:val="0"/>
              <w:keepLines w:val="0"/>
              <w:pageBreakBefore w:val="0"/>
              <w:kinsoku/>
              <w:wordWrap/>
              <w:overflowPunct/>
              <w:topLinePunct w:val="0"/>
              <w:autoSpaceDE/>
              <w:autoSpaceDN/>
              <w:bidi w:val="0"/>
              <w:snapToGrid w:val="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760D0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5" w:type="dxa"/>
            <w:vMerge w:val="continue"/>
            <w:noWrap w:val="0"/>
            <w:vAlign w:val="top"/>
          </w:tcPr>
          <w:p w14:paraId="3F4DBB93">
            <w:pPr>
              <w:rPr>
                <w:rFonts w:hint="eastAsia" w:ascii="宋体" w:hAnsi="宋体" w:eastAsia="宋体" w:cs="宋体"/>
                <w:color w:val="auto"/>
                <w:sz w:val="21"/>
                <w:szCs w:val="21"/>
                <w:highlight w:val="none"/>
              </w:rPr>
            </w:pPr>
          </w:p>
        </w:tc>
        <w:tc>
          <w:tcPr>
            <w:tcW w:w="5661" w:type="dxa"/>
            <w:noWrap w:val="0"/>
            <w:vAlign w:val="top"/>
          </w:tcPr>
          <w:p w14:paraId="52C372E1">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Ⅳ类</w:t>
            </w:r>
            <w:r>
              <w:rPr>
                <w:rFonts w:hint="eastAsia" w:ascii="宋体" w:hAnsi="宋体" w:eastAsia="宋体" w:cs="宋体"/>
                <w:color w:val="auto"/>
                <w:sz w:val="21"/>
                <w:szCs w:val="21"/>
                <w:highlight w:val="none"/>
              </w:rPr>
              <w:t>水体</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3类声环境功能区</w:t>
            </w:r>
            <w:r>
              <w:rPr>
                <w:rFonts w:hint="eastAsia" w:ascii="宋体" w:hAnsi="宋体" w:eastAsia="宋体" w:cs="宋体"/>
                <w:color w:val="auto"/>
                <w:sz w:val="21"/>
                <w:szCs w:val="21"/>
                <w:highlight w:val="none"/>
                <w:lang w:val="en-US" w:eastAsia="zh-CN"/>
              </w:rPr>
              <w:t>/第三类海水水质的区域</w:t>
            </w:r>
          </w:p>
        </w:tc>
        <w:tc>
          <w:tcPr>
            <w:tcW w:w="1136" w:type="dxa"/>
            <w:noWrap w:val="0"/>
            <w:vAlign w:val="center"/>
          </w:tcPr>
          <w:p w14:paraId="6D82C67F">
            <w:pPr>
              <w:keepNext w:val="0"/>
              <w:keepLines w:val="0"/>
              <w:pageBreakBefore w:val="0"/>
              <w:kinsoku/>
              <w:wordWrap/>
              <w:overflowPunct/>
              <w:topLinePunct w:val="0"/>
              <w:autoSpaceDE/>
              <w:autoSpaceDN/>
              <w:bidi w:val="0"/>
              <w:snapToGrid w:val="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r>
      <w:tr w14:paraId="0FF87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5" w:type="dxa"/>
            <w:vMerge w:val="continue"/>
            <w:noWrap w:val="0"/>
            <w:vAlign w:val="top"/>
          </w:tcPr>
          <w:p w14:paraId="49A16A48">
            <w:pPr>
              <w:rPr>
                <w:rFonts w:hint="eastAsia" w:ascii="宋体" w:hAnsi="宋体" w:eastAsia="宋体" w:cs="宋体"/>
                <w:color w:val="auto"/>
                <w:sz w:val="21"/>
                <w:szCs w:val="21"/>
                <w:highlight w:val="none"/>
              </w:rPr>
            </w:pPr>
          </w:p>
        </w:tc>
        <w:tc>
          <w:tcPr>
            <w:tcW w:w="5661" w:type="dxa"/>
            <w:noWrap w:val="0"/>
            <w:vAlign w:val="top"/>
          </w:tcPr>
          <w:p w14:paraId="76569AD6">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二类环境空气功能区</w:t>
            </w:r>
            <w:r>
              <w:rPr>
                <w:rFonts w:hint="eastAsia" w:ascii="宋体" w:hAnsi="宋体" w:eastAsia="宋体" w:cs="宋体"/>
                <w:color w:val="auto"/>
                <w:sz w:val="21"/>
                <w:szCs w:val="21"/>
                <w:highlight w:val="none"/>
                <w:lang w:eastAsia="zh-CN"/>
              </w:rPr>
              <w:t>（居民区、商业交通居民混合区、文化区）/</w:t>
            </w:r>
            <w:r>
              <w:rPr>
                <w:rFonts w:hint="eastAsia" w:ascii="宋体" w:hAnsi="宋体" w:cs="宋体"/>
                <w:color w:val="auto"/>
                <w:sz w:val="21"/>
                <w:szCs w:val="21"/>
                <w:highlight w:val="none"/>
                <w:lang w:eastAsia="zh-CN"/>
              </w:rPr>
              <w:t>Ⅲ类</w:t>
            </w:r>
            <w:r>
              <w:rPr>
                <w:rFonts w:hint="eastAsia" w:ascii="宋体" w:hAnsi="宋体" w:eastAsia="宋体" w:cs="宋体"/>
                <w:color w:val="auto"/>
                <w:sz w:val="21"/>
                <w:szCs w:val="21"/>
                <w:highlight w:val="none"/>
                <w:lang w:eastAsia="zh-CN"/>
              </w:rPr>
              <w:t>水体/2类声环境功能区/饮用水水源准保护区/自然保护地外的生态保护红线区域</w:t>
            </w:r>
          </w:p>
        </w:tc>
        <w:tc>
          <w:tcPr>
            <w:tcW w:w="1136" w:type="dxa"/>
            <w:noWrap w:val="0"/>
            <w:vAlign w:val="center"/>
          </w:tcPr>
          <w:p w14:paraId="7A5AFDF9">
            <w:pPr>
              <w:keepNext w:val="0"/>
              <w:keepLines w:val="0"/>
              <w:pageBreakBefore w:val="0"/>
              <w:kinsoku/>
              <w:wordWrap/>
              <w:overflowPunct/>
              <w:topLinePunct w:val="0"/>
              <w:autoSpaceDE/>
              <w:autoSpaceDN/>
              <w:bidi w:val="0"/>
              <w:snapToGrid w:val="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5CAC0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5" w:type="dxa"/>
            <w:vMerge w:val="continue"/>
            <w:noWrap w:val="0"/>
            <w:vAlign w:val="top"/>
          </w:tcPr>
          <w:p w14:paraId="46D6DE2E">
            <w:pPr>
              <w:rPr>
                <w:rFonts w:hint="eastAsia" w:ascii="宋体" w:hAnsi="宋体" w:eastAsia="宋体" w:cs="宋体"/>
                <w:color w:val="auto"/>
                <w:sz w:val="21"/>
                <w:szCs w:val="21"/>
                <w:highlight w:val="none"/>
              </w:rPr>
            </w:pPr>
          </w:p>
        </w:tc>
        <w:tc>
          <w:tcPr>
            <w:tcW w:w="5661" w:type="dxa"/>
            <w:noWrap w:val="0"/>
            <w:vAlign w:val="top"/>
          </w:tcPr>
          <w:p w14:paraId="1B10226A">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Ⅱ类</w:t>
            </w:r>
            <w:r>
              <w:rPr>
                <w:rFonts w:hint="eastAsia" w:ascii="宋体" w:hAnsi="宋体" w:eastAsia="宋体" w:cs="宋体"/>
                <w:color w:val="auto"/>
                <w:sz w:val="21"/>
                <w:szCs w:val="21"/>
                <w:highlight w:val="none"/>
              </w:rPr>
              <w:t>水体</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1类声环境功能区／自然保护地一般控制区</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饮用水水源二级保护区</w:t>
            </w:r>
            <w:r>
              <w:rPr>
                <w:rFonts w:hint="eastAsia" w:ascii="宋体" w:hAnsi="宋体" w:eastAsia="宋体" w:cs="宋体"/>
                <w:color w:val="auto"/>
                <w:sz w:val="21"/>
                <w:szCs w:val="21"/>
                <w:highlight w:val="none"/>
                <w:lang w:val="en-US" w:eastAsia="zh-CN"/>
              </w:rPr>
              <w:t>/第二类海水水质的区域</w:t>
            </w:r>
          </w:p>
        </w:tc>
        <w:tc>
          <w:tcPr>
            <w:tcW w:w="1136" w:type="dxa"/>
            <w:noWrap w:val="0"/>
            <w:vAlign w:val="center"/>
          </w:tcPr>
          <w:p w14:paraId="51B34021">
            <w:pPr>
              <w:keepNext w:val="0"/>
              <w:keepLines w:val="0"/>
              <w:pageBreakBefore w:val="0"/>
              <w:kinsoku/>
              <w:wordWrap/>
              <w:overflowPunct/>
              <w:topLinePunct w:val="0"/>
              <w:autoSpaceDE/>
              <w:autoSpaceDN/>
              <w:bidi w:val="0"/>
              <w:snapToGrid w:val="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r>
      <w:tr w14:paraId="3E5F2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5" w:type="dxa"/>
            <w:vMerge w:val="continue"/>
            <w:noWrap w:val="0"/>
            <w:vAlign w:val="top"/>
          </w:tcPr>
          <w:p w14:paraId="207AC30C">
            <w:pPr>
              <w:rPr>
                <w:rFonts w:hint="eastAsia" w:ascii="宋体" w:hAnsi="宋体" w:eastAsia="宋体" w:cs="宋体"/>
                <w:color w:val="auto"/>
                <w:sz w:val="21"/>
                <w:szCs w:val="21"/>
                <w:highlight w:val="none"/>
              </w:rPr>
            </w:pPr>
          </w:p>
        </w:tc>
        <w:tc>
          <w:tcPr>
            <w:tcW w:w="5661" w:type="dxa"/>
            <w:noWrap w:val="0"/>
            <w:vAlign w:val="top"/>
          </w:tcPr>
          <w:p w14:paraId="1C559B3A">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一类环境空气功能区</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I类水体</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0类声环境功能区／自然保护地核心保护区</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饮用水水源一级保护区</w:t>
            </w:r>
            <w:r>
              <w:rPr>
                <w:rFonts w:hint="eastAsia" w:ascii="宋体" w:hAnsi="宋体" w:eastAsia="宋体" w:cs="宋体"/>
                <w:color w:val="auto"/>
                <w:sz w:val="21"/>
                <w:szCs w:val="21"/>
                <w:highlight w:val="none"/>
                <w:lang w:val="en-US" w:eastAsia="zh-CN"/>
              </w:rPr>
              <w:t>/第一类海水水质的区域</w:t>
            </w:r>
          </w:p>
        </w:tc>
        <w:tc>
          <w:tcPr>
            <w:tcW w:w="1136" w:type="dxa"/>
            <w:noWrap w:val="0"/>
            <w:vAlign w:val="center"/>
          </w:tcPr>
          <w:p w14:paraId="6CAA3644">
            <w:pPr>
              <w:keepNext w:val="0"/>
              <w:keepLines w:val="0"/>
              <w:pageBreakBefore w:val="0"/>
              <w:kinsoku/>
              <w:wordWrap/>
              <w:overflowPunct/>
              <w:topLinePunct w:val="0"/>
              <w:autoSpaceDE/>
              <w:autoSpaceDN/>
              <w:bidi w:val="0"/>
              <w:snapToGrid w:val="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39BF4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5" w:type="dxa"/>
            <w:vMerge w:val="restart"/>
            <w:noWrap w:val="0"/>
            <w:vAlign w:val="center"/>
          </w:tcPr>
          <w:p w14:paraId="1B896CE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项目应报批的环评文件类型</w:t>
            </w:r>
          </w:p>
        </w:tc>
        <w:tc>
          <w:tcPr>
            <w:tcW w:w="5661" w:type="dxa"/>
            <w:noWrap w:val="0"/>
            <w:vAlign w:val="top"/>
          </w:tcPr>
          <w:p w14:paraId="67E67DA4">
            <w:pPr>
              <w:keepNext w:val="0"/>
              <w:keepLines w:val="0"/>
              <w:pageBreakBefore w:val="0"/>
              <w:widowControl w:val="0"/>
              <w:kinsoku/>
              <w:wordWrap/>
              <w:overflowPunct/>
              <w:topLinePunct w:val="0"/>
              <w:autoSpaceDE/>
              <w:autoSpaceDN/>
              <w:bidi w:val="0"/>
              <w:adjustRightInd/>
              <w:snapToGrid w:val="0"/>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报告表</w:t>
            </w:r>
          </w:p>
        </w:tc>
        <w:tc>
          <w:tcPr>
            <w:tcW w:w="1136" w:type="dxa"/>
            <w:noWrap w:val="0"/>
            <w:vAlign w:val="center"/>
          </w:tcPr>
          <w:p w14:paraId="28DB1A97">
            <w:pPr>
              <w:keepNext w:val="0"/>
              <w:keepLines w:val="0"/>
              <w:pageBreakBefore w:val="0"/>
              <w:kinsoku/>
              <w:wordWrap/>
              <w:overflowPunct/>
              <w:topLinePunct w:val="0"/>
              <w:autoSpaceDE/>
              <w:autoSpaceDN/>
              <w:bidi w:val="0"/>
              <w:snapToGrid w:val="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3CFBA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5" w:type="dxa"/>
            <w:vMerge w:val="continue"/>
            <w:noWrap w:val="0"/>
            <w:vAlign w:val="center"/>
          </w:tcPr>
          <w:p w14:paraId="7D46C5BF">
            <w:pPr>
              <w:jc w:val="center"/>
              <w:rPr>
                <w:rFonts w:hint="eastAsia" w:ascii="宋体" w:hAnsi="宋体" w:eastAsia="宋体" w:cs="宋体"/>
                <w:color w:val="auto"/>
                <w:sz w:val="21"/>
                <w:szCs w:val="21"/>
                <w:highlight w:val="none"/>
              </w:rPr>
            </w:pPr>
          </w:p>
        </w:tc>
        <w:tc>
          <w:tcPr>
            <w:tcW w:w="5661" w:type="dxa"/>
            <w:noWrap w:val="0"/>
            <w:vAlign w:val="top"/>
          </w:tcPr>
          <w:p w14:paraId="677651AD">
            <w:pPr>
              <w:keepNext w:val="0"/>
              <w:keepLines w:val="0"/>
              <w:pageBreakBefore w:val="0"/>
              <w:widowControl w:val="0"/>
              <w:kinsoku/>
              <w:wordWrap/>
              <w:overflowPunct/>
              <w:topLinePunct w:val="0"/>
              <w:autoSpaceDE/>
              <w:autoSpaceDN/>
              <w:bidi w:val="0"/>
              <w:adjustRightInd/>
              <w:snapToGrid w:val="0"/>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一般报告书</w:t>
            </w:r>
          </w:p>
        </w:tc>
        <w:tc>
          <w:tcPr>
            <w:tcW w:w="1136" w:type="dxa"/>
            <w:noWrap w:val="0"/>
            <w:vAlign w:val="center"/>
          </w:tcPr>
          <w:p w14:paraId="1D3BFCF6">
            <w:pPr>
              <w:keepNext w:val="0"/>
              <w:keepLines w:val="0"/>
              <w:pageBreakBefore w:val="0"/>
              <w:kinsoku/>
              <w:wordWrap/>
              <w:overflowPunct/>
              <w:topLinePunct w:val="0"/>
              <w:autoSpaceDE/>
              <w:autoSpaceDN/>
              <w:bidi w:val="0"/>
              <w:snapToGrid w:val="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720B1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5" w:type="dxa"/>
            <w:vMerge w:val="continue"/>
            <w:noWrap w:val="0"/>
            <w:vAlign w:val="center"/>
          </w:tcPr>
          <w:p w14:paraId="5174E6D2">
            <w:pPr>
              <w:jc w:val="center"/>
              <w:rPr>
                <w:rFonts w:hint="eastAsia" w:ascii="宋体" w:hAnsi="宋体" w:eastAsia="宋体" w:cs="宋体"/>
                <w:color w:val="auto"/>
                <w:sz w:val="21"/>
                <w:szCs w:val="21"/>
                <w:highlight w:val="none"/>
              </w:rPr>
            </w:pPr>
          </w:p>
        </w:tc>
        <w:tc>
          <w:tcPr>
            <w:tcW w:w="5661" w:type="dxa"/>
            <w:noWrap w:val="0"/>
            <w:vAlign w:val="top"/>
          </w:tcPr>
          <w:p w14:paraId="7C8D952D">
            <w:pPr>
              <w:keepNext w:val="0"/>
              <w:keepLines w:val="0"/>
              <w:pageBreakBefore w:val="0"/>
              <w:widowControl w:val="0"/>
              <w:kinsoku/>
              <w:wordWrap/>
              <w:overflowPunct/>
              <w:topLinePunct w:val="0"/>
              <w:autoSpaceDE/>
              <w:autoSpaceDN/>
              <w:bidi w:val="0"/>
              <w:adjustRightInd/>
              <w:snapToGrid w:val="0"/>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报告书（化工、电镀、皮革、造纸、制浆、冶炼、放射性、印染、染料、炼焦、炼油项目）</w:t>
            </w:r>
          </w:p>
        </w:tc>
        <w:tc>
          <w:tcPr>
            <w:tcW w:w="1136" w:type="dxa"/>
            <w:noWrap w:val="0"/>
            <w:vAlign w:val="center"/>
          </w:tcPr>
          <w:p w14:paraId="396AD77C">
            <w:pPr>
              <w:keepNext w:val="0"/>
              <w:keepLines w:val="0"/>
              <w:pageBreakBefore w:val="0"/>
              <w:kinsoku/>
              <w:wordWrap/>
              <w:overflowPunct/>
              <w:topLinePunct w:val="0"/>
              <w:autoSpaceDE/>
              <w:autoSpaceDN/>
              <w:bidi w:val="0"/>
              <w:snapToGrid w:val="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37941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5" w:type="dxa"/>
            <w:noWrap w:val="0"/>
            <w:vAlign w:val="center"/>
          </w:tcPr>
          <w:p w14:paraId="0A7209F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备注</w:t>
            </w:r>
          </w:p>
        </w:tc>
        <w:tc>
          <w:tcPr>
            <w:tcW w:w="6797" w:type="dxa"/>
            <w:gridSpan w:val="2"/>
            <w:noWrap w:val="0"/>
            <w:vAlign w:val="top"/>
          </w:tcPr>
          <w:p w14:paraId="454F2288">
            <w:pPr>
              <w:keepNext w:val="0"/>
              <w:keepLines w:val="0"/>
              <w:pageBreakBefore w:val="0"/>
              <w:widowControl w:val="0"/>
              <w:kinsoku/>
              <w:wordWrap/>
              <w:overflowPunct/>
              <w:topLinePunct w:val="0"/>
              <w:autoSpaceDE/>
              <w:autoSpaceDN/>
              <w:bidi w:val="0"/>
              <w:adjustRightInd/>
              <w:snapToGrid w:val="0"/>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一般报告书指除化工、电镀、皮革、造纸、制浆、冶炼、放射性、印染、染料、炼焦、炼油项目外的报告书</w:t>
            </w:r>
          </w:p>
        </w:tc>
      </w:tr>
    </w:tbl>
    <w:p w14:paraId="036764FD">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11"/>
        <w:gridCol w:w="5795"/>
        <w:gridCol w:w="1342"/>
      </w:tblGrid>
      <w:tr w14:paraId="6129F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3"/>
            <w:noWrap w:val="0"/>
            <w:vAlign w:val="top"/>
          </w:tcPr>
          <w:p w14:paraId="1B271E79">
            <w:pPr>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（二）生态环境影响评价管理类</w:t>
            </w:r>
          </w:p>
        </w:tc>
      </w:tr>
      <w:tr w14:paraId="15DD6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5" w:type="dxa"/>
            <w:noWrap w:val="0"/>
            <w:vAlign w:val="top"/>
          </w:tcPr>
          <w:p w14:paraId="598F9A8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797" w:type="dxa"/>
            <w:gridSpan w:val="2"/>
            <w:noWrap w:val="0"/>
            <w:vAlign w:val="top"/>
          </w:tcPr>
          <w:p w14:paraId="5800A205">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5-1</w:t>
            </w:r>
          </w:p>
        </w:tc>
      </w:tr>
      <w:tr w14:paraId="4466A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1725" w:type="dxa"/>
            <w:noWrap w:val="0"/>
            <w:vAlign w:val="center"/>
          </w:tcPr>
          <w:p w14:paraId="110E11D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6797" w:type="dxa"/>
            <w:gridSpan w:val="2"/>
            <w:noWrap w:val="0"/>
            <w:vAlign w:val="center"/>
          </w:tcPr>
          <w:p w14:paraId="053D5CDB">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生态环境保护设施未与主体工程同时设计、同时施工、同时投产使用的</w:t>
            </w:r>
          </w:p>
        </w:tc>
      </w:tr>
      <w:tr w14:paraId="43347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5" w:hRule="atLeast"/>
          <w:jc w:val="center"/>
        </w:trPr>
        <w:tc>
          <w:tcPr>
            <w:tcW w:w="1725" w:type="dxa"/>
            <w:noWrap w:val="0"/>
            <w:vAlign w:val="center"/>
          </w:tcPr>
          <w:p w14:paraId="033AA34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6797" w:type="dxa"/>
            <w:gridSpan w:val="2"/>
            <w:noWrap w:val="0"/>
            <w:vAlign w:val="center"/>
          </w:tcPr>
          <w:p w14:paraId="02E99CE0">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《中华人民共和国生态环境法典》第一百六十二条　建设项目中的污染防治设施，应当与主体工程同时设计、同时施工、同时投产使用。污染防治设施应当符合经批准的生态环境影响报告书、生态环境影响报告表的要求，不得擅自拆除或者闲置。</w:t>
            </w:r>
          </w:p>
          <w:p w14:paraId="6C3AA188">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cs="宋体"/>
                <w:color w:val="auto"/>
                <w:szCs w:val="21"/>
                <w:highlight w:val="none"/>
              </w:rPr>
              <w:t>建设项目在投入生产或者使用前，建设单位应当按照国家规定，对配套建设的污染防治设施进行验收。</w:t>
            </w:r>
          </w:p>
        </w:tc>
      </w:tr>
      <w:tr w14:paraId="0039D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2" w:hRule="atLeast"/>
          <w:jc w:val="center"/>
        </w:trPr>
        <w:tc>
          <w:tcPr>
            <w:tcW w:w="1725" w:type="dxa"/>
            <w:noWrap w:val="0"/>
            <w:vAlign w:val="center"/>
          </w:tcPr>
          <w:p w14:paraId="680267F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6797" w:type="dxa"/>
            <w:gridSpan w:val="2"/>
            <w:noWrap w:val="0"/>
            <w:vAlign w:val="center"/>
          </w:tcPr>
          <w:p w14:paraId="4542962D">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《中华人民共和国生态环境法典》第一千一百条　违反本法规定，生态环境保护设施未与主体工程同时设计、同时施工、同时投产使用，或者生态环境保护设施未建成、未达到规定要求即投入生产、使用的，由负有生态环境保护监督管理职责的部门、机构按照职责分工责令改正，处二十万元以上一百万元以下的罚款，拒不改正的，处一百万元以上二百万元以下的罚款；对直接负责的主管人员和其他直接责任人员处五万元以上二十万元以下的罚款；造成重大环境污染、生态破坏的，责令其停止生产、使用，或者报经有批准权的人民政府批准，责令停业、关闭。</w:t>
            </w:r>
          </w:p>
        </w:tc>
      </w:tr>
      <w:tr w14:paraId="0CC5C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5" w:type="dxa"/>
            <w:noWrap w:val="0"/>
            <w:vAlign w:val="center"/>
          </w:tcPr>
          <w:p w14:paraId="4B4D5DA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519" w:type="dxa"/>
            <w:noWrap w:val="0"/>
            <w:vAlign w:val="top"/>
          </w:tcPr>
          <w:p w14:paraId="4392E30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278" w:type="dxa"/>
            <w:noWrap w:val="0"/>
            <w:vAlign w:val="top"/>
          </w:tcPr>
          <w:p w14:paraId="111A1E9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37408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5" w:type="dxa"/>
            <w:vMerge w:val="restart"/>
            <w:noWrap w:val="0"/>
            <w:vAlign w:val="center"/>
          </w:tcPr>
          <w:p w14:paraId="00BF6A4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违法事实</w:t>
            </w:r>
          </w:p>
        </w:tc>
        <w:tc>
          <w:tcPr>
            <w:tcW w:w="5519" w:type="dxa"/>
            <w:noWrap w:val="0"/>
            <w:vAlign w:val="center"/>
          </w:tcPr>
          <w:p w14:paraId="36EE06C0">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生态环境保护设施未与主体工程同时设计、同时施工、同时投产使用</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存在以上1项情形的</w:t>
            </w:r>
            <w:r>
              <w:rPr>
                <w:rFonts w:hint="eastAsia" w:ascii="宋体" w:hAnsi="宋体" w:eastAsia="宋体" w:cs="宋体"/>
                <w:color w:val="auto"/>
                <w:sz w:val="21"/>
                <w:szCs w:val="21"/>
                <w:highlight w:val="none"/>
                <w:lang w:eastAsia="zh-CN"/>
              </w:rPr>
              <w:t>。</w:t>
            </w:r>
          </w:p>
        </w:tc>
        <w:tc>
          <w:tcPr>
            <w:tcW w:w="1278" w:type="dxa"/>
            <w:noWrap w:val="0"/>
            <w:vAlign w:val="center"/>
          </w:tcPr>
          <w:p w14:paraId="7C5E229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20BFC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5" w:type="dxa"/>
            <w:vMerge w:val="continue"/>
            <w:noWrap w:val="0"/>
            <w:vAlign w:val="center"/>
          </w:tcPr>
          <w:p w14:paraId="36A6519B">
            <w:pPr>
              <w:jc w:val="center"/>
              <w:rPr>
                <w:rFonts w:hint="eastAsia" w:ascii="宋体" w:hAnsi="宋体" w:eastAsia="宋体" w:cs="宋体"/>
                <w:color w:val="auto"/>
                <w:sz w:val="21"/>
                <w:szCs w:val="21"/>
                <w:highlight w:val="none"/>
              </w:rPr>
            </w:pPr>
          </w:p>
        </w:tc>
        <w:tc>
          <w:tcPr>
            <w:tcW w:w="5519" w:type="dxa"/>
            <w:noWrap w:val="0"/>
            <w:vAlign w:val="center"/>
          </w:tcPr>
          <w:p w14:paraId="7F2DFD2E">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生态环境保护设施未与主体工程同时设计、同时施工、同时投产使用</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存在以上2项情形的</w:t>
            </w:r>
            <w:r>
              <w:rPr>
                <w:rFonts w:hint="eastAsia" w:ascii="宋体" w:hAnsi="宋体" w:eastAsia="宋体" w:cs="宋体"/>
                <w:color w:val="auto"/>
                <w:sz w:val="21"/>
                <w:szCs w:val="21"/>
                <w:highlight w:val="none"/>
                <w:lang w:eastAsia="zh-CN"/>
              </w:rPr>
              <w:t>。</w:t>
            </w:r>
          </w:p>
        </w:tc>
        <w:tc>
          <w:tcPr>
            <w:tcW w:w="1278" w:type="dxa"/>
            <w:noWrap w:val="0"/>
            <w:vAlign w:val="center"/>
          </w:tcPr>
          <w:p w14:paraId="1FD67E62">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3</w:t>
            </w:r>
          </w:p>
        </w:tc>
      </w:tr>
      <w:tr w14:paraId="24C86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5" w:type="dxa"/>
            <w:vMerge w:val="continue"/>
            <w:noWrap w:val="0"/>
            <w:vAlign w:val="center"/>
          </w:tcPr>
          <w:p w14:paraId="379CA25A">
            <w:pPr>
              <w:jc w:val="center"/>
              <w:rPr>
                <w:rFonts w:hint="eastAsia" w:ascii="宋体" w:hAnsi="宋体" w:eastAsia="宋体" w:cs="宋体"/>
                <w:color w:val="auto"/>
                <w:sz w:val="21"/>
                <w:szCs w:val="21"/>
                <w:highlight w:val="none"/>
              </w:rPr>
            </w:pPr>
          </w:p>
        </w:tc>
        <w:tc>
          <w:tcPr>
            <w:tcW w:w="5519" w:type="dxa"/>
            <w:noWrap w:val="0"/>
            <w:vAlign w:val="center"/>
          </w:tcPr>
          <w:p w14:paraId="6E851E0B">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生态环境保护设施未与主体工程同时设计、同时施工、同时投产使用</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存在以上3项情形的</w:t>
            </w:r>
            <w:r>
              <w:rPr>
                <w:rFonts w:hint="eastAsia" w:ascii="宋体" w:hAnsi="宋体" w:eastAsia="宋体" w:cs="宋体"/>
                <w:color w:val="auto"/>
                <w:sz w:val="21"/>
                <w:szCs w:val="21"/>
                <w:highlight w:val="none"/>
                <w:lang w:eastAsia="zh-CN"/>
              </w:rPr>
              <w:t>。</w:t>
            </w:r>
          </w:p>
        </w:tc>
        <w:tc>
          <w:tcPr>
            <w:tcW w:w="1278" w:type="dxa"/>
            <w:noWrap w:val="0"/>
            <w:vAlign w:val="center"/>
          </w:tcPr>
          <w:p w14:paraId="1DB9702C">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5</w:t>
            </w:r>
          </w:p>
        </w:tc>
      </w:tr>
      <w:tr w14:paraId="72785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5" w:type="dxa"/>
            <w:vMerge w:val="restart"/>
            <w:noWrap w:val="0"/>
            <w:vAlign w:val="center"/>
          </w:tcPr>
          <w:p w14:paraId="380EE1C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项目应报批的环评文件类型</w:t>
            </w:r>
          </w:p>
        </w:tc>
        <w:tc>
          <w:tcPr>
            <w:tcW w:w="5519" w:type="dxa"/>
            <w:noWrap w:val="0"/>
            <w:vAlign w:val="top"/>
          </w:tcPr>
          <w:p w14:paraId="0CE04138">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报告表</w:t>
            </w:r>
          </w:p>
        </w:tc>
        <w:tc>
          <w:tcPr>
            <w:tcW w:w="1278" w:type="dxa"/>
            <w:noWrap w:val="0"/>
            <w:vAlign w:val="center"/>
          </w:tcPr>
          <w:p w14:paraId="6510EEB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56217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5" w:type="dxa"/>
            <w:vMerge w:val="continue"/>
            <w:noWrap w:val="0"/>
            <w:vAlign w:val="center"/>
          </w:tcPr>
          <w:p w14:paraId="5DAA3495">
            <w:pPr>
              <w:jc w:val="center"/>
              <w:rPr>
                <w:rFonts w:hint="eastAsia" w:ascii="宋体" w:hAnsi="宋体" w:eastAsia="宋体" w:cs="宋体"/>
                <w:color w:val="auto"/>
                <w:sz w:val="21"/>
                <w:szCs w:val="21"/>
                <w:highlight w:val="none"/>
              </w:rPr>
            </w:pPr>
          </w:p>
        </w:tc>
        <w:tc>
          <w:tcPr>
            <w:tcW w:w="5519" w:type="dxa"/>
            <w:noWrap w:val="0"/>
            <w:vAlign w:val="top"/>
          </w:tcPr>
          <w:p w14:paraId="4187BA30">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一般报告书</w:t>
            </w:r>
          </w:p>
        </w:tc>
        <w:tc>
          <w:tcPr>
            <w:tcW w:w="1278" w:type="dxa"/>
            <w:noWrap w:val="0"/>
            <w:vAlign w:val="center"/>
          </w:tcPr>
          <w:p w14:paraId="143F31E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110A9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jc w:val="center"/>
        </w:trPr>
        <w:tc>
          <w:tcPr>
            <w:tcW w:w="1725" w:type="dxa"/>
            <w:vMerge w:val="continue"/>
            <w:noWrap w:val="0"/>
            <w:vAlign w:val="center"/>
          </w:tcPr>
          <w:p w14:paraId="704CBC1C">
            <w:pPr>
              <w:jc w:val="center"/>
              <w:rPr>
                <w:rFonts w:hint="eastAsia" w:ascii="宋体" w:hAnsi="宋体" w:eastAsia="宋体" w:cs="宋体"/>
                <w:color w:val="auto"/>
                <w:sz w:val="21"/>
                <w:szCs w:val="21"/>
                <w:highlight w:val="none"/>
              </w:rPr>
            </w:pPr>
          </w:p>
        </w:tc>
        <w:tc>
          <w:tcPr>
            <w:tcW w:w="5519" w:type="dxa"/>
            <w:noWrap w:val="0"/>
            <w:vAlign w:val="center"/>
          </w:tcPr>
          <w:p w14:paraId="5C4D5FD8">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报告书（化工、电镀、皮革、造纸、制浆、冶炼、放射性、印染、染料、炼焦、炼油项目）</w:t>
            </w:r>
          </w:p>
        </w:tc>
        <w:tc>
          <w:tcPr>
            <w:tcW w:w="1278" w:type="dxa"/>
            <w:noWrap w:val="0"/>
            <w:vAlign w:val="center"/>
          </w:tcPr>
          <w:p w14:paraId="3D67B4F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04796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5" w:type="dxa"/>
            <w:vMerge w:val="restart"/>
            <w:noWrap w:val="0"/>
            <w:vAlign w:val="center"/>
          </w:tcPr>
          <w:p w14:paraId="3E60C9E1">
            <w:pPr>
              <w:jc w:val="center"/>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违法行为发生地</w:t>
            </w:r>
          </w:p>
        </w:tc>
        <w:tc>
          <w:tcPr>
            <w:tcW w:w="5519" w:type="dxa"/>
            <w:noWrap w:val="0"/>
            <w:vAlign w:val="top"/>
          </w:tcPr>
          <w:p w14:paraId="448DD573">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二类环境空气功能区</w:t>
            </w:r>
            <w:r>
              <w:rPr>
                <w:rFonts w:hint="eastAsia" w:ascii="宋体" w:hAnsi="宋体" w:eastAsia="宋体" w:cs="宋体"/>
                <w:color w:val="auto"/>
                <w:sz w:val="21"/>
                <w:szCs w:val="21"/>
                <w:highlight w:val="none"/>
              </w:rPr>
              <w:t>（工业区和农村地区）</w:t>
            </w:r>
            <w:r>
              <w:rPr>
                <w:rFonts w:hint="eastAsia" w:ascii="宋体" w:hAnsi="宋体" w:cs="宋体"/>
                <w:color w:val="auto"/>
                <w:sz w:val="21"/>
                <w:szCs w:val="21"/>
                <w:highlight w:val="none"/>
                <w:lang w:val="en-US" w:eastAsia="zh-CN"/>
              </w:rPr>
              <w:t>/V类水体（或者污水集中处理设施）/</w:t>
            </w:r>
            <w:r>
              <w:rPr>
                <w:rFonts w:hint="eastAsia" w:ascii="宋体" w:hAnsi="宋体" w:eastAsia="宋体" w:cs="宋体"/>
                <w:color w:val="auto"/>
                <w:sz w:val="21"/>
                <w:szCs w:val="21"/>
                <w:highlight w:val="none"/>
              </w:rPr>
              <w:t>4类声环境功能区</w:t>
            </w:r>
            <w:r>
              <w:rPr>
                <w:rFonts w:hint="eastAsia" w:ascii="宋体" w:hAnsi="宋体" w:eastAsia="宋体" w:cs="宋体"/>
                <w:color w:val="auto"/>
                <w:sz w:val="21"/>
                <w:szCs w:val="21"/>
                <w:highlight w:val="none"/>
                <w:lang w:val="en-US" w:eastAsia="zh-CN"/>
              </w:rPr>
              <w:t>/第四类海水水质的区域</w:t>
            </w:r>
          </w:p>
        </w:tc>
        <w:tc>
          <w:tcPr>
            <w:tcW w:w="1278" w:type="dxa"/>
            <w:noWrap w:val="0"/>
            <w:vAlign w:val="center"/>
          </w:tcPr>
          <w:p w14:paraId="0C81BD6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1C684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5" w:type="dxa"/>
            <w:vMerge w:val="continue"/>
            <w:noWrap w:val="0"/>
            <w:vAlign w:val="center"/>
          </w:tcPr>
          <w:p w14:paraId="2ED66E88">
            <w:pPr>
              <w:jc w:val="center"/>
              <w:rPr>
                <w:rFonts w:hint="eastAsia" w:ascii="宋体" w:hAnsi="宋体" w:eastAsia="宋体" w:cs="宋体"/>
                <w:color w:val="auto"/>
                <w:sz w:val="21"/>
                <w:szCs w:val="21"/>
                <w:highlight w:val="none"/>
              </w:rPr>
            </w:pPr>
          </w:p>
        </w:tc>
        <w:tc>
          <w:tcPr>
            <w:tcW w:w="5519" w:type="dxa"/>
            <w:noWrap w:val="0"/>
            <w:vAlign w:val="top"/>
          </w:tcPr>
          <w:p w14:paraId="41401AF0">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Ⅳ类</w:t>
            </w:r>
            <w:r>
              <w:rPr>
                <w:rFonts w:hint="eastAsia" w:ascii="宋体" w:hAnsi="宋体" w:eastAsia="宋体" w:cs="宋体"/>
                <w:color w:val="auto"/>
                <w:sz w:val="21"/>
                <w:szCs w:val="21"/>
                <w:highlight w:val="none"/>
              </w:rPr>
              <w:t>水体</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3类声环境功能区</w:t>
            </w:r>
            <w:r>
              <w:rPr>
                <w:rFonts w:hint="eastAsia" w:ascii="宋体" w:hAnsi="宋体" w:eastAsia="宋体" w:cs="宋体"/>
                <w:color w:val="auto"/>
                <w:sz w:val="21"/>
                <w:szCs w:val="21"/>
                <w:highlight w:val="none"/>
                <w:lang w:val="en-US" w:eastAsia="zh-CN"/>
              </w:rPr>
              <w:t>/第三类海水水质的区域</w:t>
            </w:r>
          </w:p>
        </w:tc>
        <w:tc>
          <w:tcPr>
            <w:tcW w:w="1278" w:type="dxa"/>
            <w:noWrap w:val="0"/>
            <w:vAlign w:val="center"/>
          </w:tcPr>
          <w:p w14:paraId="1207D4A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r>
      <w:tr w14:paraId="39775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5" w:type="dxa"/>
            <w:vMerge w:val="continue"/>
            <w:noWrap w:val="0"/>
            <w:vAlign w:val="center"/>
          </w:tcPr>
          <w:p w14:paraId="0933711F">
            <w:pPr>
              <w:jc w:val="center"/>
              <w:rPr>
                <w:rFonts w:hint="eastAsia" w:ascii="宋体" w:hAnsi="宋体" w:eastAsia="宋体" w:cs="宋体"/>
                <w:color w:val="auto"/>
                <w:sz w:val="21"/>
                <w:szCs w:val="21"/>
                <w:highlight w:val="none"/>
              </w:rPr>
            </w:pPr>
          </w:p>
        </w:tc>
        <w:tc>
          <w:tcPr>
            <w:tcW w:w="5519" w:type="dxa"/>
            <w:noWrap w:val="0"/>
            <w:vAlign w:val="top"/>
          </w:tcPr>
          <w:p w14:paraId="7B60E2BA">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二类环境空气功能区</w:t>
            </w:r>
            <w:r>
              <w:rPr>
                <w:rFonts w:hint="eastAsia" w:ascii="宋体" w:hAnsi="宋体" w:eastAsia="宋体" w:cs="宋体"/>
                <w:color w:val="auto"/>
                <w:sz w:val="21"/>
                <w:szCs w:val="21"/>
                <w:highlight w:val="none"/>
                <w:lang w:eastAsia="zh-CN"/>
              </w:rPr>
              <w:t>（居民区、商业交通居民混合区、文化区）/</w:t>
            </w:r>
            <w:r>
              <w:rPr>
                <w:rFonts w:hint="eastAsia" w:ascii="宋体" w:hAnsi="宋体" w:cs="宋体"/>
                <w:color w:val="auto"/>
                <w:sz w:val="21"/>
                <w:szCs w:val="21"/>
                <w:highlight w:val="none"/>
                <w:lang w:eastAsia="zh-CN"/>
              </w:rPr>
              <w:t>Ⅲ类</w:t>
            </w:r>
            <w:r>
              <w:rPr>
                <w:rFonts w:hint="eastAsia" w:ascii="宋体" w:hAnsi="宋体" w:eastAsia="宋体" w:cs="宋体"/>
                <w:color w:val="auto"/>
                <w:sz w:val="21"/>
                <w:szCs w:val="21"/>
                <w:highlight w:val="none"/>
                <w:lang w:eastAsia="zh-CN"/>
              </w:rPr>
              <w:t>水体/2类声环境功能区/饮用水水源准保护区/自然保护地外的生态保护红线区域</w:t>
            </w:r>
          </w:p>
        </w:tc>
        <w:tc>
          <w:tcPr>
            <w:tcW w:w="1278" w:type="dxa"/>
            <w:noWrap w:val="0"/>
            <w:vAlign w:val="center"/>
          </w:tcPr>
          <w:p w14:paraId="167DABC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78778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5" w:type="dxa"/>
            <w:vMerge w:val="continue"/>
            <w:noWrap w:val="0"/>
            <w:vAlign w:val="center"/>
          </w:tcPr>
          <w:p w14:paraId="0365FAD6">
            <w:pPr>
              <w:jc w:val="center"/>
              <w:rPr>
                <w:rFonts w:hint="eastAsia" w:ascii="宋体" w:hAnsi="宋体" w:eastAsia="宋体" w:cs="宋体"/>
                <w:color w:val="auto"/>
                <w:sz w:val="21"/>
                <w:szCs w:val="21"/>
                <w:highlight w:val="none"/>
              </w:rPr>
            </w:pPr>
          </w:p>
        </w:tc>
        <w:tc>
          <w:tcPr>
            <w:tcW w:w="5519" w:type="dxa"/>
            <w:noWrap w:val="0"/>
            <w:vAlign w:val="top"/>
          </w:tcPr>
          <w:p w14:paraId="477B266C">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Ⅱ类</w:t>
            </w:r>
            <w:r>
              <w:rPr>
                <w:rFonts w:hint="eastAsia" w:ascii="宋体" w:hAnsi="宋体" w:eastAsia="宋体" w:cs="宋体"/>
                <w:color w:val="auto"/>
                <w:sz w:val="21"/>
                <w:szCs w:val="21"/>
                <w:highlight w:val="none"/>
              </w:rPr>
              <w:t>水体</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1类声环境功能区／自然保护地一般控制区</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饮用水水源二级保护区</w:t>
            </w:r>
            <w:r>
              <w:rPr>
                <w:rFonts w:hint="eastAsia" w:ascii="宋体" w:hAnsi="宋体" w:eastAsia="宋体" w:cs="宋体"/>
                <w:color w:val="auto"/>
                <w:sz w:val="21"/>
                <w:szCs w:val="21"/>
                <w:highlight w:val="none"/>
                <w:lang w:val="en-US" w:eastAsia="zh-CN"/>
              </w:rPr>
              <w:t>/第二类海水水质的区域</w:t>
            </w:r>
          </w:p>
        </w:tc>
        <w:tc>
          <w:tcPr>
            <w:tcW w:w="1278" w:type="dxa"/>
            <w:noWrap w:val="0"/>
            <w:vAlign w:val="center"/>
          </w:tcPr>
          <w:p w14:paraId="2201937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r>
      <w:tr w14:paraId="1D94E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5" w:type="dxa"/>
            <w:vMerge w:val="continue"/>
            <w:noWrap w:val="0"/>
            <w:vAlign w:val="center"/>
          </w:tcPr>
          <w:p w14:paraId="01315E74">
            <w:pPr>
              <w:jc w:val="center"/>
              <w:rPr>
                <w:rFonts w:hint="eastAsia" w:ascii="宋体" w:hAnsi="宋体" w:eastAsia="宋体" w:cs="宋体"/>
                <w:color w:val="auto"/>
                <w:sz w:val="21"/>
                <w:szCs w:val="21"/>
                <w:highlight w:val="none"/>
              </w:rPr>
            </w:pPr>
          </w:p>
        </w:tc>
        <w:tc>
          <w:tcPr>
            <w:tcW w:w="5519" w:type="dxa"/>
            <w:noWrap w:val="0"/>
            <w:vAlign w:val="top"/>
          </w:tcPr>
          <w:p w14:paraId="53723011">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一类环境空气功能区</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I类水体</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0类声环境功能区／自然保护地核心保护区</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饮用水水源一级保护区</w:t>
            </w:r>
            <w:r>
              <w:rPr>
                <w:rFonts w:hint="eastAsia" w:ascii="宋体" w:hAnsi="宋体" w:eastAsia="宋体" w:cs="宋体"/>
                <w:color w:val="auto"/>
                <w:sz w:val="21"/>
                <w:szCs w:val="21"/>
                <w:highlight w:val="none"/>
                <w:lang w:val="en-US" w:eastAsia="zh-CN"/>
              </w:rPr>
              <w:t>/第一类海水水质的区域</w:t>
            </w:r>
          </w:p>
        </w:tc>
        <w:tc>
          <w:tcPr>
            <w:tcW w:w="1278" w:type="dxa"/>
            <w:noWrap w:val="0"/>
            <w:vAlign w:val="center"/>
          </w:tcPr>
          <w:p w14:paraId="2F40B30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6C5C2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5" w:type="dxa"/>
            <w:vMerge w:val="restart"/>
            <w:noWrap w:val="0"/>
            <w:vAlign w:val="center"/>
          </w:tcPr>
          <w:p w14:paraId="7179C71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污染物</w:t>
            </w:r>
            <w:r>
              <w:rPr>
                <w:rFonts w:hint="eastAsia" w:ascii="宋体" w:hAnsi="宋体" w:eastAsia="宋体" w:cs="宋体"/>
                <w:color w:val="auto"/>
                <w:sz w:val="21"/>
                <w:szCs w:val="21"/>
                <w:highlight w:val="none"/>
              </w:rPr>
              <w:t>类别</w:t>
            </w:r>
          </w:p>
        </w:tc>
        <w:tc>
          <w:tcPr>
            <w:tcW w:w="5519" w:type="dxa"/>
            <w:noWrap w:val="0"/>
            <w:vAlign w:val="top"/>
          </w:tcPr>
          <w:p w14:paraId="494F51F5">
            <w:pPr>
              <w:adjustRightInd w:val="0"/>
              <w:ind w:firstLine="420" w:firstLineChars="200"/>
              <w:jc w:val="both"/>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rPr>
              <w:t>一般废气、废水、固体废物、噪声、畜禽养殖废水</w:t>
            </w:r>
          </w:p>
        </w:tc>
        <w:tc>
          <w:tcPr>
            <w:tcW w:w="1278" w:type="dxa"/>
            <w:noWrap w:val="0"/>
            <w:vAlign w:val="center"/>
          </w:tcPr>
          <w:p w14:paraId="2B3D726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62BA1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5" w:type="dxa"/>
            <w:vMerge w:val="continue"/>
            <w:noWrap w:val="0"/>
            <w:vAlign w:val="center"/>
          </w:tcPr>
          <w:p w14:paraId="338BC508">
            <w:pPr>
              <w:jc w:val="center"/>
              <w:rPr>
                <w:rFonts w:hint="eastAsia" w:ascii="宋体" w:hAnsi="宋体" w:eastAsia="宋体" w:cs="宋体"/>
                <w:color w:val="auto"/>
                <w:sz w:val="21"/>
                <w:szCs w:val="21"/>
                <w:highlight w:val="none"/>
              </w:rPr>
            </w:pPr>
          </w:p>
        </w:tc>
        <w:tc>
          <w:tcPr>
            <w:tcW w:w="5519" w:type="dxa"/>
            <w:noWrap w:val="0"/>
            <w:vAlign w:val="top"/>
          </w:tcPr>
          <w:p w14:paraId="7936B1CE">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火电、钢铁、石化、水泥、炼焦、有色、化工废气/医疗废水</w:t>
            </w:r>
          </w:p>
        </w:tc>
        <w:tc>
          <w:tcPr>
            <w:tcW w:w="1278" w:type="dxa"/>
            <w:noWrap w:val="0"/>
            <w:vAlign w:val="center"/>
          </w:tcPr>
          <w:p w14:paraId="5B7E53F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p>
        </w:tc>
      </w:tr>
      <w:tr w14:paraId="42654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5" w:type="dxa"/>
            <w:vMerge w:val="continue"/>
            <w:noWrap w:val="0"/>
            <w:vAlign w:val="center"/>
          </w:tcPr>
          <w:p w14:paraId="604D5726">
            <w:pPr>
              <w:jc w:val="center"/>
              <w:rPr>
                <w:rFonts w:hint="eastAsia" w:ascii="宋体" w:hAnsi="宋体" w:eastAsia="宋体" w:cs="宋体"/>
                <w:color w:val="auto"/>
                <w:sz w:val="21"/>
                <w:szCs w:val="21"/>
                <w:highlight w:val="none"/>
              </w:rPr>
            </w:pPr>
          </w:p>
        </w:tc>
        <w:tc>
          <w:tcPr>
            <w:tcW w:w="5519" w:type="dxa"/>
            <w:noWrap w:val="0"/>
            <w:vAlign w:val="top"/>
          </w:tcPr>
          <w:p w14:paraId="2305E174">
            <w:pPr>
              <w:adjustRightInd w:val="0"/>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含有毒有害物质的废气、废水／含一类污染物或重金属、病原体、放射性物质的废水／危险废物</w:t>
            </w:r>
          </w:p>
        </w:tc>
        <w:tc>
          <w:tcPr>
            <w:tcW w:w="1278" w:type="dxa"/>
            <w:noWrap w:val="0"/>
            <w:vAlign w:val="center"/>
          </w:tcPr>
          <w:p w14:paraId="248CA03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p>
        </w:tc>
      </w:tr>
      <w:tr w14:paraId="3A191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5" w:type="dxa"/>
            <w:noWrap w:val="0"/>
            <w:vAlign w:val="center"/>
          </w:tcPr>
          <w:p w14:paraId="1F76C7C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备注</w:t>
            </w:r>
          </w:p>
        </w:tc>
        <w:tc>
          <w:tcPr>
            <w:tcW w:w="6797" w:type="dxa"/>
            <w:gridSpan w:val="2"/>
            <w:noWrap w:val="0"/>
            <w:vAlign w:val="top"/>
          </w:tcPr>
          <w:p w14:paraId="7BCAE5A3">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一般报告书指除化工、电镀、皮革、造纸、制浆、冶炼、放射性、印染、染料、炼焦、炼油项目外的报告书</w:t>
            </w:r>
            <w:r>
              <w:rPr>
                <w:rFonts w:hint="eastAsia" w:ascii="宋体" w:hAnsi="宋体" w:eastAsia="宋体" w:cs="宋体"/>
                <w:color w:val="auto"/>
                <w:sz w:val="21"/>
                <w:szCs w:val="21"/>
                <w:highlight w:val="none"/>
                <w:lang w:eastAsia="zh-CN"/>
              </w:rPr>
              <w:t>；</w:t>
            </w:r>
          </w:p>
          <w:p w14:paraId="07D5D1F6">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对企业的处罚和对</w:t>
            </w:r>
            <w:r>
              <w:rPr>
                <w:rFonts w:hint="eastAsia" w:ascii="宋体" w:hAnsi="宋体" w:eastAsia="宋体" w:cs="宋体"/>
                <w:color w:val="auto"/>
                <w:sz w:val="21"/>
                <w:szCs w:val="21"/>
                <w:highlight w:val="none"/>
              </w:rPr>
              <w:t>直接负责的主管人员</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其他直接责任人员</w:t>
            </w:r>
            <w:r>
              <w:rPr>
                <w:rFonts w:hint="eastAsia" w:ascii="宋体" w:hAnsi="宋体" w:eastAsia="宋体" w:cs="宋体"/>
                <w:color w:val="auto"/>
                <w:sz w:val="21"/>
                <w:szCs w:val="21"/>
                <w:highlight w:val="none"/>
                <w:lang w:eastAsia="zh-CN"/>
              </w:rPr>
              <w:t>的处罚，以本表作为裁量选取。</w:t>
            </w:r>
          </w:p>
        </w:tc>
      </w:tr>
    </w:tbl>
    <w:p w14:paraId="1B738645">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11"/>
        <w:gridCol w:w="5795"/>
        <w:gridCol w:w="1342"/>
      </w:tblGrid>
      <w:tr w14:paraId="58E05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3"/>
            <w:noWrap w:val="0"/>
            <w:vAlign w:val="top"/>
          </w:tcPr>
          <w:p w14:paraId="63399B1C">
            <w:pPr>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（二）生态环境影响评价管理类</w:t>
            </w:r>
          </w:p>
        </w:tc>
      </w:tr>
      <w:tr w14:paraId="6A184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5" w:type="dxa"/>
            <w:noWrap w:val="0"/>
            <w:vAlign w:val="top"/>
          </w:tcPr>
          <w:p w14:paraId="4C56DF8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797" w:type="dxa"/>
            <w:gridSpan w:val="2"/>
            <w:noWrap w:val="0"/>
            <w:vAlign w:val="top"/>
          </w:tcPr>
          <w:p w14:paraId="4B7C39BC">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5-2</w:t>
            </w:r>
          </w:p>
        </w:tc>
      </w:tr>
      <w:tr w14:paraId="6F082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1725" w:type="dxa"/>
            <w:noWrap w:val="0"/>
            <w:vAlign w:val="center"/>
          </w:tcPr>
          <w:p w14:paraId="1F87066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6797" w:type="dxa"/>
            <w:gridSpan w:val="2"/>
            <w:noWrap w:val="0"/>
            <w:vAlign w:val="center"/>
          </w:tcPr>
          <w:p w14:paraId="3AFC72DC">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生态环境保护设施未建成、未达到规定要求即投入生产、使用的</w:t>
            </w:r>
          </w:p>
        </w:tc>
      </w:tr>
      <w:tr w14:paraId="07979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atLeast"/>
          <w:jc w:val="center"/>
        </w:trPr>
        <w:tc>
          <w:tcPr>
            <w:tcW w:w="1725" w:type="dxa"/>
            <w:noWrap w:val="0"/>
            <w:vAlign w:val="center"/>
          </w:tcPr>
          <w:p w14:paraId="6B7F31E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6797" w:type="dxa"/>
            <w:gridSpan w:val="2"/>
            <w:noWrap w:val="0"/>
            <w:vAlign w:val="center"/>
          </w:tcPr>
          <w:p w14:paraId="043786A3">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《中华人民共和国生态环境法典》第一百六十二条</w:t>
            </w:r>
            <w:r>
              <w:rPr>
                <w:rFonts w:hint="eastAsia" w:ascii="宋体" w:hAnsi="宋体" w:eastAsia="宋体" w:cs="宋体"/>
                <w:color w:val="auto"/>
                <w:sz w:val="21"/>
                <w:szCs w:val="21"/>
                <w:highlight w:val="none"/>
                <w:lang w:val="en-US" w:eastAsia="zh-CN"/>
              </w:rPr>
              <w:t>第一款</w:t>
            </w:r>
            <w:r>
              <w:rPr>
                <w:rFonts w:hint="eastAsia" w:ascii="宋体" w:hAnsi="宋体" w:eastAsia="宋体" w:cs="宋体"/>
                <w:color w:val="auto"/>
                <w:sz w:val="21"/>
                <w:szCs w:val="21"/>
                <w:highlight w:val="none"/>
              </w:rPr>
              <w:t>　建设项目中的污染防治设施，应当与主体工程同时设计、同时施工、同时投产使用。污染防治设施应当符合经批准的生态环境影响报告书、生态环境影响报告表的要求，不得擅自拆除或者闲置。</w:t>
            </w:r>
          </w:p>
        </w:tc>
      </w:tr>
      <w:tr w14:paraId="0D7D2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9" w:hRule="atLeast"/>
          <w:jc w:val="center"/>
        </w:trPr>
        <w:tc>
          <w:tcPr>
            <w:tcW w:w="1725" w:type="dxa"/>
            <w:noWrap w:val="0"/>
            <w:vAlign w:val="center"/>
          </w:tcPr>
          <w:p w14:paraId="32CEECF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6797" w:type="dxa"/>
            <w:gridSpan w:val="2"/>
            <w:noWrap w:val="0"/>
            <w:vAlign w:val="center"/>
          </w:tcPr>
          <w:p w14:paraId="36739197">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《中华人民共和国生态环境法典》第一千一百条　违反本法规定，生态环境保护设施未与主体工程同时设计、同时施工、同时投产使用，或者生态环境保护设施未建成、未达到规定要求即投入生产、使用的，由负有生态环境保护监督管理职责的部门、机构按照职责分工责令改正，处二十万元以上一百万元以下的罚款，拒不改正的，处一百万元以上二百万元以下的罚款；对直接负责的主管人员和其他直接责任人员处五万元以上二十万元以下的罚款；造成重大环境污染、生态破坏的，责令其停止生产、使用，或者报经有批准权的人民政府批准，责令停业、关闭。</w:t>
            </w:r>
          </w:p>
        </w:tc>
      </w:tr>
      <w:tr w14:paraId="0014F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5" w:type="dxa"/>
            <w:noWrap w:val="0"/>
            <w:vAlign w:val="center"/>
          </w:tcPr>
          <w:p w14:paraId="543B07B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519" w:type="dxa"/>
            <w:noWrap w:val="0"/>
            <w:vAlign w:val="top"/>
          </w:tcPr>
          <w:p w14:paraId="097A789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278" w:type="dxa"/>
            <w:noWrap w:val="0"/>
            <w:vAlign w:val="top"/>
          </w:tcPr>
          <w:p w14:paraId="1EF9AFE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2D508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5" w:type="dxa"/>
            <w:vMerge w:val="restart"/>
            <w:noWrap w:val="0"/>
            <w:vAlign w:val="center"/>
          </w:tcPr>
          <w:p w14:paraId="5C88BBC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违法事实</w:t>
            </w:r>
          </w:p>
        </w:tc>
        <w:tc>
          <w:tcPr>
            <w:tcW w:w="5519" w:type="dxa"/>
            <w:noWrap w:val="0"/>
            <w:vAlign w:val="center"/>
          </w:tcPr>
          <w:p w14:paraId="4D26FA55">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生态环境保护设施已建成未达到规定要求</w:t>
            </w:r>
          </w:p>
        </w:tc>
        <w:tc>
          <w:tcPr>
            <w:tcW w:w="1278" w:type="dxa"/>
            <w:noWrap w:val="0"/>
            <w:vAlign w:val="center"/>
          </w:tcPr>
          <w:p w14:paraId="6320E9C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1C69B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5" w:type="dxa"/>
            <w:vMerge w:val="continue"/>
            <w:noWrap w:val="0"/>
            <w:vAlign w:val="center"/>
          </w:tcPr>
          <w:p w14:paraId="09086B90">
            <w:pPr>
              <w:jc w:val="center"/>
              <w:rPr>
                <w:rFonts w:hint="eastAsia" w:ascii="宋体" w:hAnsi="宋体" w:eastAsia="宋体" w:cs="宋体"/>
                <w:color w:val="auto"/>
                <w:sz w:val="21"/>
                <w:szCs w:val="21"/>
                <w:highlight w:val="none"/>
              </w:rPr>
            </w:pPr>
          </w:p>
        </w:tc>
        <w:tc>
          <w:tcPr>
            <w:tcW w:w="5519" w:type="dxa"/>
            <w:noWrap w:val="0"/>
            <w:vAlign w:val="center"/>
          </w:tcPr>
          <w:p w14:paraId="49B01723">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生态环境保护设施已动工建设尚未建成</w:t>
            </w:r>
          </w:p>
        </w:tc>
        <w:tc>
          <w:tcPr>
            <w:tcW w:w="1278" w:type="dxa"/>
            <w:noWrap w:val="0"/>
            <w:vAlign w:val="center"/>
          </w:tcPr>
          <w:p w14:paraId="15B6F3F2">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3</w:t>
            </w:r>
          </w:p>
        </w:tc>
      </w:tr>
      <w:tr w14:paraId="13536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5" w:type="dxa"/>
            <w:vMerge w:val="continue"/>
            <w:noWrap w:val="0"/>
            <w:vAlign w:val="center"/>
          </w:tcPr>
          <w:p w14:paraId="2A03D3B7">
            <w:pPr>
              <w:jc w:val="center"/>
              <w:rPr>
                <w:rFonts w:hint="eastAsia" w:ascii="宋体" w:hAnsi="宋体" w:eastAsia="宋体" w:cs="宋体"/>
                <w:color w:val="auto"/>
                <w:sz w:val="21"/>
                <w:szCs w:val="21"/>
                <w:highlight w:val="none"/>
              </w:rPr>
            </w:pPr>
          </w:p>
        </w:tc>
        <w:tc>
          <w:tcPr>
            <w:tcW w:w="5519" w:type="dxa"/>
            <w:noWrap w:val="0"/>
            <w:vAlign w:val="center"/>
          </w:tcPr>
          <w:p w14:paraId="665E7AA9">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生态环境保护设施尚未建设</w:t>
            </w:r>
          </w:p>
        </w:tc>
        <w:tc>
          <w:tcPr>
            <w:tcW w:w="1278" w:type="dxa"/>
            <w:noWrap w:val="0"/>
            <w:vAlign w:val="center"/>
          </w:tcPr>
          <w:p w14:paraId="1592F68B">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5</w:t>
            </w:r>
          </w:p>
        </w:tc>
      </w:tr>
      <w:tr w14:paraId="5401A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5" w:type="dxa"/>
            <w:vMerge w:val="restart"/>
            <w:noWrap w:val="0"/>
            <w:vAlign w:val="center"/>
          </w:tcPr>
          <w:p w14:paraId="05FBF72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项目应报批的环评文件类型</w:t>
            </w:r>
          </w:p>
        </w:tc>
        <w:tc>
          <w:tcPr>
            <w:tcW w:w="5519" w:type="dxa"/>
            <w:noWrap w:val="0"/>
            <w:vAlign w:val="top"/>
          </w:tcPr>
          <w:p w14:paraId="0A54904F">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报告表</w:t>
            </w:r>
          </w:p>
        </w:tc>
        <w:tc>
          <w:tcPr>
            <w:tcW w:w="1278" w:type="dxa"/>
            <w:noWrap w:val="0"/>
            <w:vAlign w:val="center"/>
          </w:tcPr>
          <w:p w14:paraId="7222F1E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4AF49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5" w:type="dxa"/>
            <w:vMerge w:val="continue"/>
            <w:noWrap w:val="0"/>
            <w:vAlign w:val="center"/>
          </w:tcPr>
          <w:p w14:paraId="1E7B20E2">
            <w:pPr>
              <w:jc w:val="center"/>
              <w:rPr>
                <w:rFonts w:hint="eastAsia" w:ascii="宋体" w:hAnsi="宋体" w:eastAsia="宋体" w:cs="宋体"/>
                <w:color w:val="auto"/>
                <w:sz w:val="21"/>
                <w:szCs w:val="21"/>
                <w:highlight w:val="none"/>
              </w:rPr>
            </w:pPr>
          </w:p>
        </w:tc>
        <w:tc>
          <w:tcPr>
            <w:tcW w:w="5519" w:type="dxa"/>
            <w:noWrap w:val="0"/>
            <w:vAlign w:val="top"/>
          </w:tcPr>
          <w:p w14:paraId="5B2007AC">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一般报告书</w:t>
            </w:r>
          </w:p>
        </w:tc>
        <w:tc>
          <w:tcPr>
            <w:tcW w:w="1278" w:type="dxa"/>
            <w:noWrap w:val="0"/>
            <w:vAlign w:val="center"/>
          </w:tcPr>
          <w:p w14:paraId="6FCD636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1D54E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jc w:val="center"/>
        </w:trPr>
        <w:tc>
          <w:tcPr>
            <w:tcW w:w="1725" w:type="dxa"/>
            <w:vMerge w:val="continue"/>
            <w:noWrap w:val="0"/>
            <w:vAlign w:val="center"/>
          </w:tcPr>
          <w:p w14:paraId="70100725">
            <w:pPr>
              <w:jc w:val="center"/>
              <w:rPr>
                <w:rFonts w:hint="eastAsia" w:ascii="宋体" w:hAnsi="宋体" w:eastAsia="宋体" w:cs="宋体"/>
                <w:color w:val="auto"/>
                <w:sz w:val="21"/>
                <w:szCs w:val="21"/>
                <w:highlight w:val="none"/>
              </w:rPr>
            </w:pPr>
          </w:p>
        </w:tc>
        <w:tc>
          <w:tcPr>
            <w:tcW w:w="5519" w:type="dxa"/>
            <w:noWrap w:val="0"/>
            <w:vAlign w:val="center"/>
          </w:tcPr>
          <w:p w14:paraId="23BB59E8">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报告书（化工、电镀、皮革、造纸、制浆、冶炼、放射性、印染、染料、炼焦、炼油项目）</w:t>
            </w:r>
          </w:p>
        </w:tc>
        <w:tc>
          <w:tcPr>
            <w:tcW w:w="1278" w:type="dxa"/>
            <w:noWrap w:val="0"/>
            <w:vAlign w:val="center"/>
          </w:tcPr>
          <w:p w14:paraId="2DB0A58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1E2E7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5" w:type="dxa"/>
            <w:vMerge w:val="restart"/>
            <w:noWrap w:val="0"/>
            <w:vAlign w:val="center"/>
          </w:tcPr>
          <w:p w14:paraId="039DCCCF">
            <w:pPr>
              <w:jc w:val="center"/>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违法行为发生地</w:t>
            </w:r>
          </w:p>
        </w:tc>
        <w:tc>
          <w:tcPr>
            <w:tcW w:w="5519" w:type="dxa"/>
            <w:noWrap w:val="0"/>
            <w:vAlign w:val="top"/>
          </w:tcPr>
          <w:p w14:paraId="3D3BCD84">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二类环境空气功能区</w:t>
            </w:r>
            <w:r>
              <w:rPr>
                <w:rFonts w:hint="eastAsia" w:ascii="宋体" w:hAnsi="宋体" w:eastAsia="宋体" w:cs="宋体"/>
                <w:color w:val="auto"/>
                <w:sz w:val="21"/>
                <w:szCs w:val="21"/>
                <w:highlight w:val="none"/>
              </w:rPr>
              <w:t>（工业区和农村地区）</w:t>
            </w:r>
            <w:r>
              <w:rPr>
                <w:rFonts w:hint="eastAsia" w:ascii="宋体" w:hAnsi="宋体" w:cs="宋体"/>
                <w:color w:val="auto"/>
                <w:sz w:val="21"/>
                <w:szCs w:val="21"/>
                <w:highlight w:val="none"/>
                <w:lang w:val="en-US" w:eastAsia="zh-CN"/>
              </w:rPr>
              <w:t>/V类水体（或者污水集中处理设施）/</w:t>
            </w:r>
            <w:r>
              <w:rPr>
                <w:rFonts w:hint="eastAsia" w:ascii="宋体" w:hAnsi="宋体" w:eastAsia="宋体" w:cs="宋体"/>
                <w:color w:val="auto"/>
                <w:sz w:val="21"/>
                <w:szCs w:val="21"/>
                <w:highlight w:val="none"/>
              </w:rPr>
              <w:t>4类声环境功能区</w:t>
            </w:r>
            <w:r>
              <w:rPr>
                <w:rFonts w:hint="eastAsia" w:ascii="宋体" w:hAnsi="宋体" w:eastAsia="宋体" w:cs="宋体"/>
                <w:color w:val="auto"/>
                <w:sz w:val="21"/>
                <w:szCs w:val="21"/>
                <w:highlight w:val="none"/>
                <w:lang w:val="en-US" w:eastAsia="zh-CN"/>
              </w:rPr>
              <w:t>/第四类海水水质的区域</w:t>
            </w:r>
          </w:p>
        </w:tc>
        <w:tc>
          <w:tcPr>
            <w:tcW w:w="1278" w:type="dxa"/>
            <w:noWrap w:val="0"/>
            <w:vAlign w:val="center"/>
          </w:tcPr>
          <w:p w14:paraId="12BDD4D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71B32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5" w:type="dxa"/>
            <w:vMerge w:val="continue"/>
            <w:noWrap w:val="0"/>
            <w:vAlign w:val="center"/>
          </w:tcPr>
          <w:p w14:paraId="15DE6357">
            <w:pPr>
              <w:jc w:val="center"/>
              <w:rPr>
                <w:rFonts w:hint="eastAsia" w:ascii="宋体" w:hAnsi="宋体" w:eastAsia="宋体" w:cs="宋体"/>
                <w:color w:val="auto"/>
                <w:sz w:val="21"/>
                <w:szCs w:val="21"/>
                <w:highlight w:val="none"/>
              </w:rPr>
            </w:pPr>
          </w:p>
        </w:tc>
        <w:tc>
          <w:tcPr>
            <w:tcW w:w="5519" w:type="dxa"/>
            <w:noWrap w:val="0"/>
            <w:vAlign w:val="top"/>
          </w:tcPr>
          <w:p w14:paraId="77EF744B">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Ⅳ类</w:t>
            </w:r>
            <w:r>
              <w:rPr>
                <w:rFonts w:hint="eastAsia" w:ascii="宋体" w:hAnsi="宋体" w:eastAsia="宋体" w:cs="宋体"/>
                <w:color w:val="auto"/>
                <w:sz w:val="21"/>
                <w:szCs w:val="21"/>
                <w:highlight w:val="none"/>
              </w:rPr>
              <w:t>水体</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3类声环境功能区</w:t>
            </w:r>
            <w:r>
              <w:rPr>
                <w:rFonts w:hint="eastAsia" w:ascii="宋体" w:hAnsi="宋体" w:eastAsia="宋体" w:cs="宋体"/>
                <w:color w:val="auto"/>
                <w:sz w:val="21"/>
                <w:szCs w:val="21"/>
                <w:highlight w:val="none"/>
                <w:lang w:val="en-US" w:eastAsia="zh-CN"/>
              </w:rPr>
              <w:t>/第三类海水水质的区域</w:t>
            </w:r>
          </w:p>
        </w:tc>
        <w:tc>
          <w:tcPr>
            <w:tcW w:w="1278" w:type="dxa"/>
            <w:noWrap w:val="0"/>
            <w:vAlign w:val="center"/>
          </w:tcPr>
          <w:p w14:paraId="2624016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r>
      <w:tr w14:paraId="33595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5" w:type="dxa"/>
            <w:vMerge w:val="continue"/>
            <w:noWrap w:val="0"/>
            <w:vAlign w:val="center"/>
          </w:tcPr>
          <w:p w14:paraId="0728AD5A">
            <w:pPr>
              <w:jc w:val="center"/>
              <w:rPr>
                <w:rFonts w:hint="eastAsia" w:ascii="宋体" w:hAnsi="宋体" w:eastAsia="宋体" w:cs="宋体"/>
                <w:color w:val="auto"/>
                <w:sz w:val="21"/>
                <w:szCs w:val="21"/>
                <w:highlight w:val="none"/>
              </w:rPr>
            </w:pPr>
          </w:p>
        </w:tc>
        <w:tc>
          <w:tcPr>
            <w:tcW w:w="5519" w:type="dxa"/>
            <w:noWrap w:val="0"/>
            <w:vAlign w:val="top"/>
          </w:tcPr>
          <w:p w14:paraId="6A92312D">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二类环境空气功能区</w:t>
            </w:r>
            <w:r>
              <w:rPr>
                <w:rFonts w:hint="eastAsia" w:ascii="宋体" w:hAnsi="宋体" w:eastAsia="宋体" w:cs="宋体"/>
                <w:color w:val="auto"/>
                <w:sz w:val="21"/>
                <w:szCs w:val="21"/>
                <w:highlight w:val="none"/>
                <w:lang w:eastAsia="zh-CN"/>
              </w:rPr>
              <w:t>（居民区、商业交通居民混合区、文化区）/</w:t>
            </w:r>
            <w:r>
              <w:rPr>
                <w:rFonts w:hint="eastAsia" w:ascii="宋体" w:hAnsi="宋体" w:cs="宋体"/>
                <w:color w:val="auto"/>
                <w:sz w:val="21"/>
                <w:szCs w:val="21"/>
                <w:highlight w:val="none"/>
                <w:lang w:eastAsia="zh-CN"/>
              </w:rPr>
              <w:t>Ⅲ类</w:t>
            </w:r>
            <w:r>
              <w:rPr>
                <w:rFonts w:hint="eastAsia" w:ascii="宋体" w:hAnsi="宋体" w:eastAsia="宋体" w:cs="宋体"/>
                <w:color w:val="auto"/>
                <w:sz w:val="21"/>
                <w:szCs w:val="21"/>
                <w:highlight w:val="none"/>
                <w:lang w:eastAsia="zh-CN"/>
              </w:rPr>
              <w:t>水体/2类声环境功能区/饮用水水源准保护区/自然保护地外的生态保护红线区域</w:t>
            </w:r>
          </w:p>
        </w:tc>
        <w:tc>
          <w:tcPr>
            <w:tcW w:w="1278" w:type="dxa"/>
            <w:noWrap w:val="0"/>
            <w:vAlign w:val="center"/>
          </w:tcPr>
          <w:p w14:paraId="160E18A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38BA6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5" w:type="dxa"/>
            <w:vMerge w:val="continue"/>
            <w:noWrap w:val="0"/>
            <w:vAlign w:val="center"/>
          </w:tcPr>
          <w:p w14:paraId="401BF6B5">
            <w:pPr>
              <w:jc w:val="center"/>
              <w:rPr>
                <w:rFonts w:hint="eastAsia" w:ascii="宋体" w:hAnsi="宋体" w:eastAsia="宋体" w:cs="宋体"/>
                <w:color w:val="auto"/>
                <w:sz w:val="21"/>
                <w:szCs w:val="21"/>
                <w:highlight w:val="none"/>
              </w:rPr>
            </w:pPr>
          </w:p>
        </w:tc>
        <w:tc>
          <w:tcPr>
            <w:tcW w:w="5519" w:type="dxa"/>
            <w:noWrap w:val="0"/>
            <w:vAlign w:val="top"/>
          </w:tcPr>
          <w:p w14:paraId="199F652D">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Ⅱ类</w:t>
            </w:r>
            <w:r>
              <w:rPr>
                <w:rFonts w:hint="eastAsia" w:ascii="宋体" w:hAnsi="宋体" w:eastAsia="宋体" w:cs="宋体"/>
                <w:color w:val="auto"/>
                <w:sz w:val="21"/>
                <w:szCs w:val="21"/>
                <w:highlight w:val="none"/>
              </w:rPr>
              <w:t>水体</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1类声环境功能区／自然保护地一般控制区</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饮用水水源二级保护区</w:t>
            </w:r>
            <w:r>
              <w:rPr>
                <w:rFonts w:hint="eastAsia" w:ascii="宋体" w:hAnsi="宋体" w:eastAsia="宋体" w:cs="宋体"/>
                <w:color w:val="auto"/>
                <w:sz w:val="21"/>
                <w:szCs w:val="21"/>
                <w:highlight w:val="none"/>
                <w:lang w:val="en-US" w:eastAsia="zh-CN"/>
              </w:rPr>
              <w:t>/第二类海水水质的区域</w:t>
            </w:r>
          </w:p>
        </w:tc>
        <w:tc>
          <w:tcPr>
            <w:tcW w:w="1278" w:type="dxa"/>
            <w:noWrap w:val="0"/>
            <w:vAlign w:val="center"/>
          </w:tcPr>
          <w:p w14:paraId="03B82F2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r>
      <w:tr w14:paraId="59620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5" w:type="dxa"/>
            <w:vMerge w:val="continue"/>
            <w:noWrap w:val="0"/>
            <w:vAlign w:val="center"/>
          </w:tcPr>
          <w:p w14:paraId="4B8B0311">
            <w:pPr>
              <w:jc w:val="center"/>
              <w:rPr>
                <w:rFonts w:hint="eastAsia" w:ascii="宋体" w:hAnsi="宋体" w:eastAsia="宋体" w:cs="宋体"/>
                <w:color w:val="auto"/>
                <w:sz w:val="21"/>
                <w:szCs w:val="21"/>
                <w:highlight w:val="none"/>
              </w:rPr>
            </w:pPr>
          </w:p>
        </w:tc>
        <w:tc>
          <w:tcPr>
            <w:tcW w:w="5519" w:type="dxa"/>
            <w:noWrap w:val="0"/>
            <w:vAlign w:val="top"/>
          </w:tcPr>
          <w:p w14:paraId="4FCD1F84">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一类环境空气功能区</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I类水体</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0类声环境功能区／自然保护地核心保护区</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饮用水水源一级保护区</w:t>
            </w:r>
            <w:r>
              <w:rPr>
                <w:rFonts w:hint="eastAsia" w:ascii="宋体" w:hAnsi="宋体" w:eastAsia="宋体" w:cs="宋体"/>
                <w:color w:val="auto"/>
                <w:sz w:val="21"/>
                <w:szCs w:val="21"/>
                <w:highlight w:val="none"/>
                <w:lang w:val="en-US" w:eastAsia="zh-CN"/>
              </w:rPr>
              <w:t>/第一类海水水质的区域</w:t>
            </w:r>
          </w:p>
        </w:tc>
        <w:tc>
          <w:tcPr>
            <w:tcW w:w="1278" w:type="dxa"/>
            <w:noWrap w:val="0"/>
            <w:vAlign w:val="center"/>
          </w:tcPr>
          <w:p w14:paraId="4FC83E6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72694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5" w:type="dxa"/>
            <w:vMerge w:val="restart"/>
            <w:noWrap w:val="0"/>
            <w:vAlign w:val="center"/>
          </w:tcPr>
          <w:p w14:paraId="336EAB2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污染物</w:t>
            </w:r>
            <w:r>
              <w:rPr>
                <w:rFonts w:hint="eastAsia" w:ascii="宋体" w:hAnsi="宋体" w:eastAsia="宋体" w:cs="宋体"/>
                <w:color w:val="auto"/>
                <w:sz w:val="21"/>
                <w:szCs w:val="21"/>
                <w:highlight w:val="none"/>
              </w:rPr>
              <w:t>类别</w:t>
            </w:r>
          </w:p>
        </w:tc>
        <w:tc>
          <w:tcPr>
            <w:tcW w:w="5519" w:type="dxa"/>
            <w:noWrap w:val="0"/>
            <w:vAlign w:val="top"/>
          </w:tcPr>
          <w:p w14:paraId="67559CBA">
            <w:pPr>
              <w:adjustRightInd w:val="0"/>
              <w:ind w:firstLine="420" w:firstLineChars="200"/>
              <w:jc w:val="both"/>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rPr>
              <w:t>一般废气、废水、固体废物、噪声、畜禽养殖废水</w:t>
            </w:r>
          </w:p>
        </w:tc>
        <w:tc>
          <w:tcPr>
            <w:tcW w:w="1278" w:type="dxa"/>
            <w:noWrap w:val="0"/>
            <w:vAlign w:val="center"/>
          </w:tcPr>
          <w:p w14:paraId="7D4BCD6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5D612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5" w:type="dxa"/>
            <w:vMerge w:val="continue"/>
            <w:noWrap w:val="0"/>
            <w:vAlign w:val="center"/>
          </w:tcPr>
          <w:p w14:paraId="25C2D115">
            <w:pPr>
              <w:jc w:val="center"/>
              <w:rPr>
                <w:rFonts w:hint="eastAsia" w:ascii="宋体" w:hAnsi="宋体" w:eastAsia="宋体" w:cs="宋体"/>
                <w:color w:val="auto"/>
                <w:sz w:val="21"/>
                <w:szCs w:val="21"/>
                <w:highlight w:val="none"/>
              </w:rPr>
            </w:pPr>
          </w:p>
        </w:tc>
        <w:tc>
          <w:tcPr>
            <w:tcW w:w="5519" w:type="dxa"/>
            <w:noWrap w:val="0"/>
            <w:vAlign w:val="top"/>
          </w:tcPr>
          <w:p w14:paraId="01C4D975">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火电、钢铁、石化、水泥、炼焦、有色、化工废气/医疗废水</w:t>
            </w:r>
          </w:p>
        </w:tc>
        <w:tc>
          <w:tcPr>
            <w:tcW w:w="1278" w:type="dxa"/>
            <w:noWrap w:val="0"/>
            <w:vAlign w:val="center"/>
          </w:tcPr>
          <w:p w14:paraId="1B5965B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p>
        </w:tc>
      </w:tr>
      <w:tr w14:paraId="1D883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5" w:type="dxa"/>
            <w:vMerge w:val="continue"/>
            <w:noWrap w:val="0"/>
            <w:vAlign w:val="center"/>
          </w:tcPr>
          <w:p w14:paraId="4CE1511D">
            <w:pPr>
              <w:jc w:val="center"/>
              <w:rPr>
                <w:rFonts w:hint="eastAsia" w:ascii="宋体" w:hAnsi="宋体" w:eastAsia="宋体" w:cs="宋体"/>
                <w:color w:val="auto"/>
                <w:sz w:val="21"/>
                <w:szCs w:val="21"/>
                <w:highlight w:val="none"/>
              </w:rPr>
            </w:pPr>
          </w:p>
        </w:tc>
        <w:tc>
          <w:tcPr>
            <w:tcW w:w="5519" w:type="dxa"/>
            <w:noWrap w:val="0"/>
            <w:vAlign w:val="top"/>
          </w:tcPr>
          <w:p w14:paraId="5BCFD7FF">
            <w:pPr>
              <w:adjustRightInd w:val="0"/>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含有毒有害物质的废气、废水／含一类污染物或重金属、病原体、放射性物质的废水／危险废物</w:t>
            </w:r>
          </w:p>
        </w:tc>
        <w:tc>
          <w:tcPr>
            <w:tcW w:w="1278" w:type="dxa"/>
            <w:noWrap w:val="0"/>
            <w:vAlign w:val="center"/>
          </w:tcPr>
          <w:p w14:paraId="35E1E99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p>
        </w:tc>
      </w:tr>
      <w:tr w14:paraId="58B2C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5" w:type="dxa"/>
            <w:noWrap w:val="0"/>
            <w:vAlign w:val="center"/>
          </w:tcPr>
          <w:p w14:paraId="73F866C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备注</w:t>
            </w:r>
          </w:p>
        </w:tc>
        <w:tc>
          <w:tcPr>
            <w:tcW w:w="6797" w:type="dxa"/>
            <w:gridSpan w:val="2"/>
            <w:noWrap w:val="0"/>
            <w:vAlign w:val="top"/>
          </w:tcPr>
          <w:p w14:paraId="0BA06F4F">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一般报告书指除化工、电镀、皮革、造纸、制浆、冶炼、放射性、印染、染料、炼焦、炼油项目外的报告书</w:t>
            </w:r>
            <w:r>
              <w:rPr>
                <w:rFonts w:hint="eastAsia" w:ascii="宋体" w:hAnsi="宋体" w:eastAsia="宋体" w:cs="宋体"/>
                <w:color w:val="auto"/>
                <w:sz w:val="21"/>
                <w:szCs w:val="21"/>
                <w:highlight w:val="none"/>
                <w:lang w:eastAsia="zh-CN"/>
              </w:rPr>
              <w:t>；</w:t>
            </w:r>
          </w:p>
          <w:p w14:paraId="2F2067D8">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对企业的处罚和对</w:t>
            </w:r>
            <w:r>
              <w:rPr>
                <w:rFonts w:hint="eastAsia" w:ascii="宋体" w:hAnsi="宋体" w:eastAsia="宋体" w:cs="宋体"/>
                <w:color w:val="auto"/>
                <w:sz w:val="21"/>
                <w:szCs w:val="21"/>
                <w:highlight w:val="none"/>
              </w:rPr>
              <w:t>直接负责的主管人员</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其他直接责任人员</w:t>
            </w:r>
            <w:r>
              <w:rPr>
                <w:rFonts w:hint="eastAsia" w:ascii="宋体" w:hAnsi="宋体" w:eastAsia="宋体" w:cs="宋体"/>
                <w:color w:val="auto"/>
                <w:sz w:val="21"/>
                <w:szCs w:val="21"/>
                <w:highlight w:val="none"/>
                <w:lang w:eastAsia="zh-CN"/>
              </w:rPr>
              <w:t>的处罚，以本表作为裁量选取。</w:t>
            </w:r>
          </w:p>
        </w:tc>
      </w:tr>
    </w:tbl>
    <w:p w14:paraId="15119E9E">
      <w:pPr>
        <w:rPr>
          <w:highlight w:val="none"/>
        </w:rPr>
      </w:pPr>
    </w:p>
    <w:p w14:paraId="3673EB0E">
      <w:pPr>
        <w:rPr>
          <w:highlight w:val="none"/>
        </w:rPr>
      </w:pPr>
      <w:r>
        <w:rPr>
          <w:highlight w:val="none"/>
        </w:rPr>
        <w:br w:type="page"/>
      </w:r>
    </w:p>
    <w:p w14:paraId="74840C30">
      <w:pPr>
        <w:pStyle w:val="3"/>
        <w:keepNext/>
        <w:keepLines/>
        <w:pageBreakBefore w:val="0"/>
        <w:widowControl w:val="0"/>
        <w:kinsoku/>
        <w:wordWrap/>
        <w:overflowPunct/>
        <w:topLinePunct w:val="0"/>
        <w:autoSpaceDE/>
        <w:autoSpaceDN/>
        <w:bidi w:val="0"/>
        <w:adjustRightInd w:val="0"/>
        <w:snapToGrid w:val="0"/>
        <w:spacing w:after="0" w:afterLines="0" w:line="360" w:lineRule="auto"/>
        <w:textAlignment w:val="auto"/>
        <w:rPr>
          <w:rFonts w:hint="eastAsia" w:ascii="楷体_GB2312" w:hAnsi="楷体_GB2312" w:eastAsia="楷体_GB2312" w:cs="楷体_GB2312"/>
          <w:color w:val="auto"/>
          <w:sz w:val="28"/>
          <w:szCs w:val="28"/>
          <w:highlight w:val="none"/>
          <w:lang w:val="en-US" w:eastAsia="zh-CN"/>
        </w:rPr>
      </w:pPr>
      <w:r>
        <w:rPr>
          <w:rFonts w:hint="eastAsia" w:ascii="楷体_GB2312" w:hAnsi="楷体_GB2312" w:eastAsia="楷体_GB2312" w:cs="楷体_GB2312"/>
          <w:color w:val="auto"/>
          <w:sz w:val="28"/>
          <w:szCs w:val="28"/>
          <w:highlight w:val="none"/>
          <w:lang w:val="en-US" w:eastAsia="zh-CN"/>
        </w:rPr>
        <w:t>（三）排污许可管理类</w:t>
      </w:r>
    </w:p>
    <w:p w14:paraId="7BA35CE6">
      <w:pPr>
        <w:rPr>
          <w:rFonts w:hint="eastAsia"/>
          <w:lang w:val="en-US" w:eastAsia="zh-CN"/>
        </w:rPr>
      </w:pPr>
    </w:p>
    <w:p w14:paraId="6F792978">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1.</w:t>
      </w:r>
      <w:r>
        <w:rPr>
          <w:rFonts w:hint="eastAsia" w:ascii="宋体" w:hAnsi="Times New Roman" w:cs="Times New Roman"/>
          <w:color w:val="auto"/>
          <w:kern w:val="0"/>
          <w:sz w:val="24"/>
        </w:rPr>
        <w:t>未依法取得排污许可证排放污染物的</w:t>
      </w:r>
      <w:r>
        <w:rPr>
          <w:rFonts w:hint="eastAsia" w:ascii="宋体" w:hAnsi="Times New Roman" w:cs="Times New Roman"/>
          <w:color w:val="auto"/>
          <w:kern w:val="0"/>
          <w:sz w:val="24"/>
          <w:lang w:eastAsia="zh-CN"/>
        </w:rPr>
        <w:t>；</w:t>
      </w:r>
    </w:p>
    <w:p w14:paraId="2D23C024">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2-1.未按照排污许可证载明的污染物排放种类；</w:t>
      </w:r>
    </w:p>
    <w:p w14:paraId="3A02A9C1">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2-2.超过载明的许可排放浓度、许可排放量、许可排放限值排放污染物的；</w:t>
      </w:r>
    </w:p>
    <w:p w14:paraId="4EE7B400">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3.未按照排污许可证的规定运行和维护污染防治设施的，或者致使污染防治设施不能正常发挥作用，但不属于以逃避监管方式排放污染物的；</w:t>
      </w:r>
    </w:p>
    <w:p w14:paraId="273568C3">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4.擅自拆除污染防治设施的；</w:t>
      </w:r>
    </w:p>
    <w:p w14:paraId="34274C0D">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5.以欺骗、贿赂等不正当手段申请取得排污许可证的；</w:t>
      </w:r>
    </w:p>
    <w:p w14:paraId="2FF48E26">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6.超过污染物排放标准或者超过重点污染物排放总量控制指标排放污染物的；</w:t>
      </w:r>
    </w:p>
    <w:p w14:paraId="0F3346E4">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7.通过暗管、渗井、渗坑、灌注、裂隙、溶洞、篡改或者伪造监测数据，以逃避现场检查为目的的临时停产，非紧急情况下开启应急排放通道，不正常运行污染防治设施等逃避监管的方式排放污染物的；</w:t>
      </w:r>
    </w:p>
    <w:p w14:paraId="44B7391F">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8.违反法律法规、国务院生态环境主管部门的规定、排污许可证规定设置排污口，逾期不拆除的；</w:t>
      </w:r>
    </w:p>
    <w:p w14:paraId="4C0514C5">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9.在饮用水水源保护区内设置排污口的，或者在自然保护地水体等具有特殊经济文化价值的水体、生态保护红线区域及其他需要特别保护的区域新设排污口，逾期不拆除的；</w:t>
      </w:r>
    </w:p>
    <w:p w14:paraId="45F553AB">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10.设置入海排污口未备案的；</w:t>
      </w:r>
    </w:p>
    <w:p w14:paraId="0A228DE0">
      <w:pPr>
        <w:widowControl w:val="0"/>
        <w:adjustRightInd w:val="0"/>
        <w:snapToGrid w:val="0"/>
        <w:spacing w:line="360" w:lineRule="auto"/>
        <w:ind w:firstLine="480" w:firstLineChars="200"/>
        <w:jc w:val="both"/>
        <w:rPr>
          <w:rFonts w:hint="default"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11.未向社会公开或者不如实公开污染物排放信息、温室气体排放信息等生态环境信息的</w:t>
      </w:r>
    </w:p>
    <w:p w14:paraId="3EEDFA62">
      <w:pPr>
        <w:rPr>
          <w:highlight w:val="none"/>
        </w:rPr>
      </w:pPr>
      <w:r>
        <w:rPr>
          <w:highlight w:val="none"/>
        </w:rPr>
        <w:br w:type="page"/>
      </w:r>
    </w:p>
    <w:tbl>
      <w:tblPr>
        <w:tblStyle w:val="8"/>
        <w:tblpPr w:leftFromText="180" w:rightFromText="180" w:vertAnchor="text" w:tblpXSpec="center" w:tblpY="1"/>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94"/>
        <w:gridCol w:w="5562"/>
        <w:gridCol w:w="1492"/>
      </w:tblGrid>
      <w:tr w14:paraId="3A748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3"/>
            <w:tcBorders>
              <w:top w:val="single" w:color="auto" w:sz="4" w:space="0"/>
              <w:left w:val="single" w:color="auto" w:sz="4" w:space="0"/>
              <w:bottom w:val="single" w:color="auto" w:sz="4" w:space="0"/>
              <w:right w:val="single" w:color="auto" w:sz="4" w:space="0"/>
            </w:tcBorders>
            <w:noWrap w:val="0"/>
            <w:vAlign w:val="top"/>
          </w:tcPr>
          <w:p w14:paraId="3133ACCF">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（三）排污许可管理类</w:t>
            </w:r>
          </w:p>
        </w:tc>
      </w:tr>
      <w:tr w14:paraId="06F6E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4" w:type="dxa"/>
            <w:tcBorders>
              <w:top w:val="single" w:color="auto" w:sz="4" w:space="0"/>
              <w:left w:val="single" w:color="auto" w:sz="4" w:space="0"/>
              <w:bottom w:val="single" w:color="auto" w:sz="4" w:space="0"/>
              <w:right w:val="single" w:color="auto" w:sz="4" w:space="0"/>
            </w:tcBorders>
            <w:noWrap w:val="0"/>
            <w:vAlign w:val="center"/>
          </w:tcPr>
          <w:p w14:paraId="5AEB81B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718" w:type="dxa"/>
            <w:gridSpan w:val="2"/>
            <w:tcBorders>
              <w:top w:val="single" w:color="auto" w:sz="4" w:space="0"/>
              <w:left w:val="single" w:color="auto" w:sz="4" w:space="0"/>
              <w:bottom w:val="single" w:color="auto" w:sz="4" w:space="0"/>
              <w:right w:val="single" w:color="auto" w:sz="4" w:space="0"/>
            </w:tcBorders>
            <w:noWrap w:val="0"/>
            <w:vAlign w:val="top"/>
          </w:tcPr>
          <w:p w14:paraId="3E90DFC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7D311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4" w:type="dxa"/>
            <w:tcBorders>
              <w:top w:val="single" w:color="auto" w:sz="4" w:space="0"/>
              <w:left w:val="single" w:color="auto" w:sz="4" w:space="0"/>
              <w:bottom w:val="single" w:color="auto" w:sz="4" w:space="0"/>
              <w:right w:val="single" w:color="auto" w:sz="4" w:space="0"/>
            </w:tcBorders>
            <w:noWrap w:val="0"/>
            <w:vAlign w:val="center"/>
          </w:tcPr>
          <w:p w14:paraId="6FA14C1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6718" w:type="dxa"/>
            <w:gridSpan w:val="2"/>
            <w:tcBorders>
              <w:top w:val="single" w:color="auto" w:sz="4" w:space="0"/>
              <w:left w:val="single" w:color="auto" w:sz="4" w:space="0"/>
              <w:bottom w:val="single" w:color="auto" w:sz="4" w:space="0"/>
              <w:right w:val="single" w:color="auto" w:sz="4" w:space="0"/>
            </w:tcBorders>
            <w:noWrap w:val="0"/>
            <w:vAlign w:val="top"/>
          </w:tcPr>
          <w:p w14:paraId="31ABF32A">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未依法取得排污许可证排放污染物的</w:t>
            </w:r>
          </w:p>
        </w:tc>
      </w:tr>
      <w:tr w14:paraId="74BFB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4" w:type="dxa"/>
            <w:tcBorders>
              <w:top w:val="single" w:color="auto" w:sz="4" w:space="0"/>
              <w:left w:val="single" w:color="auto" w:sz="4" w:space="0"/>
              <w:bottom w:val="single" w:color="auto" w:sz="4" w:space="0"/>
              <w:right w:val="single" w:color="auto" w:sz="4" w:space="0"/>
            </w:tcBorders>
            <w:noWrap w:val="0"/>
            <w:vAlign w:val="center"/>
          </w:tcPr>
          <w:p w14:paraId="3F1C950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6718" w:type="dxa"/>
            <w:gridSpan w:val="2"/>
            <w:tcBorders>
              <w:top w:val="single" w:color="auto" w:sz="4" w:space="0"/>
              <w:left w:val="single" w:color="auto" w:sz="4" w:space="0"/>
              <w:bottom w:val="single" w:color="auto" w:sz="4" w:space="0"/>
              <w:right w:val="single" w:color="auto" w:sz="4" w:space="0"/>
            </w:tcBorders>
            <w:noWrap w:val="0"/>
            <w:vAlign w:val="top"/>
          </w:tcPr>
          <w:p w14:paraId="07BAF5BB">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《中华人民共和国生态环境法典》第一百七十四条</w:t>
            </w:r>
            <w:r>
              <w:rPr>
                <w:rFonts w:hint="eastAsia" w:ascii="宋体" w:hAnsi="宋体" w:eastAsia="宋体" w:cs="宋体"/>
                <w:color w:val="auto"/>
                <w:sz w:val="21"/>
                <w:szCs w:val="21"/>
                <w:highlight w:val="none"/>
                <w:lang w:val="en-US" w:eastAsia="zh-CN"/>
              </w:rPr>
              <w:t>第二款</w:t>
            </w:r>
            <w:r>
              <w:rPr>
                <w:rFonts w:hint="eastAsia" w:ascii="宋体" w:hAnsi="宋体" w:eastAsia="宋体" w:cs="宋体"/>
                <w:color w:val="auto"/>
                <w:sz w:val="21"/>
                <w:szCs w:val="21"/>
                <w:highlight w:val="none"/>
              </w:rPr>
              <w:t xml:space="preserve">  实行排污许可管理的企业事业单位和其他生产经营者应当按照规定取得排污许可证，未取得排污许可证的不得排放污染物。</w:t>
            </w:r>
          </w:p>
          <w:p w14:paraId="3225F702">
            <w:pPr>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《中华人民共和国生态环境法典》第一百七十六条  下列企业事业单位和其他生产经营者应当取得排污许可证：</w:t>
            </w:r>
          </w:p>
          <w:p w14:paraId="554024A3">
            <w:pPr>
              <w:ind w:firstLine="420" w:firstLineChars="200"/>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一</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排放工业废气或者有毒有害大气污染物的企业事业单位和集中供热设施的燃煤热源生产运营单位；</w:t>
            </w:r>
          </w:p>
          <w:p w14:paraId="0D5CE33C">
            <w:pPr>
              <w:ind w:firstLine="420" w:firstLineChars="200"/>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二</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直接或者间接向水体排放工业废水、医疗污水的企业事业单位和其他生产经营者；</w:t>
            </w:r>
          </w:p>
          <w:p w14:paraId="03303580">
            <w:pPr>
              <w:ind w:firstLine="420" w:firstLineChars="200"/>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三</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城镇污水集中处理设施的运营单位；</w:t>
            </w:r>
          </w:p>
          <w:p w14:paraId="46BFE2F2">
            <w:pPr>
              <w:ind w:firstLine="420" w:firstLineChars="200"/>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四</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直接向海洋排放工业废水、医疗污水的海岸工程和海洋工程单位；</w:t>
            </w:r>
          </w:p>
          <w:p w14:paraId="4D819A53">
            <w:pPr>
              <w:ind w:firstLine="420" w:firstLineChars="200"/>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五</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产生工业固体废物的单位；</w:t>
            </w:r>
          </w:p>
          <w:p w14:paraId="25A58B8D">
            <w:pPr>
              <w:ind w:firstLine="420" w:firstLineChars="200"/>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六</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排放工业噪声的企业事业单位和其他生产经营者；</w:t>
            </w:r>
          </w:p>
          <w:p w14:paraId="602DB27D">
            <w:pPr>
              <w:ind w:firstLine="420" w:firstLineChars="200"/>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七</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排放放射性废液或者产生放射性固体废物的伴生放射性矿开发利用单位；</w:t>
            </w:r>
          </w:p>
          <w:p w14:paraId="05B3E9A4">
            <w:pPr>
              <w:ind w:firstLine="420" w:firstLineChars="200"/>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八</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运行一类电磁辐射设施的企业事业单位和依法实行排污许可管理的运行二类电磁辐射设施的企业事业单位；</w:t>
            </w:r>
          </w:p>
          <w:p w14:paraId="099F69DB">
            <w:pPr>
              <w:ind w:firstLine="420" w:firstLineChars="200"/>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九</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其他依照法律、行政法规规定实行排污许可管理的企业事业单位和其他生产经营者。</w:t>
            </w:r>
          </w:p>
          <w:p w14:paraId="4C3ED695">
            <w:pPr>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《中华人民共和国生态环境法典》第一百八十二条　排污许可证有效期为五年。在排污许可证有效期内，实行排污许可管理的企业事业单位和其他生产经营者有下列情形之一的，应当重新取得排污许可证：</w:t>
            </w:r>
          </w:p>
          <w:p w14:paraId="632AA695">
            <w:pPr>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（一）新建、改建、扩建排放污染物的项目；</w:t>
            </w:r>
          </w:p>
          <w:p w14:paraId="46EA6295">
            <w:pPr>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（二）生产经营场所、排污口位置或者污染物排放方式、排放去向发生变化；</w:t>
            </w:r>
          </w:p>
          <w:p w14:paraId="6FA8A8B2">
            <w:pPr>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（三）排污口数量或者污染物排放种类、排放浓度、排放量增加；</w:t>
            </w:r>
          </w:p>
          <w:p w14:paraId="555DD84C">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（四）法律、行政法规规定的其他情形。</w:t>
            </w:r>
          </w:p>
        </w:tc>
      </w:tr>
      <w:tr w14:paraId="10929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4" w:type="dxa"/>
            <w:tcBorders>
              <w:top w:val="single" w:color="auto" w:sz="4" w:space="0"/>
              <w:left w:val="single" w:color="auto" w:sz="4" w:space="0"/>
              <w:bottom w:val="single" w:color="auto" w:sz="4" w:space="0"/>
              <w:right w:val="single" w:color="auto" w:sz="4" w:space="0"/>
            </w:tcBorders>
            <w:noWrap w:val="0"/>
            <w:vAlign w:val="center"/>
          </w:tcPr>
          <w:p w14:paraId="535EF13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6718" w:type="dxa"/>
            <w:gridSpan w:val="2"/>
            <w:tcBorders>
              <w:top w:val="single" w:color="auto" w:sz="4" w:space="0"/>
              <w:left w:val="single" w:color="auto" w:sz="4" w:space="0"/>
              <w:bottom w:val="single" w:color="auto" w:sz="4" w:space="0"/>
              <w:right w:val="single" w:color="auto" w:sz="4" w:space="0"/>
            </w:tcBorders>
            <w:noWrap w:val="0"/>
            <w:vAlign w:val="top"/>
          </w:tcPr>
          <w:p w14:paraId="6136EDEF">
            <w:pPr>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TW"/>
              </w:rPr>
              <w:t>《中华人民共和国生态环境法典》第一千一百零二条  未依法取得排污许可证排放污染物的，由生态环境主管部门责令改正，处二十万元以上一百万元以下的罚款，并可以责令限制生产、停产整治</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lang w:eastAsia="zh-TW"/>
              </w:rPr>
              <w:t>其中，污染物为工业噪声的，罚款数额为二万元以上二十万元以下。拒不停止排放污染物的，由生态环境主管部门将案件移送公安机关，由公安机关对其直接负责的主管人员和其他直接责任人员，处十日以上十五日以下拘留；情节较轻的，处五日以上十日以下拘留。</w:t>
            </w:r>
          </w:p>
        </w:tc>
      </w:tr>
      <w:tr w14:paraId="54DB5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4" w:type="dxa"/>
            <w:tcBorders>
              <w:top w:val="single" w:color="auto" w:sz="4" w:space="0"/>
              <w:left w:val="single" w:color="auto" w:sz="4" w:space="0"/>
              <w:bottom w:val="single" w:color="auto" w:sz="4" w:space="0"/>
              <w:right w:val="single" w:color="auto" w:sz="4" w:space="0"/>
            </w:tcBorders>
            <w:noWrap w:val="0"/>
            <w:vAlign w:val="center"/>
          </w:tcPr>
          <w:p w14:paraId="32ECE4A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297" w:type="dxa"/>
            <w:tcBorders>
              <w:top w:val="single" w:color="auto" w:sz="4" w:space="0"/>
              <w:left w:val="single" w:color="auto" w:sz="4" w:space="0"/>
              <w:bottom w:val="single" w:color="auto" w:sz="4" w:space="0"/>
              <w:right w:val="single" w:color="auto" w:sz="4" w:space="0"/>
            </w:tcBorders>
            <w:noWrap w:val="0"/>
            <w:vAlign w:val="top"/>
          </w:tcPr>
          <w:p w14:paraId="5EADB44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421" w:type="dxa"/>
            <w:tcBorders>
              <w:top w:val="single" w:color="auto" w:sz="4" w:space="0"/>
              <w:left w:val="single" w:color="auto" w:sz="4" w:space="0"/>
              <w:bottom w:val="single" w:color="auto" w:sz="4" w:space="0"/>
              <w:right w:val="single" w:color="auto" w:sz="4" w:space="0"/>
            </w:tcBorders>
            <w:noWrap w:val="0"/>
            <w:vAlign w:val="top"/>
          </w:tcPr>
          <w:p w14:paraId="7E8F331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7753C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4" w:type="dxa"/>
            <w:vMerge w:val="restart"/>
            <w:tcBorders>
              <w:top w:val="single" w:color="auto" w:sz="4" w:space="0"/>
              <w:left w:val="single" w:color="auto" w:sz="4" w:space="0"/>
              <w:right w:val="single" w:color="auto" w:sz="4" w:space="0"/>
            </w:tcBorders>
            <w:noWrap w:val="0"/>
            <w:vAlign w:val="center"/>
          </w:tcPr>
          <w:p w14:paraId="2A2CE3D4">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排污</w:t>
            </w:r>
            <w:r>
              <w:rPr>
                <w:rFonts w:hint="eastAsia" w:ascii="宋体" w:hAnsi="宋体" w:eastAsia="宋体" w:cs="宋体"/>
                <w:color w:val="auto"/>
                <w:sz w:val="21"/>
                <w:szCs w:val="21"/>
                <w:highlight w:val="none"/>
                <w:lang w:val="en-US" w:eastAsia="zh-CN"/>
              </w:rPr>
              <w:t>许可</w:t>
            </w:r>
          </w:p>
          <w:p w14:paraId="736702E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管理类别</w:t>
            </w:r>
          </w:p>
        </w:tc>
        <w:tc>
          <w:tcPr>
            <w:tcW w:w="5297" w:type="dxa"/>
            <w:tcBorders>
              <w:top w:val="single" w:color="auto" w:sz="4" w:space="0"/>
              <w:left w:val="single" w:color="auto" w:sz="4" w:space="0"/>
              <w:bottom w:val="single" w:color="auto" w:sz="4" w:space="0"/>
              <w:right w:val="single" w:color="auto" w:sz="4" w:space="0"/>
            </w:tcBorders>
            <w:noWrap w:val="0"/>
            <w:vAlign w:val="top"/>
          </w:tcPr>
          <w:p w14:paraId="544E06DA">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简化管理</w:t>
            </w:r>
          </w:p>
        </w:tc>
        <w:tc>
          <w:tcPr>
            <w:tcW w:w="1421" w:type="dxa"/>
            <w:tcBorders>
              <w:top w:val="single" w:color="auto" w:sz="4" w:space="0"/>
              <w:left w:val="single" w:color="auto" w:sz="4" w:space="0"/>
              <w:bottom w:val="single" w:color="auto" w:sz="4" w:space="0"/>
              <w:right w:val="single" w:color="auto" w:sz="4" w:space="0"/>
            </w:tcBorders>
            <w:noWrap w:val="0"/>
            <w:vAlign w:val="top"/>
          </w:tcPr>
          <w:p w14:paraId="26C118E6">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r>
      <w:tr w14:paraId="406F0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4" w:type="dxa"/>
            <w:vMerge w:val="continue"/>
            <w:tcBorders>
              <w:left w:val="single" w:color="auto" w:sz="4" w:space="0"/>
              <w:right w:val="single" w:color="auto" w:sz="4" w:space="0"/>
            </w:tcBorders>
            <w:noWrap w:val="0"/>
            <w:vAlign w:val="center"/>
          </w:tcPr>
          <w:p w14:paraId="57908BFD">
            <w:pPr>
              <w:jc w:val="center"/>
              <w:rPr>
                <w:rFonts w:hint="eastAsia" w:ascii="宋体" w:hAnsi="宋体" w:eastAsia="宋体" w:cs="宋体"/>
                <w:color w:val="auto"/>
                <w:sz w:val="21"/>
                <w:szCs w:val="21"/>
                <w:highlight w:val="none"/>
              </w:rPr>
            </w:pPr>
          </w:p>
        </w:tc>
        <w:tc>
          <w:tcPr>
            <w:tcW w:w="5297" w:type="dxa"/>
            <w:tcBorders>
              <w:top w:val="single" w:color="auto" w:sz="4" w:space="0"/>
              <w:left w:val="single" w:color="auto" w:sz="4" w:space="0"/>
              <w:bottom w:val="single" w:color="auto" w:sz="4" w:space="0"/>
              <w:right w:val="single" w:color="auto" w:sz="4" w:space="0"/>
            </w:tcBorders>
            <w:noWrap w:val="0"/>
            <w:vAlign w:val="center"/>
          </w:tcPr>
          <w:p w14:paraId="1A987014">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312" w:lineRule="exact"/>
              <w:ind w:left="0" w:leftChars="0" w:right="0" w:rightChars="0" w:firstLine="420" w:firstLineChars="200"/>
              <w:textAlignment w:val="baseline"/>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重点管理</w:t>
            </w:r>
          </w:p>
        </w:tc>
        <w:tc>
          <w:tcPr>
            <w:tcW w:w="1421" w:type="dxa"/>
            <w:tcBorders>
              <w:top w:val="single" w:color="auto" w:sz="4" w:space="0"/>
              <w:left w:val="single" w:color="auto" w:sz="4" w:space="0"/>
              <w:bottom w:val="single" w:color="auto" w:sz="4" w:space="0"/>
              <w:right w:val="single" w:color="auto" w:sz="4" w:space="0"/>
            </w:tcBorders>
            <w:noWrap w:val="0"/>
            <w:vAlign w:val="center"/>
          </w:tcPr>
          <w:p w14:paraId="734A6FCD">
            <w:pPr>
              <w:keepNext w:val="0"/>
              <w:keepLines w:val="0"/>
              <w:pageBreakBefore w:val="0"/>
              <w:widowControl w:val="0"/>
              <w:shd w:val="clear" w:color="auto" w:fill="auto"/>
              <w:kinsoku/>
              <w:wordWrap/>
              <w:overflowPunct/>
              <w:topLinePunct/>
              <w:autoSpaceDE w:val="0"/>
              <w:autoSpaceDN w:val="0"/>
              <w:bidi w:val="0"/>
              <w:adjustRightInd w:val="0"/>
              <w:snapToGrid w:val="0"/>
              <w:spacing w:line="312"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41CFA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4" w:type="dxa"/>
            <w:vMerge w:val="continue"/>
            <w:tcBorders>
              <w:left w:val="single" w:color="auto" w:sz="4" w:space="0"/>
              <w:bottom w:val="single" w:color="auto" w:sz="4" w:space="0"/>
              <w:right w:val="single" w:color="auto" w:sz="4" w:space="0"/>
            </w:tcBorders>
            <w:noWrap w:val="0"/>
            <w:vAlign w:val="center"/>
          </w:tcPr>
          <w:p w14:paraId="6BCA5115">
            <w:pPr>
              <w:keepNext w:val="0"/>
              <w:keepLines w:val="0"/>
              <w:pageBreakBefore w:val="0"/>
              <w:widowControl w:val="0"/>
              <w:shd w:val="clear" w:color="auto" w:fill="auto"/>
              <w:kinsoku/>
              <w:wordWrap/>
              <w:overflowPunct/>
              <w:topLinePunct/>
              <w:autoSpaceDE w:val="0"/>
              <w:autoSpaceDN w:val="0"/>
              <w:bidi w:val="0"/>
              <w:adjustRightInd w:val="0"/>
              <w:snapToGrid w:val="0"/>
              <w:spacing w:line="312"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p>
        </w:tc>
        <w:tc>
          <w:tcPr>
            <w:tcW w:w="5297" w:type="dxa"/>
            <w:tcBorders>
              <w:top w:val="single" w:color="auto" w:sz="4" w:space="0"/>
              <w:left w:val="single" w:color="auto" w:sz="4" w:space="0"/>
              <w:bottom w:val="single" w:color="auto" w:sz="4" w:space="0"/>
              <w:right w:val="single" w:color="auto" w:sz="4" w:space="0"/>
            </w:tcBorders>
            <w:noWrap w:val="0"/>
            <w:vAlign w:val="center"/>
          </w:tcPr>
          <w:p w14:paraId="20C13A1A">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312" w:lineRule="exact"/>
              <w:ind w:left="0" w:leftChars="0" w:right="0" w:rightChars="0" w:firstLine="420" w:firstLineChars="200"/>
              <w:textAlignment w:val="baseline"/>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重点管理（钢铁、石化、化工、电镀、皮革、造纸、冶炼、印染、染料、水泥、煤电、陶瓷、采矿、放射性、危废经营、垃圾焚烧发电、平板玻璃，“两高”项目）</w:t>
            </w:r>
          </w:p>
        </w:tc>
        <w:tc>
          <w:tcPr>
            <w:tcW w:w="1421" w:type="dxa"/>
            <w:tcBorders>
              <w:top w:val="single" w:color="auto" w:sz="4" w:space="0"/>
              <w:left w:val="single" w:color="auto" w:sz="4" w:space="0"/>
              <w:bottom w:val="single" w:color="auto" w:sz="4" w:space="0"/>
              <w:right w:val="single" w:color="auto" w:sz="4" w:space="0"/>
            </w:tcBorders>
            <w:noWrap w:val="0"/>
            <w:vAlign w:val="center"/>
          </w:tcPr>
          <w:p w14:paraId="5D2769B5">
            <w:pPr>
              <w:keepNext w:val="0"/>
              <w:keepLines w:val="0"/>
              <w:pageBreakBefore w:val="0"/>
              <w:widowControl w:val="0"/>
              <w:shd w:val="clear" w:color="auto" w:fill="auto"/>
              <w:kinsoku/>
              <w:wordWrap/>
              <w:overflowPunct/>
              <w:topLinePunct/>
              <w:autoSpaceDE w:val="0"/>
              <w:autoSpaceDN w:val="0"/>
              <w:bidi w:val="0"/>
              <w:adjustRightInd w:val="0"/>
              <w:snapToGrid w:val="0"/>
              <w:spacing w:line="312"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4E642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trPr>
        <w:tc>
          <w:tcPr>
            <w:tcW w:w="1804" w:type="dxa"/>
            <w:vMerge w:val="restart"/>
            <w:tcBorders>
              <w:top w:val="single" w:color="auto" w:sz="4" w:space="0"/>
              <w:left w:val="single" w:color="auto" w:sz="4" w:space="0"/>
              <w:bottom w:val="single" w:color="auto" w:sz="4" w:space="0"/>
              <w:right w:val="single" w:color="auto" w:sz="4" w:space="0"/>
            </w:tcBorders>
            <w:noWrap w:val="0"/>
            <w:vAlign w:val="center"/>
          </w:tcPr>
          <w:p w14:paraId="46F845B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排放去向或</w:t>
            </w:r>
          </w:p>
          <w:p w14:paraId="244AD1B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区域</w:t>
            </w:r>
          </w:p>
        </w:tc>
        <w:tc>
          <w:tcPr>
            <w:tcW w:w="5297" w:type="dxa"/>
            <w:tcBorders>
              <w:top w:val="single" w:color="auto" w:sz="4" w:space="0"/>
              <w:left w:val="single" w:color="auto" w:sz="4" w:space="0"/>
              <w:bottom w:val="single" w:color="auto" w:sz="4" w:space="0"/>
              <w:right w:val="single" w:color="auto" w:sz="4" w:space="0"/>
            </w:tcBorders>
            <w:noWrap w:val="0"/>
            <w:vAlign w:val="top"/>
          </w:tcPr>
          <w:p w14:paraId="244B974D">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二类环境空气功能区</w:t>
            </w:r>
            <w:r>
              <w:rPr>
                <w:rFonts w:hint="eastAsia" w:ascii="宋体" w:hAnsi="宋体" w:eastAsia="宋体" w:cs="宋体"/>
                <w:color w:val="auto"/>
                <w:sz w:val="21"/>
                <w:szCs w:val="21"/>
                <w:highlight w:val="none"/>
              </w:rPr>
              <w:t>（工业区和农村地区）</w:t>
            </w:r>
            <w:r>
              <w:rPr>
                <w:rFonts w:hint="eastAsia" w:ascii="宋体" w:hAnsi="宋体" w:cs="宋体"/>
                <w:color w:val="auto"/>
                <w:sz w:val="21"/>
                <w:szCs w:val="21"/>
                <w:highlight w:val="none"/>
                <w:lang w:val="en-US" w:eastAsia="zh-CN"/>
              </w:rPr>
              <w:t>/V类水体（或者污水集中处理设施）/</w:t>
            </w:r>
            <w:r>
              <w:rPr>
                <w:rFonts w:hint="eastAsia" w:ascii="宋体" w:hAnsi="宋体" w:eastAsia="宋体" w:cs="宋体"/>
                <w:color w:val="auto"/>
                <w:sz w:val="21"/>
                <w:szCs w:val="21"/>
                <w:highlight w:val="none"/>
              </w:rPr>
              <w:t>4类声环境功能区</w:t>
            </w:r>
            <w:r>
              <w:rPr>
                <w:rFonts w:hint="eastAsia" w:ascii="宋体" w:hAnsi="宋体" w:eastAsia="宋体" w:cs="宋体"/>
                <w:color w:val="auto"/>
                <w:sz w:val="21"/>
                <w:szCs w:val="21"/>
                <w:highlight w:val="none"/>
                <w:lang w:val="en-US" w:eastAsia="zh-CN"/>
              </w:rPr>
              <w:t>/第四类海水水质的区域</w:t>
            </w:r>
          </w:p>
        </w:tc>
        <w:tc>
          <w:tcPr>
            <w:tcW w:w="1421" w:type="dxa"/>
            <w:tcBorders>
              <w:top w:val="single" w:color="auto" w:sz="4" w:space="0"/>
              <w:left w:val="single" w:color="auto" w:sz="4" w:space="0"/>
              <w:bottom w:val="single" w:color="auto" w:sz="4" w:space="0"/>
              <w:right w:val="single" w:color="auto" w:sz="4" w:space="0"/>
            </w:tcBorders>
            <w:noWrap w:val="0"/>
            <w:vAlign w:val="center"/>
          </w:tcPr>
          <w:p w14:paraId="5783EFE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64A47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trPr>
        <w:tc>
          <w:tcPr>
            <w:tcW w:w="1804" w:type="dxa"/>
            <w:vMerge w:val="continue"/>
            <w:tcBorders>
              <w:top w:val="single" w:color="auto" w:sz="4" w:space="0"/>
              <w:left w:val="single" w:color="auto" w:sz="4" w:space="0"/>
              <w:right w:val="single" w:color="auto" w:sz="4" w:space="0"/>
            </w:tcBorders>
            <w:noWrap w:val="0"/>
            <w:vAlign w:val="center"/>
          </w:tcPr>
          <w:p w14:paraId="439E7931">
            <w:pPr>
              <w:jc w:val="center"/>
              <w:rPr>
                <w:rFonts w:hint="eastAsia" w:ascii="宋体" w:hAnsi="宋体" w:eastAsia="宋体" w:cs="宋体"/>
                <w:color w:val="auto"/>
                <w:sz w:val="21"/>
                <w:szCs w:val="21"/>
                <w:highlight w:val="none"/>
              </w:rPr>
            </w:pPr>
          </w:p>
        </w:tc>
        <w:tc>
          <w:tcPr>
            <w:tcW w:w="5297" w:type="dxa"/>
            <w:tcBorders>
              <w:top w:val="single" w:color="auto" w:sz="4" w:space="0"/>
              <w:left w:val="single" w:color="auto" w:sz="4" w:space="0"/>
              <w:bottom w:val="single" w:color="auto" w:sz="4" w:space="0"/>
              <w:right w:val="single" w:color="auto" w:sz="4" w:space="0"/>
            </w:tcBorders>
            <w:noWrap w:val="0"/>
            <w:vAlign w:val="top"/>
          </w:tcPr>
          <w:p w14:paraId="61074563">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Ⅳ类</w:t>
            </w:r>
            <w:r>
              <w:rPr>
                <w:rFonts w:hint="eastAsia" w:ascii="宋体" w:hAnsi="宋体" w:eastAsia="宋体" w:cs="宋体"/>
                <w:color w:val="auto"/>
                <w:sz w:val="21"/>
                <w:szCs w:val="21"/>
                <w:highlight w:val="none"/>
              </w:rPr>
              <w:t>水体</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3类声环境功能区</w:t>
            </w:r>
            <w:r>
              <w:rPr>
                <w:rFonts w:hint="eastAsia" w:ascii="宋体" w:hAnsi="宋体" w:eastAsia="宋体" w:cs="宋体"/>
                <w:color w:val="auto"/>
                <w:sz w:val="21"/>
                <w:szCs w:val="21"/>
                <w:highlight w:val="none"/>
                <w:lang w:val="en-US" w:eastAsia="zh-CN"/>
              </w:rPr>
              <w:t>/第三类海水水质的区域</w:t>
            </w:r>
          </w:p>
        </w:tc>
        <w:tc>
          <w:tcPr>
            <w:tcW w:w="1421" w:type="dxa"/>
            <w:tcBorders>
              <w:top w:val="single" w:color="auto" w:sz="4" w:space="0"/>
              <w:left w:val="single" w:color="auto" w:sz="4" w:space="0"/>
              <w:bottom w:val="single" w:color="auto" w:sz="4" w:space="0"/>
              <w:right w:val="single" w:color="auto" w:sz="4" w:space="0"/>
            </w:tcBorders>
            <w:noWrap w:val="0"/>
            <w:vAlign w:val="center"/>
          </w:tcPr>
          <w:p w14:paraId="7599C20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p>
        </w:tc>
      </w:tr>
      <w:tr w14:paraId="05E53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trPr>
        <w:tc>
          <w:tcPr>
            <w:tcW w:w="1804" w:type="dxa"/>
            <w:vMerge w:val="continue"/>
            <w:tcBorders>
              <w:left w:val="single" w:color="auto" w:sz="4" w:space="0"/>
              <w:right w:val="single" w:color="auto" w:sz="4" w:space="0"/>
            </w:tcBorders>
            <w:noWrap w:val="0"/>
            <w:vAlign w:val="center"/>
          </w:tcPr>
          <w:p w14:paraId="26645EC6">
            <w:pPr>
              <w:jc w:val="center"/>
              <w:rPr>
                <w:rFonts w:hint="eastAsia" w:ascii="宋体" w:hAnsi="宋体" w:eastAsia="宋体" w:cs="宋体"/>
                <w:color w:val="auto"/>
                <w:sz w:val="21"/>
                <w:szCs w:val="21"/>
                <w:highlight w:val="none"/>
              </w:rPr>
            </w:pPr>
          </w:p>
        </w:tc>
        <w:tc>
          <w:tcPr>
            <w:tcW w:w="5297" w:type="dxa"/>
            <w:tcBorders>
              <w:top w:val="single" w:color="auto" w:sz="4" w:space="0"/>
              <w:left w:val="single" w:color="auto" w:sz="4" w:space="0"/>
              <w:bottom w:val="single" w:color="auto" w:sz="4" w:space="0"/>
              <w:right w:val="single" w:color="auto" w:sz="4" w:space="0"/>
            </w:tcBorders>
            <w:noWrap w:val="0"/>
            <w:vAlign w:val="top"/>
          </w:tcPr>
          <w:p w14:paraId="727A6893">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二类环境空气功能区</w:t>
            </w:r>
            <w:r>
              <w:rPr>
                <w:rFonts w:hint="eastAsia" w:ascii="宋体" w:hAnsi="宋体" w:eastAsia="宋体" w:cs="宋体"/>
                <w:color w:val="auto"/>
                <w:sz w:val="21"/>
                <w:szCs w:val="21"/>
                <w:highlight w:val="none"/>
                <w:lang w:eastAsia="zh-CN"/>
              </w:rPr>
              <w:t>（居民区、商业交通居民混合区、文化区）/</w:t>
            </w:r>
            <w:r>
              <w:rPr>
                <w:rFonts w:hint="eastAsia" w:ascii="宋体" w:hAnsi="宋体" w:cs="宋体"/>
                <w:color w:val="auto"/>
                <w:sz w:val="21"/>
                <w:szCs w:val="21"/>
                <w:highlight w:val="none"/>
                <w:lang w:eastAsia="zh-CN"/>
              </w:rPr>
              <w:t>Ⅲ类</w:t>
            </w:r>
            <w:r>
              <w:rPr>
                <w:rFonts w:hint="eastAsia" w:ascii="宋体" w:hAnsi="宋体" w:eastAsia="宋体" w:cs="宋体"/>
                <w:color w:val="auto"/>
                <w:sz w:val="21"/>
                <w:szCs w:val="21"/>
                <w:highlight w:val="none"/>
                <w:lang w:eastAsia="zh-CN"/>
              </w:rPr>
              <w:t>水体/2类声环境功能区/饮用水水源准保护区/自然保护地外的生态保护红线区域</w:t>
            </w:r>
          </w:p>
        </w:tc>
        <w:tc>
          <w:tcPr>
            <w:tcW w:w="1421" w:type="dxa"/>
            <w:tcBorders>
              <w:top w:val="single" w:color="auto" w:sz="4" w:space="0"/>
              <w:left w:val="single" w:color="auto" w:sz="4" w:space="0"/>
              <w:bottom w:val="single" w:color="auto" w:sz="4" w:space="0"/>
              <w:right w:val="single" w:color="auto" w:sz="4" w:space="0"/>
            </w:tcBorders>
            <w:noWrap w:val="0"/>
            <w:vAlign w:val="center"/>
          </w:tcPr>
          <w:p w14:paraId="563D56A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2BF2E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trPr>
        <w:tc>
          <w:tcPr>
            <w:tcW w:w="1804" w:type="dxa"/>
            <w:vMerge w:val="continue"/>
            <w:tcBorders>
              <w:left w:val="single" w:color="auto" w:sz="4" w:space="0"/>
              <w:bottom w:val="single" w:color="auto" w:sz="4" w:space="0"/>
              <w:right w:val="single" w:color="auto" w:sz="4" w:space="0"/>
            </w:tcBorders>
            <w:noWrap w:val="0"/>
            <w:vAlign w:val="center"/>
          </w:tcPr>
          <w:p w14:paraId="45D6E4B7">
            <w:pPr>
              <w:jc w:val="center"/>
              <w:rPr>
                <w:rFonts w:hint="eastAsia" w:ascii="宋体" w:hAnsi="宋体" w:eastAsia="宋体" w:cs="宋体"/>
                <w:color w:val="auto"/>
                <w:sz w:val="21"/>
                <w:szCs w:val="21"/>
                <w:highlight w:val="none"/>
              </w:rPr>
            </w:pPr>
          </w:p>
        </w:tc>
        <w:tc>
          <w:tcPr>
            <w:tcW w:w="5297" w:type="dxa"/>
            <w:tcBorders>
              <w:top w:val="single" w:color="auto" w:sz="4" w:space="0"/>
              <w:left w:val="single" w:color="auto" w:sz="4" w:space="0"/>
              <w:bottom w:val="single" w:color="auto" w:sz="4" w:space="0"/>
              <w:right w:val="single" w:color="auto" w:sz="4" w:space="0"/>
            </w:tcBorders>
            <w:noWrap w:val="0"/>
            <w:vAlign w:val="top"/>
          </w:tcPr>
          <w:p w14:paraId="40402001">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Ⅱ类</w:t>
            </w:r>
            <w:r>
              <w:rPr>
                <w:rFonts w:hint="eastAsia" w:ascii="宋体" w:hAnsi="宋体" w:eastAsia="宋体" w:cs="宋体"/>
                <w:color w:val="auto"/>
                <w:sz w:val="21"/>
                <w:szCs w:val="21"/>
                <w:highlight w:val="none"/>
              </w:rPr>
              <w:t>水体</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1类声环境功能区／自然保护地一般控制区</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饮用水水源二级保护区</w:t>
            </w:r>
            <w:r>
              <w:rPr>
                <w:rFonts w:hint="eastAsia" w:ascii="宋体" w:hAnsi="宋体" w:eastAsia="宋体" w:cs="宋体"/>
                <w:color w:val="auto"/>
                <w:sz w:val="21"/>
                <w:szCs w:val="21"/>
                <w:highlight w:val="none"/>
                <w:lang w:val="en-US" w:eastAsia="zh-CN"/>
              </w:rPr>
              <w:t>/第二类海水水质的区域</w:t>
            </w:r>
          </w:p>
        </w:tc>
        <w:tc>
          <w:tcPr>
            <w:tcW w:w="1421" w:type="dxa"/>
            <w:tcBorders>
              <w:top w:val="single" w:color="auto" w:sz="4" w:space="0"/>
              <w:left w:val="single" w:color="auto" w:sz="4" w:space="0"/>
              <w:bottom w:val="single" w:color="auto" w:sz="4" w:space="0"/>
              <w:right w:val="single" w:color="auto" w:sz="4" w:space="0"/>
            </w:tcBorders>
            <w:noWrap w:val="0"/>
            <w:vAlign w:val="center"/>
          </w:tcPr>
          <w:p w14:paraId="6F9024A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p>
        </w:tc>
      </w:tr>
      <w:tr w14:paraId="033EE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trPr>
        <w:tc>
          <w:tcPr>
            <w:tcW w:w="1804" w:type="dxa"/>
            <w:vMerge w:val="continue"/>
            <w:tcBorders>
              <w:left w:val="single" w:color="auto" w:sz="4" w:space="0"/>
              <w:right w:val="single" w:color="auto" w:sz="4" w:space="0"/>
            </w:tcBorders>
            <w:noWrap w:val="0"/>
            <w:vAlign w:val="center"/>
          </w:tcPr>
          <w:p w14:paraId="584A35F9">
            <w:pPr>
              <w:jc w:val="center"/>
              <w:rPr>
                <w:rFonts w:hint="eastAsia" w:ascii="宋体" w:hAnsi="宋体" w:eastAsia="宋体" w:cs="宋体"/>
                <w:color w:val="auto"/>
                <w:sz w:val="21"/>
                <w:szCs w:val="21"/>
                <w:highlight w:val="none"/>
              </w:rPr>
            </w:pPr>
          </w:p>
        </w:tc>
        <w:tc>
          <w:tcPr>
            <w:tcW w:w="5297" w:type="dxa"/>
            <w:tcBorders>
              <w:top w:val="single" w:color="auto" w:sz="4" w:space="0"/>
              <w:left w:val="single" w:color="auto" w:sz="4" w:space="0"/>
              <w:bottom w:val="single" w:color="auto" w:sz="4" w:space="0"/>
              <w:right w:val="single" w:color="auto" w:sz="4" w:space="0"/>
            </w:tcBorders>
            <w:noWrap w:val="0"/>
            <w:vAlign w:val="top"/>
          </w:tcPr>
          <w:p w14:paraId="0138E0D7">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一类环境空气功能区</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I类水体</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0类声环境功能区／自然保护地核心保护区</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饮用水水源一级保护区</w:t>
            </w:r>
            <w:r>
              <w:rPr>
                <w:rFonts w:hint="eastAsia" w:ascii="宋体" w:hAnsi="宋体" w:eastAsia="宋体" w:cs="宋体"/>
                <w:color w:val="auto"/>
                <w:sz w:val="21"/>
                <w:szCs w:val="21"/>
                <w:highlight w:val="none"/>
                <w:lang w:val="en-US" w:eastAsia="zh-CN"/>
              </w:rPr>
              <w:t>/第一类海水水质的区域</w:t>
            </w:r>
          </w:p>
        </w:tc>
        <w:tc>
          <w:tcPr>
            <w:tcW w:w="1421" w:type="dxa"/>
            <w:tcBorders>
              <w:top w:val="single" w:color="auto" w:sz="4" w:space="0"/>
              <w:left w:val="single" w:color="auto" w:sz="4" w:space="0"/>
              <w:bottom w:val="single" w:color="auto" w:sz="4" w:space="0"/>
              <w:right w:val="single" w:color="auto" w:sz="4" w:space="0"/>
            </w:tcBorders>
            <w:noWrap w:val="0"/>
            <w:vAlign w:val="center"/>
          </w:tcPr>
          <w:p w14:paraId="765631A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2FE21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trPr>
        <w:tc>
          <w:tcPr>
            <w:tcW w:w="1804" w:type="dxa"/>
            <w:vMerge w:val="restart"/>
            <w:tcBorders>
              <w:left w:val="single" w:color="auto" w:sz="4" w:space="0"/>
              <w:right w:val="single" w:color="auto" w:sz="4" w:space="0"/>
            </w:tcBorders>
            <w:noWrap w:val="0"/>
            <w:vAlign w:val="center"/>
          </w:tcPr>
          <w:p w14:paraId="0F4D2C6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污染物</w:t>
            </w:r>
            <w:r>
              <w:rPr>
                <w:rFonts w:hint="eastAsia" w:ascii="宋体" w:hAnsi="宋体" w:eastAsia="宋体" w:cs="宋体"/>
                <w:color w:val="auto"/>
                <w:sz w:val="21"/>
                <w:szCs w:val="21"/>
                <w:highlight w:val="none"/>
              </w:rPr>
              <w:t>类别</w:t>
            </w:r>
          </w:p>
        </w:tc>
        <w:tc>
          <w:tcPr>
            <w:tcW w:w="5297" w:type="dxa"/>
            <w:tcBorders>
              <w:top w:val="single" w:color="auto" w:sz="4" w:space="0"/>
              <w:left w:val="single" w:color="auto" w:sz="4" w:space="0"/>
              <w:bottom w:val="single" w:color="auto" w:sz="4" w:space="0"/>
              <w:right w:val="single" w:color="auto" w:sz="4" w:space="0"/>
            </w:tcBorders>
            <w:noWrap w:val="0"/>
            <w:vAlign w:val="top"/>
          </w:tcPr>
          <w:p w14:paraId="24C123D8">
            <w:pPr>
              <w:adjustRightInd w:val="0"/>
              <w:ind w:firstLine="420" w:firstLineChars="200"/>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一般废气、废水、固体废物、噪声、畜禽养殖废水</w:t>
            </w:r>
          </w:p>
        </w:tc>
        <w:tc>
          <w:tcPr>
            <w:tcW w:w="1421" w:type="dxa"/>
            <w:tcBorders>
              <w:top w:val="single" w:color="auto" w:sz="4" w:space="0"/>
              <w:left w:val="single" w:color="auto" w:sz="4" w:space="0"/>
              <w:bottom w:val="single" w:color="auto" w:sz="4" w:space="0"/>
              <w:right w:val="single" w:color="auto" w:sz="4" w:space="0"/>
            </w:tcBorders>
            <w:noWrap w:val="0"/>
            <w:vAlign w:val="center"/>
          </w:tcPr>
          <w:p w14:paraId="22C6F06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75AF4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trPr>
        <w:tc>
          <w:tcPr>
            <w:tcW w:w="1804" w:type="dxa"/>
            <w:vMerge w:val="continue"/>
            <w:tcBorders>
              <w:left w:val="single" w:color="auto" w:sz="4" w:space="0"/>
              <w:right w:val="single" w:color="auto" w:sz="4" w:space="0"/>
            </w:tcBorders>
            <w:noWrap w:val="0"/>
            <w:vAlign w:val="center"/>
          </w:tcPr>
          <w:p w14:paraId="13E13D11">
            <w:pPr>
              <w:jc w:val="center"/>
              <w:rPr>
                <w:rFonts w:hint="eastAsia" w:ascii="宋体" w:hAnsi="宋体" w:eastAsia="宋体" w:cs="宋体"/>
                <w:color w:val="auto"/>
                <w:sz w:val="21"/>
                <w:szCs w:val="21"/>
                <w:highlight w:val="none"/>
              </w:rPr>
            </w:pPr>
          </w:p>
        </w:tc>
        <w:tc>
          <w:tcPr>
            <w:tcW w:w="5297" w:type="dxa"/>
            <w:tcBorders>
              <w:top w:val="single" w:color="auto" w:sz="4" w:space="0"/>
              <w:left w:val="single" w:color="auto" w:sz="4" w:space="0"/>
              <w:bottom w:val="single" w:color="auto" w:sz="4" w:space="0"/>
              <w:right w:val="single" w:color="auto" w:sz="4" w:space="0"/>
            </w:tcBorders>
            <w:noWrap w:val="0"/>
            <w:vAlign w:val="top"/>
          </w:tcPr>
          <w:p w14:paraId="7F26D1A8">
            <w:pPr>
              <w:adjustRightInd w:val="0"/>
              <w:ind w:firstLine="420" w:firstLineChars="200"/>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火电、钢铁、石化、水泥、炼焦、有色、化工废气/医疗废水</w:t>
            </w:r>
          </w:p>
        </w:tc>
        <w:tc>
          <w:tcPr>
            <w:tcW w:w="1421" w:type="dxa"/>
            <w:tcBorders>
              <w:top w:val="single" w:color="auto" w:sz="4" w:space="0"/>
              <w:left w:val="single" w:color="auto" w:sz="4" w:space="0"/>
              <w:bottom w:val="single" w:color="auto" w:sz="4" w:space="0"/>
              <w:right w:val="single" w:color="auto" w:sz="4" w:space="0"/>
            </w:tcBorders>
            <w:noWrap w:val="0"/>
            <w:vAlign w:val="center"/>
          </w:tcPr>
          <w:p w14:paraId="3FA93EF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p>
        </w:tc>
      </w:tr>
      <w:tr w14:paraId="3F73A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trPr>
        <w:tc>
          <w:tcPr>
            <w:tcW w:w="1804" w:type="dxa"/>
            <w:vMerge w:val="continue"/>
            <w:tcBorders>
              <w:left w:val="single" w:color="auto" w:sz="4" w:space="0"/>
              <w:right w:val="single" w:color="auto" w:sz="4" w:space="0"/>
            </w:tcBorders>
            <w:noWrap w:val="0"/>
            <w:vAlign w:val="center"/>
          </w:tcPr>
          <w:p w14:paraId="6F442347">
            <w:pPr>
              <w:jc w:val="center"/>
              <w:rPr>
                <w:rFonts w:hint="eastAsia" w:ascii="宋体" w:hAnsi="宋体" w:eastAsia="宋体" w:cs="宋体"/>
                <w:color w:val="auto"/>
                <w:sz w:val="21"/>
                <w:szCs w:val="21"/>
                <w:highlight w:val="none"/>
              </w:rPr>
            </w:pPr>
          </w:p>
        </w:tc>
        <w:tc>
          <w:tcPr>
            <w:tcW w:w="5297" w:type="dxa"/>
            <w:tcBorders>
              <w:top w:val="single" w:color="auto" w:sz="4" w:space="0"/>
              <w:left w:val="single" w:color="auto" w:sz="4" w:space="0"/>
              <w:bottom w:val="single" w:color="auto" w:sz="4" w:space="0"/>
              <w:right w:val="single" w:color="auto" w:sz="4" w:space="0"/>
            </w:tcBorders>
            <w:noWrap w:val="0"/>
            <w:vAlign w:val="top"/>
          </w:tcPr>
          <w:p w14:paraId="334F1620">
            <w:pPr>
              <w:adjustRightInd w:val="0"/>
              <w:ind w:firstLine="420" w:firstLineChars="200"/>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含有毒有害物质的废气、废水／含一类污染物或重金属、病原体、放射性物质的废水／危险废物</w:t>
            </w:r>
          </w:p>
        </w:tc>
        <w:tc>
          <w:tcPr>
            <w:tcW w:w="1421" w:type="dxa"/>
            <w:tcBorders>
              <w:top w:val="single" w:color="auto" w:sz="4" w:space="0"/>
              <w:left w:val="single" w:color="auto" w:sz="4" w:space="0"/>
              <w:bottom w:val="single" w:color="auto" w:sz="4" w:space="0"/>
              <w:right w:val="single" w:color="auto" w:sz="4" w:space="0"/>
            </w:tcBorders>
            <w:noWrap w:val="0"/>
            <w:vAlign w:val="center"/>
          </w:tcPr>
          <w:p w14:paraId="11BFE90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p>
        </w:tc>
      </w:tr>
      <w:tr w14:paraId="111D0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4" w:type="dxa"/>
            <w:tcBorders>
              <w:top w:val="single" w:color="auto" w:sz="4" w:space="0"/>
              <w:left w:val="single" w:color="auto" w:sz="4" w:space="0"/>
              <w:bottom w:val="single" w:color="auto" w:sz="4" w:space="0"/>
              <w:right w:val="single" w:color="auto" w:sz="4" w:space="0"/>
            </w:tcBorders>
            <w:noWrap w:val="0"/>
            <w:vAlign w:val="center"/>
          </w:tcPr>
          <w:p w14:paraId="7AD337C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备注</w:t>
            </w:r>
          </w:p>
        </w:tc>
        <w:tc>
          <w:tcPr>
            <w:tcW w:w="6718" w:type="dxa"/>
            <w:gridSpan w:val="2"/>
            <w:tcBorders>
              <w:top w:val="single" w:color="auto" w:sz="4" w:space="0"/>
              <w:left w:val="single" w:color="auto" w:sz="4" w:space="0"/>
              <w:bottom w:val="single" w:color="auto" w:sz="4" w:space="0"/>
              <w:right w:val="single" w:color="auto" w:sz="4" w:space="0"/>
            </w:tcBorders>
            <w:noWrap w:val="0"/>
            <w:vAlign w:val="top"/>
          </w:tcPr>
          <w:p w14:paraId="63D6BDDC">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涉及多种污染物类别时，</w:t>
            </w:r>
            <w:r>
              <w:rPr>
                <w:rFonts w:hint="eastAsia" w:ascii="宋体" w:hAnsi="宋体" w:cs="宋体"/>
                <w:color w:val="auto"/>
                <w:sz w:val="21"/>
                <w:szCs w:val="21"/>
                <w:highlight w:val="none"/>
                <w:lang w:eastAsia="zh-CN"/>
              </w:rPr>
              <w:t>裁量</w:t>
            </w:r>
            <w:r>
              <w:rPr>
                <w:rFonts w:hint="eastAsia" w:ascii="宋体" w:hAnsi="宋体" w:eastAsia="宋体" w:cs="宋体"/>
                <w:color w:val="auto"/>
                <w:sz w:val="21"/>
                <w:szCs w:val="21"/>
                <w:highlight w:val="none"/>
              </w:rPr>
              <w:t>标准以裁量等级最高为准</w:t>
            </w:r>
          </w:p>
        </w:tc>
      </w:tr>
    </w:tbl>
    <w:p w14:paraId="258CE1BA">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p w14:paraId="44A4DB9B">
      <w:pPr>
        <w:rPr>
          <w:rFonts w:hint="eastAsia" w:ascii="宋体" w:hAnsi="宋体" w:eastAsia="宋体" w:cs="宋体"/>
          <w:sz w:val="21"/>
          <w:szCs w:val="21"/>
          <w:highlight w:val="none"/>
        </w:rPr>
      </w:pP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43"/>
        <w:gridCol w:w="5486"/>
        <w:gridCol w:w="1619"/>
      </w:tblGrid>
      <w:tr w14:paraId="0FFDC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3"/>
            <w:noWrap w:val="0"/>
            <w:vAlign w:val="top"/>
          </w:tcPr>
          <w:p w14:paraId="0730AEF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（三）排污许可管理类</w:t>
            </w:r>
          </w:p>
        </w:tc>
      </w:tr>
      <w:tr w14:paraId="0C471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5" w:type="dxa"/>
            <w:noWrap w:val="0"/>
            <w:vAlign w:val="center"/>
          </w:tcPr>
          <w:p w14:paraId="798713A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767" w:type="dxa"/>
            <w:gridSpan w:val="2"/>
            <w:noWrap w:val="0"/>
            <w:vAlign w:val="top"/>
          </w:tcPr>
          <w:p w14:paraId="5E9A9366">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w:t>
            </w:r>
          </w:p>
        </w:tc>
      </w:tr>
      <w:tr w14:paraId="27D3E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1755" w:type="dxa"/>
            <w:noWrap w:val="0"/>
            <w:vAlign w:val="center"/>
          </w:tcPr>
          <w:p w14:paraId="036F0BE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6767" w:type="dxa"/>
            <w:gridSpan w:val="2"/>
            <w:noWrap w:val="0"/>
            <w:vAlign w:val="top"/>
          </w:tcPr>
          <w:p w14:paraId="48F31B2F">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未按照排污许可证载明的污染物排放种类</w:t>
            </w:r>
          </w:p>
        </w:tc>
      </w:tr>
      <w:tr w14:paraId="25CF5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5" w:type="dxa"/>
            <w:noWrap w:val="0"/>
            <w:vAlign w:val="center"/>
          </w:tcPr>
          <w:p w14:paraId="57EAD95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6767" w:type="dxa"/>
            <w:gridSpan w:val="2"/>
            <w:noWrap w:val="0"/>
            <w:vAlign w:val="top"/>
          </w:tcPr>
          <w:p w14:paraId="3E245EB9">
            <w:pPr>
              <w:keepNext w:val="0"/>
              <w:keepLines w:val="0"/>
              <w:pageBreakBefore w:val="0"/>
              <w:kinsoku/>
              <w:wordWrap/>
              <w:overflowPunct/>
              <w:topLinePunct w:val="0"/>
              <w:bidi w:val="0"/>
              <w:snapToGrid w:val="0"/>
              <w:spacing w:line="240" w:lineRule="auto"/>
              <w:ind w:firstLine="420" w:firstLineChars="200"/>
              <w:rPr>
                <w:rFonts w:hint="eastAsia" w:ascii="宋体" w:hAnsi="宋体" w:cs="宋体"/>
                <w:color w:val="auto"/>
                <w:szCs w:val="21"/>
                <w:highlight w:val="none"/>
              </w:rPr>
            </w:pPr>
            <w:r>
              <w:rPr>
                <w:rFonts w:hint="eastAsia" w:ascii="宋体" w:hAnsi="宋体" w:eastAsia="宋体" w:cs="宋体"/>
                <w:color w:val="auto"/>
                <w:sz w:val="21"/>
                <w:szCs w:val="21"/>
                <w:highlight w:val="none"/>
              </w:rPr>
              <w:t>《中华人民共和国生态环境法典》</w:t>
            </w:r>
            <w:r>
              <w:rPr>
                <w:rFonts w:hint="eastAsia" w:ascii="宋体" w:hAnsi="宋体" w:cs="宋体"/>
                <w:color w:val="auto"/>
                <w:szCs w:val="21"/>
                <w:highlight w:val="none"/>
              </w:rPr>
              <w:t>第一百八十一条　排污许可证应当记载下列信息：</w:t>
            </w:r>
          </w:p>
          <w:p w14:paraId="537B13FF">
            <w:pPr>
              <w:keepNext w:val="0"/>
              <w:keepLines w:val="0"/>
              <w:pageBreakBefore w:val="0"/>
              <w:kinsoku/>
              <w:wordWrap/>
              <w:overflowPunct/>
              <w:topLinePunct w:val="0"/>
              <w:bidi w:val="0"/>
              <w:snapToGrid w:val="0"/>
              <w:spacing w:line="24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（一）排污口位置和数量、污染物排放方式和排放去向等；</w:t>
            </w:r>
          </w:p>
          <w:p w14:paraId="514D276A">
            <w:pPr>
              <w:keepNext w:val="0"/>
              <w:keepLines w:val="0"/>
              <w:pageBreakBefore w:val="0"/>
              <w:kinsoku/>
              <w:wordWrap/>
              <w:overflowPunct/>
              <w:topLinePunct w:val="0"/>
              <w:bidi w:val="0"/>
              <w:snapToGrid w:val="0"/>
              <w:spacing w:line="24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（二）污染物排放种类、许可排放浓度、许可排放量，或者许可排放限值等；</w:t>
            </w:r>
          </w:p>
          <w:p w14:paraId="351EA0AA">
            <w:pPr>
              <w:keepNext w:val="0"/>
              <w:keepLines w:val="0"/>
              <w:pageBreakBefore w:val="0"/>
              <w:kinsoku/>
              <w:wordWrap/>
              <w:overflowPunct/>
              <w:topLinePunct w:val="0"/>
              <w:bidi w:val="0"/>
              <w:snapToGrid w:val="0"/>
              <w:spacing w:line="24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（三）产生和排放污染物环节、污染防治设施及其运行和维护要求、排污口规范化建设要求等；</w:t>
            </w:r>
          </w:p>
          <w:p w14:paraId="7C7AB278">
            <w:pPr>
              <w:keepNext w:val="0"/>
              <w:keepLines w:val="0"/>
              <w:pageBreakBefore w:val="0"/>
              <w:kinsoku/>
              <w:wordWrap/>
              <w:overflowPunct/>
              <w:topLinePunct w:val="0"/>
              <w:bidi w:val="0"/>
              <w:snapToGrid w:val="0"/>
              <w:spacing w:line="24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（四）特殊时段禁止或者限制污染物排放的要求；</w:t>
            </w:r>
          </w:p>
          <w:p w14:paraId="72B131E8">
            <w:pPr>
              <w:keepNext w:val="0"/>
              <w:keepLines w:val="0"/>
              <w:pageBreakBefore w:val="0"/>
              <w:kinsoku/>
              <w:wordWrap/>
              <w:overflowPunct/>
              <w:topLinePunct w:val="0"/>
              <w:bidi w:val="0"/>
              <w:snapToGrid w:val="0"/>
              <w:spacing w:line="240"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Cs w:val="21"/>
                <w:highlight w:val="none"/>
              </w:rPr>
              <w:t>（五）法律、行政法规规定的其他信息。</w:t>
            </w:r>
          </w:p>
        </w:tc>
      </w:tr>
      <w:tr w14:paraId="47725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5" w:type="dxa"/>
            <w:noWrap w:val="0"/>
            <w:vAlign w:val="center"/>
          </w:tcPr>
          <w:p w14:paraId="77B6AEE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6767" w:type="dxa"/>
            <w:gridSpan w:val="2"/>
            <w:noWrap w:val="0"/>
            <w:vAlign w:val="top"/>
          </w:tcPr>
          <w:p w14:paraId="2C82E2BC">
            <w:pPr>
              <w:keepNext w:val="0"/>
              <w:keepLines w:val="0"/>
              <w:pageBreakBefore w:val="0"/>
              <w:kinsoku/>
              <w:wordWrap/>
              <w:overflowPunct/>
              <w:topLinePunct w:val="0"/>
              <w:bidi w:val="0"/>
              <w:snapToGrid w:val="0"/>
              <w:spacing w:line="24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《中华人民共和国生态环境法典》第一千一百零三条  违反本法规定，未按照排污许可证载明的污染物排放种类，或者超过载明的许可排放浓度、许可排放量、许可排放限值排放污染物的，由生态环境主管部门责令改正，处十万元以上一百万元以下的罚款，并可以责令限制生产、停产整治</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。其中，污染物为工业噪声的，罚款数额为二万元以上二十万元以下。</w:t>
            </w:r>
          </w:p>
        </w:tc>
      </w:tr>
      <w:tr w14:paraId="1583E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5" w:type="dxa"/>
            <w:noWrap w:val="0"/>
            <w:vAlign w:val="center"/>
          </w:tcPr>
          <w:p w14:paraId="51ADF0A2">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pacing w:val="7"/>
                <w:sz w:val="21"/>
                <w:szCs w:val="21"/>
                <w:highlight w:val="none"/>
              </w:rPr>
              <w:t>裁量因素</w:t>
            </w:r>
          </w:p>
        </w:tc>
        <w:tc>
          <w:tcPr>
            <w:tcW w:w="5225" w:type="dxa"/>
            <w:noWrap w:val="0"/>
            <w:vAlign w:val="center"/>
          </w:tcPr>
          <w:p w14:paraId="4943012B">
            <w:pPr>
              <w:keepNext w:val="0"/>
              <w:keepLines w:val="0"/>
              <w:pageBreakBefore w:val="0"/>
              <w:widowControl w:val="0"/>
              <w:shd w:val="clear" w:color="auto" w:fill="auto"/>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pacing w:val="7"/>
                <w:sz w:val="21"/>
                <w:szCs w:val="21"/>
                <w:highlight w:val="none"/>
              </w:rPr>
              <w:t>裁量因子</w:t>
            </w:r>
          </w:p>
        </w:tc>
        <w:tc>
          <w:tcPr>
            <w:tcW w:w="1542" w:type="dxa"/>
            <w:noWrap w:val="0"/>
            <w:vAlign w:val="center"/>
          </w:tcPr>
          <w:p w14:paraId="65A9D6EA">
            <w:pPr>
              <w:keepNext w:val="0"/>
              <w:keepLines w:val="0"/>
              <w:pageBreakBefore w:val="0"/>
              <w:widowControl w:val="0"/>
              <w:shd w:val="clear" w:color="auto" w:fill="auto"/>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pacing w:val="7"/>
                <w:sz w:val="21"/>
                <w:szCs w:val="21"/>
                <w:highlight w:val="none"/>
              </w:rPr>
              <w:t>裁量等级</w:t>
            </w:r>
          </w:p>
        </w:tc>
      </w:tr>
      <w:tr w14:paraId="44529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5" w:type="dxa"/>
            <w:vMerge w:val="restart"/>
            <w:noWrap w:val="0"/>
            <w:vAlign w:val="center"/>
          </w:tcPr>
          <w:p w14:paraId="5A32629F">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排污</w:t>
            </w:r>
            <w:r>
              <w:rPr>
                <w:rFonts w:hint="eastAsia" w:ascii="宋体" w:hAnsi="宋体" w:eastAsia="宋体" w:cs="宋体"/>
                <w:color w:val="auto"/>
                <w:sz w:val="21"/>
                <w:szCs w:val="21"/>
                <w:highlight w:val="none"/>
                <w:lang w:val="en-US" w:eastAsia="zh-CN"/>
              </w:rPr>
              <w:t>许可</w:t>
            </w:r>
          </w:p>
          <w:p w14:paraId="16BE5D86">
            <w:pPr>
              <w:jc w:val="center"/>
              <w:rPr>
                <w:rFonts w:hint="eastAsia" w:ascii="宋体" w:hAnsi="宋体" w:eastAsia="宋体" w:cs="宋体"/>
                <w:b w:val="0"/>
                <w:bCs w:val="0"/>
                <w:color w:val="auto"/>
                <w:spacing w:val="7"/>
                <w:sz w:val="21"/>
                <w:szCs w:val="21"/>
                <w:highlight w:val="none"/>
              </w:rPr>
            </w:pPr>
            <w:r>
              <w:rPr>
                <w:rFonts w:hint="eastAsia" w:ascii="宋体" w:hAnsi="宋体" w:eastAsia="宋体" w:cs="宋体"/>
                <w:color w:val="auto"/>
                <w:sz w:val="21"/>
                <w:szCs w:val="21"/>
                <w:highlight w:val="none"/>
              </w:rPr>
              <w:t>管理类别</w:t>
            </w:r>
          </w:p>
        </w:tc>
        <w:tc>
          <w:tcPr>
            <w:tcW w:w="5225" w:type="dxa"/>
            <w:noWrap w:val="0"/>
            <w:vAlign w:val="top"/>
          </w:tcPr>
          <w:p w14:paraId="26FA80A8">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both"/>
              <w:textAlignment w:val="auto"/>
              <w:rPr>
                <w:rFonts w:hint="eastAsia" w:ascii="宋体" w:hAnsi="宋体" w:eastAsia="宋体" w:cs="宋体"/>
                <w:b w:val="0"/>
                <w:bCs w:val="0"/>
                <w:color w:val="auto"/>
                <w:spacing w:val="7"/>
                <w:sz w:val="21"/>
                <w:szCs w:val="21"/>
                <w:highlight w:val="none"/>
              </w:rPr>
            </w:pPr>
            <w:r>
              <w:rPr>
                <w:rFonts w:hint="eastAsia" w:ascii="宋体" w:hAnsi="宋体" w:eastAsia="宋体" w:cs="宋体"/>
                <w:color w:val="auto"/>
                <w:kern w:val="2"/>
                <w:sz w:val="21"/>
                <w:szCs w:val="21"/>
                <w:highlight w:val="none"/>
                <w:lang w:val="en-US" w:eastAsia="zh-CN" w:bidi="ar-SA"/>
              </w:rPr>
              <w:t>简化管理</w:t>
            </w:r>
          </w:p>
        </w:tc>
        <w:tc>
          <w:tcPr>
            <w:tcW w:w="1542" w:type="dxa"/>
            <w:noWrap w:val="0"/>
            <w:vAlign w:val="top"/>
          </w:tcPr>
          <w:p w14:paraId="653B10DC">
            <w:pPr>
              <w:keepNext w:val="0"/>
              <w:keepLines w:val="0"/>
              <w:pageBreakBefore w:val="0"/>
              <w:kinsoku/>
              <w:wordWrap/>
              <w:overflowPunct/>
              <w:topLinePunct w:val="0"/>
              <w:bidi w:val="0"/>
              <w:snapToGrid w:val="0"/>
              <w:spacing w:line="24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r>
      <w:tr w14:paraId="10681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5" w:type="dxa"/>
            <w:vMerge w:val="continue"/>
            <w:noWrap w:val="0"/>
            <w:vAlign w:val="center"/>
          </w:tcPr>
          <w:p w14:paraId="3D02C4F7">
            <w:pPr>
              <w:jc w:val="center"/>
              <w:rPr>
                <w:rFonts w:hint="eastAsia" w:ascii="宋体" w:hAnsi="宋体" w:eastAsia="宋体" w:cs="宋体"/>
                <w:b w:val="0"/>
                <w:bCs w:val="0"/>
                <w:color w:val="auto"/>
                <w:spacing w:val="7"/>
                <w:sz w:val="21"/>
                <w:szCs w:val="21"/>
                <w:highlight w:val="none"/>
              </w:rPr>
            </w:pPr>
          </w:p>
        </w:tc>
        <w:tc>
          <w:tcPr>
            <w:tcW w:w="5225" w:type="dxa"/>
            <w:noWrap w:val="0"/>
            <w:vAlign w:val="center"/>
          </w:tcPr>
          <w:p w14:paraId="29AB1C29">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240" w:lineRule="auto"/>
              <w:ind w:left="0" w:leftChars="0" w:right="0" w:rightChars="0" w:firstLine="420" w:firstLineChars="200"/>
              <w:textAlignment w:val="baseline"/>
              <w:rPr>
                <w:rFonts w:hint="eastAsia" w:ascii="宋体" w:hAnsi="宋体" w:eastAsia="宋体" w:cs="宋体"/>
                <w:b w:val="0"/>
                <w:bCs w:val="0"/>
                <w:color w:val="auto"/>
                <w:spacing w:val="7"/>
                <w:sz w:val="21"/>
                <w:szCs w:val="21"/>
                <w:highlight w:val="none"/>
              </w:rPr>
            </w:pPr>
            <w:r>
              <w:rPr>
                <w:rFonts w:hint="eastAsia" w:ascii="宋体" w:hAnsi="宋体" w:eastAsia="宋体" w:cs="宋体"/>
                <w:color w:val="auto"/>
                <w:kern w:val="2"/>
                <w:sz w:val="21"/>
                <w:szCs w:val="21"/>
                <w:highlight w:val="none"/>
                <w:lang w:val="en-US" w:eastAsia="zh-CN" w:bidi="ar-SA"/>
              </w:rPr>
              <w:t>重点管理</w:t>
            </w:r>
          </w:p>
        </w:tc>
        <w:tc>
          <w:tcPr>
            <w:tcW w:w="1542" w:type="dxa"/>
            <w:noWrap w:val="0"/>
            <w:vAlign w:val="center"/>
          </w:tcPr>
          <w:p w14:paraId="62CA5C95">
            <w:pPr>
              <w:keepNext w:val="0"/>
              <w:keepLines w:val="0"/>
              <w:pageBreakBefore w:val="0"/>
              <w:kinsoku/>
              <w:wordWrap/>
              <w:overflowPunct/>
              <w:topLinePunct w:val="0"/>
              <w:bidi w:val="0"/>
              <w:snapToGrid w:val="0"/>
              <w:spacing w:line="24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r>
      <w:tr w14:paraId="53FB7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5" w:type="dxa"/>
            <w:vMerge w:val="continue"/>
            <w:noWrap w:val="0"/>
            <w:vAlign w:val="center"/>
          </w:tcPr>
          <w:p w14:paraId="47B5E3E0">
            <w:pPr>
              <w:keepNext w:val="0"/>
              <w:keepLines w:val="0"/>
              <w:pageBreakBefore w:val="0"/>
              <w:widowControl w:val="0"/>
              <w:shd w:val="clear" w:color="auto" w:fill="auto"/>
              <w:kinsoku/>
              <w:wordWrap/>
              <w:overflowPunct/>
              <w:topLinePunct/>
              <w:autoSpaceDE w:val="0"/>
              <w:autoSpaceDN w:val="0"/>
              <w:bidi w:val="0"/>
              <w:adjustRightInd w:val="0"/>
              <w:snapToGrid w:val="0"/>
              <w:spacing w:line="312" w:lineRule="exact"/>
              <w:ind w:left="0" w:leftChars="0" w:right="0" w:rightChars="0" w:firstLine="0" w:firstLineChars="0"/>
              <w:jc w:val="center"/>
              <w:textAlignment w:val="baseline"/>
              <w:rPr>
                <w:rFonts w:hint="eastAsia" w:ascii="宋体" w:hAnsi="宋体" w:eastAsia="宋体" w:cs="宋体"/>
                <w:b w:val="0"/>
                <w:bCs w:val="0"/>
                <w:color w:val="auto"/>
                <w:spacing w:val="7"/>
                <w:sz w:val="21"/>
                <w:szCs w:val="21"/>
                <w:highlight w:val="none"/>
              </w:rPr>
            </w:pPr>
          </w:p>
        </w:tc>
        <w:tc>
          <w:tcPr>
            <w:tcW w:w="5225" w:type="dxa"/>
            <w:noWrap w:val="0"/>
            <w:vAlign w:val="center"/>
          </w:tcPr>
          <w:p w14:paraId="79AF9D86">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240" w:lineRule="auto"/>
              <w:ind w:left="0" w:leftChars="0" w:right="0" w:rightChars="0" w:firstLine="420" w:firstLineChars="200"/>
              <w:textAlignment w:val="baseline"/>
              <w:rPr>
                <w:rFonts w:hint="eastAsia" w:ascii="宋体" w:hAnsi="宋体" w:eastAsia="宋体" w:cs="宋体"/>
                <w:b w:val="0"/>
                <w:bCs w:val="0"/>
                <w:color w:val="auto"/>
                <w:spacing w:val="7"/>
                <w:sz w:val="21"/>
                <w:szCs w:val="21"/>
                <w:highlight w:val="none"/>
              </w:rPr>
            </w:pPr>
            <w:r>
              <w:rPr>
                <w:rFonts w:hint="eastAsia" w:ascii="宋体" w:hAnsi="宋体" w:eastAsia="宋体" w:cs="宋体"/>
                <w:color w:val="auto"/>
                <w:kern w:val="2"/>
                <w:sz w:val="21"/>
                <w:szCs w:val="21"/>
                <w:highlight w:val="none"/>
                <w:lang w:val="en-US" w:eastAsia="zh-CN" w:bidi="ar-SA"/>
              </w:rPr>
              <w:t>重点管理（钢铁、石化、化工、电镀、皮革、造纸、冶炼、印染、染料、水泥、煤电、陶瓷、采矿、放射性、危废经营、垃圾焚烧发电、平板玻璃，“两高”项目）</w:t>
            </w:r>
          </w:p>
        </w:tc>
        <w:tc>
          <w:tcPr>
            <w:tcW w:w="1542" w:type="dxa"/>
            <w:noWrap w:val="0"/>
            <w:vAlign w:val="center"/>
          </w:tcPr>
          <w:p w14:paraId="0CDBF261">
            <w:pPr>
              <w:keepNext w:val="0"/>
              <w:keepLines w:val="0"/>
              <w:pageBreakBefore w:val="0"/>
              <w:kinsoku/>
              <w:wordWrap/>
              <w:overflowPunct/>
              <w:topLinePunct w:val="0"/>
              <w:bidi w:val="0"/>
              <w:snapToGrid w:val="0"/>
              <w:spacing w:line="24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r>
      <w:tr w14:paraId="08FA3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5" w:type="dxa"/>
            <w:vMerge w:val="restart"/>
            <w:noWrap w:val="0"/>
            <w:vAlign w:val="center"/>
          </w:tcPr>
          <w:p w14:paraId="5CDF0FED">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b/>
                <w:bCs/>
                <w:color w:val="auto"/>
                <w:spacing w:val="7"/>
                <w:sz w:val="21"/>
                <w:szCs w:val="21"/>
                <w:highlight w:val="none"/>
              </w:rPr>
            </w:pPr>
            <w:r>
              <w:rPr>
                <w:rFonts w:hint="eastAsia" w:ascii="宋体" w:hAnsi="宋体" w:eastAsia="宋体" w:cs="宋体"/>
                <w:color w:val="auto"/>
                <w:sz w:val="21"/>
                <w:szCs w:val="21"/>
                <w:highlight w:val="none"/>
              </w:rPr>
              <w:t>未按照排污许可证载明的污染物排放种类个数</w:t>
            </w:r>
          </w:p>
        </w:tc>
        <w:tc>
          <w:tcPr>
            <w:tcW w:w="5225" w:type="dxa"/>
            <w:noWrap w:val="0"/>
            <w:vAlign w:val="center"/>
          </w:tcPr>
          <w:p w14:paraId="74B7873A">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个</w:t>
            </w:r>
          </w:p>
        </w:tc>
        <w:tc>
          <w:tcPr>
            <w:tcW w:w="1542" w:type="dxa"/>
            <w:noWrap w:val="0"/>
            <w:vAlign w:val="center"/>
          </w:tcPr>
          <w:p w14:paraId="39A72533">
            <w:pPr>
              <w:keepNext w:val="0"/>
              <w:keepLines w:val="0"/>
              <w:pageBreakBefore w:val="0"/>
              <w:kinsoku/>
              <w:wordWrap/>
              <w:overflowPunct/>
              <w:topLinePunct w:val="0"/>
              <w:bidi w:val="0"/>
              <w:snapToGrid w:val="0"/>
              <w:spacing w:line="24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r>
      <w:tr w14:paraId="11E34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5" w:type="dxa"/>
            <w:vMerge w:val="continue"/>
            <w:noWrap w:val="0"/>
            <w:vAlign w:val="center"/>
          </w:tcPr>
          <w:p w14:paraId="4D518662">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b/>
                <w:bCs/>
                <w:color w:val="auto"/>
                <w:spacing w:val="7"/>
                <w:sz w:val="21"/>
                <w:szCs w:val="21"/>
                <w:highlight w:val="none"/>
              </w:rPr>
            </w:pPr>
          </w:p>
        </w:tc>
        <w:tc>
          <w:tcPr>
            <w:tcW w:w="5225" w:type="dxa"/>
            <w:noWrap w:val="0"/>
            <w:vAlign w:val="center"/>
          </w:tcPr>
          <w:p w14:paraId="6E47A67B">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个</w:t>
            </w:r>
            <w:r>
              <w:rPr>
                <w:rFonts w:hint="eastAsia" w:ascii="宋体" w:hAnsi="宋体" w:eastAsia="宋体" w:cs="宋体"/>
                <w:color w:val="auto"/>
                <w:sz w:val="21"/>
                <w:szCs w:val="21"/>
                <w:highlight w:val="none"/>
              </w:rPr>
              <w:t>以上不足5</w:t>
            </w:r>
            <w:r>
              <w:rPr>
                <w:rFonts w:hint="eastAsia" w:ascii="宋体" w:hAnsi="宋体" w:eastAsia="宋体" w:cs="宋体"/>
                <w:color w:val="auto"/>
                <w:sz w:val="21"/>
                <w:szCs w:val="21"/>
                <w:highlight w:val="none"/>
                <w:lang w:val="en-US" w:eastAsia="zh-CN"/>
              </w:rPr>
              <w:t>个</w:t>
            </w:r>
          </w:p>
        </w:tc>
        <w:tc>
          <w:tcPr>
            <w:tcW w:w="1542" w:type="dxa"/>
            <w:noWrap w:val="0"/>
            <w:vAlign w:val="center"/>
          </w:tcPr>
          <w:p w14:paraId="3FE74144">
            <w:pPr>
              <w:keepNext w:val="0"/>
              <w:keepLines w:val="0"/>
              <w:pageBreakBefore w:val="0"/>
              <w:kinsoku/>
              <w:wordWrap/>
              <w:overflowPunct/>
              <w:topLinePunct w:val="0"/>
              <w:bidi w:val="0"/>
              <w:snapToGrid w:val="0"/>
              <w:spacing w:line="24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r>
      <w:tr w14:paraId="6D549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5" w:type="dxa"/>
            <w:vMerge w:val="continue"/>
            <w:noWrap w:val="0"/>
            <w:vAlign w:val="center"/>
          </w:tcPr>
          <w:p w14:paraId="1EEFF7BE">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b/>
                <w:bCs/>
                <w:color w:val="auto"/>
                <w:spacing w:val="7"/>
                <w:sz w:val="21"/>
                <w:szCs w:val="21"/>
                <w:highlight w:val="none"/>
              </w:rPr>
            </w:pPr>
          </w:p>
        </w:tc>
        <w:tc>
          <w:tcPr>
            <w:tcW w:w="5225" w:type="dxa"/>
            <w:noWrap w:val="0"/>
            <w:vAlign w:val="center"/>
          </w:tcPr>
          <w:p w14:paraId="1CD0776C">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5</w:t>
            </w:r>
            <w:r>
              <w:rPr>
                <w:rFonts w:hint="eastAsia" w:ascii="宋体" w:hAnsi="宋体" w:eastAsia="宋体" w:cs="宋体"/>
                <w:color w:val="auto"/>
                <w:sz w:val="21"/>
                <w:szCs w:val="21"/>
                <w:highlight w:val="none"/>
                <w:lang w:val="en-US" w:eastAsia="zh-CN"/>
              </w:rPr>
              <w:t>个</w:t>
            </w:r>
            <w:r>
              <w:rPr>
                <w:rFonts w:hint="eastAsia" w:ascii="宋体" w:hAnsi="宋体" w:eastAsia="宋体" w:cs="宋体"/>
                <w:color w:val="auto"/>
                <w:sz w:val="21"/>
                <w:szCs w:val="21"/>
                <w:highlight w:val="none"/>
              </w:rPr>
              <w:t>以上不足</w:t>
            </w:r>
            <w:r>
              <w:rPr>
                <w:rFonts w:hint="eastAsia" w:ascii="宋体" w:hAnsi="宋体" w:eastAsia="宋体" w:cs="宋体"/>
                <w:color w:val="auto"/>
                <w:sz w:val="21"/>
                <w:szCs w:val="21"/>
                <w:highlight w:val="none"/>
                <w:lang w:val="en-US" w:eastAsia="zh-CN"/>
              </w:rPr>
              <w:t>10个</w:t>
            </w:r>
          </w:p>
        </w:tc>
        <w:tc>
          <w:tcPr>
            <w:tcW w:w="1542" w:type="dxa"/>
            <w:noWrap w:val="0"/>
            <w:vAlign w:val="center"/>
          </w:tcPr>
          <w:p w14:paraId="60F9400C">
            <w:pPr>
              <w:keepNext w:val="0"/>
              <w:keepLines w:val="0"/>
              <w:pageBreakBefore w:val="0"/>
              <w:kinsoku/>
              <w:wordWrap/>
              <w:overflowPunct/>
              <w:topLinePunct w:val="0"/>
              <w:bidi w:val="0"/>
              <w:snapToGrid w:val="0"/>
              <w:spacing w:line="24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r>
      <w:tr w14:paraId="0451E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755" w:type="dxa"/>
            <w:vMerge w:val="continue"/>
            <w:noWrap w:val="0"/>
            <w:vAlign w:val="center"/>
          </w:tcPr>
          <w:p w14:paraId="28274A6E">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b/>
                <w:bCs/>
                <w:color w:val="auto"/>
                <w:spacing w:val="7"/>
                <w:sz w:val="21"/>
                <w:szCs w:val="21"/>
                <w:highlight w:val="none"/>
              </w:rPr>
            </w:pPr>
          </w:p>
        </w:tc>
        <w:tc>
          <w:tcPr>
            <w:tcW w:w="5225" w:type="dxa"/>
            <w:noWrap w:val="0"/>
            <w:vAlign w:val="center"/>
          </w:tcPr>
          <w:p w14:paraId="09D1548F">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10个</w:t>
            </w:r>
            <w:r>
              <w:rPr>
                <w:rFonts w:hint="eastAsia" w:ascii="宋体" w:hAnsi="宋体" w:eastAsia="宋体" w:cs="宋体"/>
                <w:color w:val="auto"/>
                <w:sz w:val="21"/>
                <w:szCs w:val="21"/>
                <w:highlight w:val="none"/>
              </w:rPr>
              <w:t>以上</w:t>
            </w:r>
          </w:p>
        </w:tc>
        <w:tc>
          <w:tcPr>
            <w:tcW w:w="1542" w:type="dxa"/>
            <w:noWrap w:val="0"/>
            <w:vAlign w:val="center"/>
          </w:tcPr>
          <w:p w14:paraId="3593C94F">
            <w:pPr>
              <w:keepNext w:val="0"/>
              <w:keepLines w:val="0"/>
              <w:pageBreakBefore w:val="0"/>
              <w:kinsoku/>
              <w:wordWrap/>
              <w:overflowPunct/>
              <w:topLinePunct w:val="0"/>
              <w:bidi w:val="0"/>
              <w:snapToGrid w:val="0"/>
              <w:spacing w:line="24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r>
      <w:tr w14:paraId="75A3E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5" w:type="dxa"/>
            <w:vMerge w:val="restart"/>
            <w:noWrap w:val="0"/>
            <w:vAlign w:val="center"/>
          </w:tcPr>
          <w:p w14:paraId="6B828CD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排放去向或</w:t>
            </w:r>
          </w:p>
          <w:p w14:paraId="7EFB37F3">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区域</w:t>
            </w:r>
          </w:p>
        </w:tc>
        <w:tc>
          <w:tcPr>
            <w:tcW w:w="5225" w:type="dxa"/>
            <w:noWrap w:val="0"/>
            <w:vAlign w:val="top"/>
          </w:tcPr>
          <w:p w14:paraId="649E7098">
            <w:pPr>
              <w:keepNext w:val="0"/>
              <w:keepLines w:val="0"/>
              <w:pageBreakBefore w:val="0"/>
              <w:widowControl/>
              <w:kinsoku/>
              <w:wordWrap/>
              <w:overflowPunct/>
              <w:topLinePunct w:val="0"/>
              <w:autoSpaceDE/>
              <w:autoSpaceDN/>
              <w:bidi w:val="0"/>
              <w:adjustRightInd w:val="0"/>
              <w:snapToGrid w:val="0"/>
              <w:spacing w:line="240" w:lineRule="auto"/>
              <w:ind w:firstLine="420" w:firstLineChars="200"/>
              <w:jc w:val="both"/>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二类环境空气功能区</w:t>
            </w:r>
            <w:r>
              <w:rPr>
                <w:rFonts w:hint="eastAsia" w:ascii="宋体" w:hAnsi="宋体" w:eastAsia="宋体" w:cs="宋体"/>
                <w:color w:val="auto"/>
                <w:sz w:val="21"/>
                <w:szCs w:val="21"/>
                <w:highlight w:val="none"/>
              </w:rPr>
              <w:t>（工业区和农村地区）</w:t>
            </w:r>
            <w:r>
              <w:rPr>
                <w:rFonts w:hint="eastAsia" w:ascii="宋体" w:hAnsi="宋体" w:cs="宋体"/>
                <w:color w:val="auto"/>
                <w:sz w:val="21"/>
                <w:szCs w:val="21"/>
                <w:highlight w:val="none"/>
                <w:lang w:val="en-US" w:eastAsia="zh-CN"/>
              </w:rPr>
              <w:t>/V类水体（或者污水集中处理设施）/</w:t>
            </w:r>
            <w:r>
              <w:rPr>
                <w:rFonts w:hint="eastAsia" w:ascii="宋体" w:hAnsi="宋体" w:eastAsia="宋体" w:cs="宋体"/>
                <w:color w:val="auto"/>
                <w:sz w:val="21"/>
                <w:szCs w:val="21"/>
                <w:highlight w:val="none"/>
              </w:rPr>
              <w:t>4类声环境功能区</w:t>
            </w:r>
            <w:r>
              <w:rPr>
                <w:rFonts w:hint="eastAsia" w:ascii="宋体" w:hAnsi="宋体" w:eastAsia="宋体" w:cs="宋体"/>
                <w:color w:val="auto"/>
                <w:sz w:val="21"/>
                <w:szCs w:val="21"/>
                <w:highlight w:val="none"/>
                <w:lang w:val="en-US" w:eastAsia="zh-CN"/>
              </w:rPr>
              <w:t>/第四类海水水质的区域</w:t>
            </w:r>
          </w:p>
        </w:tc>
        <w:tc>
          <w:tcPr>
            <w:tcW w:w="1542" w:type="dxa"/>
            <w:noWrap w:val="0"/>
            <w:vAlign w:val="center"/>
          </w:tcPr>
          <w:p w14:paraId="71FACEAB">
            <w:pPr>
              <w:keepNext w:val="0"/>
              <w:keepLines w:val="0"/>
              <w:pageBreakBefore w:val="0"/>
              <w:kinsoku/>
              <w:wordWrap/>
              <w:overflowPunct/>
              <w:topLinePunct w:val="0"/>
              <w:bidi w:val="0"/>
              <w:snapToGrid w:val="0"/>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0FD22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5" w:type="dxa"/>
            <w:vMerge w:val="continue"/>
            <w:noWrap w:val="0"/>
            <w:vAlign w:val="center"/>
          </w:tcPr>
          <w:p w14:paraId="6EB296D8">
            <w:pPr>
              <w:jc w:val="center"/>
              <w:rPr>
                <w:rFonts w:hint="eastAsia" w:ascii="宋体" w:hAnsi="宋体" w:eastAsia="宋体" w:cs="宋体"/>
                <w:color w:val="auto"/>
                <w:sz w:val="21"/>
                <w:szCs w:val="21"/>
                <w:highlight w:val="none"/>
                <w:lang w:val="en-US" w:eastAsia="zh-CN"/>
              </w:rPr>
            </w:pPr>
          </w:p>
        </w:tc>
        <w:tc>
          <w:tcPr>
            <w:tcW w:w="5225" w:type="dxa"/>
            <w:noWrap w:val="0"/>
            <w:vAlign w:val="top"/>
          </w:tcPr>
          <w:p w14:paraId="24E72156">
            <w:pPr>
              <w:keepNext w:val="0"/>
              <w:keepLines w:val="0"/>
              <w:pageBreakBefore w:val="0"/>
              <w:widowControl/>
              <w:kinsoku/>
              <w:wordWrap/>
              <w:overflowPunct/>
              <w:topLinePunct w:val="0"/>
              <w:autoSpaceDE/>
              <w:autoSpaceDN/>
              <w:bidi w:val="0"/>
              <w:adjustRightInd w:val="0"/>
              <w:snapToGrid w:val="0"/>
              <w:spacing w:line="240" w:lineRule="auto"/>
              <w:ind w:firstLine="420" w:firstLineChars="200"/>
              <w:jc w:val="both"/>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Ⅳ类</w:t>
            </w:r>
            <w:r>
              <w:rPr>
                <w:rFonts w:hint="eastAsia" w:ascii="宋体" w:hAnsi="宋体" w:eastAsia="宋体" w:cs="宋体"/>
                <w:color w:val="auto"/>
                <w:sz w:val="21"/>
                <w:szCs w:val="21"/>
                <w:highlight w:val="none"/>
              </w:rPr>
              <w:t>水体</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3类声环境功能区</w:t>
            </w:r>
            <w:r>
              <w:rPr>
                <w:rFonts w:hint="eastAsia" w:ascii="宋体" w:hAnsi="宋体" w:eastAsia="宋体" w:cs="宋体"/>
                <w:color w:val="auto"/>
                <w:sz w:val="21"/>
                <w:szCs w:val="21"/>
                <w:highlight w:val="none"/>
                <w:lang w:val="en-US" w:eastAsia="zh-CN"/>
              </w:rPr>
              <w:t>/第三类海水水质的区域</w:t>
            </w:r>
          </w:p>
        </w:tc>
        <w:tc>
          <w:tcPr>
            <w:tcW w:w="1542" w:type="dxa"/>
            <w:noWrap w:val="0"/>
            <w:vAlign w:val="center"/>
          </w:tcPr>
          <w:p w14:paraId="215934C1">
            <w:pPr>
              <w:keepNext w:val="0"/>
              <w:keepLines w:val="0"/>
              <w:pageBreakBefore w:val="0"/>
              <w:kinsoku/>
              <w:wordWrap/>
              <w:overflowPunct/>
              <w:topLinePunct w:val="0"/>
              <w:bidi w:val="0"/>
              <w:snapToGrid w:val="0"/>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p>
        </w:tc>
      </w:tr>
      <w:tr w14:paraId="6587D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5" w:type="dxa"/>
            <w:vMerge w:val="continue"/>
            <w:noWrap w:val="0"/>
            <w:vAlign w:val="center"/>
          </w:tcPr>
          <w:p w14:paraId="0302C041">
            <w:pPr>
              <w:jc w:val="center"/>
              <w:rPr>
                <w:rFonts w:hint="eastAsia" w:ascii="宋体" w:hAnsi="宋体" w:eastAsia="宋体" w:cs="宋体"/>
                <w:color w:val="auto"/>
                <w:sz w:val="21"/>
                <w:szCs w:val="21"/>
                <w:highlight w:val="none"/>
                <w:lang w:val="en-US" w:eastAsia="zh-CN"/>
              </w:rPr>
            </w:pPr>
          </w:p>
        </w:tc>
        <w:tc>
          <w:tcPr>
            <w:tcW w:w="5225" w:type="dxa"/>
            <w:noWrap w:val="0"/>
            <w:vAlign w:val="top"/>
          </w:tcPr>
          <w:p w14:paraId="0E205A5E">
            <w:pPr>
              <w:keepNext w:val="0"/>
              <w:keepLines w:val="0"/>
              <w:pageBreakBefore w:val="0"/>
              <w:widowControl/>
              <w:kinsoku/>
              <w:wordWrap/>
              <w:overflowPunct/>
              <w:topLinePunct w:val="0"/>
              <w:autoSpaceDE/>
              <w:autoSpaceDN/>
              <w:bidi w:val="0"/>
              <w:adjustRightInd w:val="0"/>
              <w:snapToGrid w:val="0"/>
              <w:spacing w:line="240" w:lineRule="auto"/>
              <w:ind w:firstLine="420" w:firstLineChars="200"/>
              <w:jc w:val="both"/>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二类环境空气功能区</w:t>
            </w:r>
            <w:r>
              <w:rPr>
                <w:rFonts w:hint="eastAsia" w:ascii="宋体" w:hAnsi="宋体" w:eastAsia="宋体" w:cs="宋体"/>
                <w:color w:val="auto"/>
                <w:sz w:val="21"/>
                <w:szCs w:val="21"/>
                <w:highlight w:val="none"/>
                <w:lang w:eastAsia="zh-CN"/>
              </w:rPr>
              <w:t>（居民区、商业交通居民混合区、文化区）/</w:t>
            </w:r>
            <w:r>
              <w:rPr>
                <w:rFonts w:hint="eastAsia" w:ascii="宋体" w:hAnsi="宋体" w:cs="宋体"/>
                <w:color w:val="auto"/>
                <w:sz w:val="21"/>
                <w:szCs w:val="21"/>
                <w:highlight w:val="none"/>
                <w:lang w:eastAsia="zh-CN"/>
              </w:rPr>
              <w:t>Ⅲ类</w:t>
            </w:r>
            <w:r>
              <w:rPr>
                <w:rFonts w:hint="eastAsia" w:ascii="宋体" w:hAnsi="宋体" w:eastAsia="宋体" w:cs="宋体"/>
                <w:color w:val="auto"/>
                <w:sz w:val="21"/>
                <w:szCs w:val="21"/>
                <w:highlight w:val="none"/>
                <w:lang w:eastAsia="zh-CN"/>
              </w:rPr>
              <w:t>水体/2类声环境功能区/饮用水水源准保护区/自然保护地外的生态保护红线区域</w:t>
            </w:r>
          </w:p>
        </w:tc>
        <w:tc>
          <w:tcPr>
            <w:tcW w:w="1542" w:type="dxa"/>
            <w:noWrap w:val="0"/>
            <w:vAlign w:val="center"/>
          </w:tcPr>
          <w:p w14:paraId="372C7F06">
            <w:pPr>
              <w:keepNext w:val="0"/>
              <w:keepLines w:val="0"/>
              <w:pageBreakBefore w:val="0"/>
              <w:kinsoku/>
              <w:wordWrap/>
              <w:overflowPunct/>
              <w:topLinePunct w:val="0"/>
              <w:bidi w:val="0"/>
              <w:snapToGrid w:val="0"/>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46128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5" w:type="dxa"/>
            <w:vMerge w:val="continue"/>
            <w:noWrap w:val="0"/>
            <w:vAlign w:val="center"/>
          </w:tcPr>
          <w:p w14:paraId="4DB50ABC">
            <w:pPr>
              <w:jc w:val="center"/>
              <w:rPr>
                <w:rFonts w:hint="eastAsia" w:ascii="宋体" w:hAnsi="宋体" w:eastAsia="宋体" w:cs="宋体"/>
                <w:color w:val="auto"/>
                <w:sz w:val="21"/>
                <w:szCs w:val="21"/>
                <w:highlight w:val="none"/>
                <w:lang w:val="en-US" w:eastAsia="zh-CN"/>
              </w:rPr>
            </w:pPr>
          </w:p>
        </w:tc>
        <w:tc>
          <w:tcPr>
            <w:tcW w:w="5225" w:type="dxa"/>
            <w:noWrap w:val="0"/>
            <w:vAlign w:val="top"/>
          </w:tcPr>
          <w:p w14:paraId="2BAF3D18">
            <w:pPr>
              <w:keepNext w:val="0"/>
              <w:keepLines w:val="0"/>
              <w:pageBreakBefore w:val="0"/>
              <w:widowControl/>
              <w:kinsoku/>
              <w:wordWrap/>
              <w:overflowPunct/>
              <w:topLinePunct w:val="0"/>
              <w:autoSpaceDE/>
              <w:autoSpaceDN/>
              <w:bidi w:val="0"/>
              <w:adjustRightInd w:val="0"/>
              <w:snapToGrid w:val="0"/>
              <w:spacing w:line="240" w:lineRule="auto"/>
              <w:ind w:firstLine="420" w:firstLineChars="200"/>
              <w:jc w:val="both"/>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Ⅱ类</w:t>
            </w:r>
            <w:r>
              <w:rPr>
                <w:rFonts w:hint="eastAsia" w:ascii="宋体" w:hAnsi="宋体" w:eastAsia="宋体" w:cs="宋体"/>
                <w:color w:val="auto"/>
                <w:sz w:val="21"/>
                <w:szCs w:val="21"/>
                <w:highlight w:val="none"/>
              </w:rPr>
              <w:t>水体</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1类声环境功能区／自然保护地一般控制区</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饮用水水源二级保护区</w:t>
            </w:r>
            <w:r>
              <w:rPr>
                <w:rFonts w:hint="eastAsia" w:ascii="宋体" w:hAnsi="宋体" w:eastAsia="宋体" w:cs="宋体"/>
                <w:color w:val="auto"/>
                <w:sz w:val="21"/>
                <w:szCs w:val="21"/>
                <w:highlight w:val="none"/>
                <w:lang w:val="en-US" w:eastAsia="zh-CN"/>
              </w:rPr>
              <w:t>/第二类海水水质的区域</w:t>
            </w:r>
          </w:p>
        </w:tc>
        <w:tc>
          <w:tcPr>
            <w:tcW w:w="1542" w:type="dxa"/>
            <w:noWrap w:val="0"/>
            <w:vAlign w:val="center"/>
          </w:tcPr>
          <w:p w14:paraId="0B3BD2D5">
            <w:pPr>
              <w:keepNext w:val="0"/>
              <w:keepLines w:val="0"/>
              <w:pageBreakBefore w:val="0"/>
              <w:kinsoku/>
              <w:wordWrap/>
              <w:overflowPunct/>
              <w:topLinePunct w:val="0"/>
              <w:bidi w:val="0"/>
              <w:snapToGrid w:val="0"/>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p>
        </w:tc>
      </w:tr>
      <w:tr w14:paraId="762B7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5" w:type="dxa"/>
            <w:vMerge w:val="continue"/>
            <w:noWrap w:val="0"/>
            <w:vAlign w:val="center"/>
          </w:tcPr>
          <w:p w14:paraId="7C0EE980">
            <w:pPr>
              <w:jc w:val="center"/>
              <w:rPr>
                <w:rFonts w:hint="eastAsia" w:ascii="宋体" w:hAnsi="宋体" w:eastAsia="宋体" w:cs="宋体"/>
                <w:color w:val="auto"/>
                <w:sz w:val="21"/>
                <w:szCs w:val="21"/>
                <w:highlight w:val="none"/>
                <w:lang w:val="en-US" w:eastAsia="zh-CN"/>
              </w:rPr>
            </w:pPr>
          </w:p>
        </w:tc>
        <w:tc>
          <w:tcPr>
            <w:tcW w:w="5225" w:type="dxa"/>
            <w:noWrap w:val="0"/>
            <w:vAlign w:val="top"/>
          </w:tcPr>
          <w:p w14:paraId="54DFB0A7">
            <w:pPr>
              <w:keepNext w:val="0"/>
              <w:keepLines w:val="0"/>
              <w:pageBreakBefore w:val="0"/>
              <w:widowControl/>
              <w:kinsoku/>
              <w:wordWrap/>
              <w:overflowPunct/>
              <w:topLinePunct w:val="0"/>
              <w:autoSpaceDE/>
              <w:autoSpaceDN/>
              <w:bidi w:val="0"/>
              <w:adjustRightInd w:val="0"/>
              <w:snapToGrid w:val="0"/>
              <w:spacing w:line="240" w:lineRule="auto"/>
              <w:ind w:firstLine="420" w:firstLineChars="200"/>
              <w:jc w:val="both"/>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一类环境空气功能区</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I类水体</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0类声环境功能区／自然保护地核心保护区</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饮用水水源一级保护区</w:t>
            </w:r>
            <w:r>
              <w:rPr>
                <w:rFonts w:hint="eastAsia" w:ascii="宋体" w:hAnsi="宋体" w:eastAsia="宋体" w:cs="宋体"/>
                <w:color w:val="auto"/>
                <w:sz w:val="21"/>
                <w:szCs w:val="21"/>
                <w:highlight w:val="none"/>
                <w:lang w:val="en-US" w:eastAsia="zh-CN"/>
              </w:rPr>
              <w:t>/第一类海水水质的区域</w:t>
            </w:r>
          </w:p>
        </w:tc>
        <w:tc>
          <w:tcPr>
            <w:tcW w:w="1542" w:type="dxa"/>
            <w:noWrap w:val="0"/>
            <w:vAlign w:val="center"/>
          </w:tcPr>
          <w:p w14:paraId="77F4DF14">
            <w:pPr>
              <w:keepNext w:val="0"/>
              <w:keepLines w:val="0"/>
              <w:pageBreakBefore w:val="0"/>
              <w:kinsoku/>
              <w:wordWrap/>
              <w:overflowPunct/>
              <w:topLinePunct w:val="0"/>
              <w:bidi w:val="0"/>
              <w:snapToGrid w:val="0"/>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0D681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5" w:type="dxa"/>
            <w:vMerge w:val="restart"/>
            <w:noWrap w:val="0"/>
            <w:vAlign w:val="center"/>
          </w:tcPr>
          <w:p w14:paraId="62DFB100">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污染物</w:t>
            </w:r>
            <w:r>
              <w:rPr>
                <w:rFonts w:hint="eastAsia" w:ascii="宋体" w:hAnsi="宋体" w:eastAsia="宋体" w:cs="宋体"/>
                <w:color w:val="auto"/>
                <w:sz w:val="21"/>
                <w:szCs w:val="21"/>
                <w:highlight w:val="none"/>
              </w:rPr>
              <w:t>类别</w:t>
            </w:r>
          </w:p>
        </w:tc>
        <w:tc>
          <w:tcPr>
            <w:tcW w:w="5225" w:type="dxa"/>
            <w:noWrap w:val="0"/>
            <w:vAlign w:val="top"/>
          </w:tcPr>
          <w:p w14:paraId="0495D4CC">
            <w:pPr>
              <w:keepNext w:val="0"/>
              <w:keepLines w:val="0"/>
              <w:pageBreakBefore w:val="0"/>
              <w:kinsoku/>
              <w:wordWrap/>
              <w:overflowPunct/>
              <w:topLinePunct w:val="0"/>
              <w:bidi w:val="0"/>
              <w:adjustRightInd w:val="0"/>
              <w:snapToGrid w:val="0"/>
              <w:spacing w:line="240" w:lineRule="auto"/>
              <w:ind w:firstLine="420" w:firstLineChars="200"/>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一般废气、废水、固体废物、噪声、畜禽养殖废水</w:t>
            </w:r>
          </w:p>
        </w:tc>
        <w:tc>
          <w:tcPr>
            <w:tcW w:w="1542" w:type="dxa"/>
            <w:noWrap w:val="0"/>
            <w:vAlign w:val="center"/>
          </w:tcPr>
          <w:p w14:paraId="6314CCAF">
            <w:pPr>
              <w:keepNext w:val="0"/>
              <w:keepLines w:val="0"/>
              <w:pageBreakBefore w:val="0"/>
              <w:kinsoku/>
              <w:wordWrap/>
              <w:overflowPunct/>
              <w:topLinePunct w:val="0"/>
              <w:bidi w:val="0"/>
              <w:snapToGrid w:val="0"/>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453FA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5" w:type="dxa"/>
            <w:vMerge w:val="continue"/>
            <w:noWrap w:val="0"/>
            <w:vAlign w:val="center"/>
          </w:tcPr>
          <w:p w14:paraId="5B5C2C13">
            <w:pPr>
              <w:jc w:val="center"/>
              <w:rPr>
                <w:rFonts w:hint="eastAsia" w:ascii="宋体" w:hAnsi="宋体" w:eastAsia="宋体" w:cs="宋体"/>
                <w:color w:val="auto"/>
                <w:sz w:val="21"/>
                <w:szCs w:val="21"/>
                <w:highlight w:val="none"/>
                <w:lang w:val="en-US" w:eastAsia="zh-CN"/>
              </w:rPr>
            </w:pPr>
          </w:p>
        </w:tc>
        <w:tc>
          <w:tcPr>
            <w:tcW w:w="5225" w:type="dxa"/>
            <w:noWrap w:val="0"/>
            <w:vAlign w:val="top"/>
          </w:tcPr>
          <w:p w14:paraId="69023723">
            <w:pPr>
              <w:keepNext w:val="0"/>
              <w:keepLines w:val="0"/>
              <w:pageBreakBefore w:val="0"/>
              <w:kinsoku/>
              <w:wordWrap/>
              <w:overflowPunct/>
              <w:topLinePunct w:val="0"/>
              <w:bidi w:val="0"/>
              <w:adjustRightInd w:val="0"/>
              <w:snapToGrid w:val="0"/>
              <w:spacing w:line="240" w:lineRule="auto"/>
              <w:ind w:firstLine="420" w:firstLineChars="200"/>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火电、钢铁、石化、水泥、炼焦、有色、化工废气/医疗废水</w:t>
            </w:r>
          </w:p>
        </w:tc>
        <w:tc>
          <w:tcPr>
            <w:tcW w:w="1542" w:type="dxa"/>
            <w:noWrap w:val="0"/>
            <w:vAlign w:val="center"/>
          </w:tcPr>
          <w:p w14:paraId="293ADB25">
            <w:pPr>
              <w:keepNext w:val="0"/>
              <w:keepLines w:val="0"/>
              <w:pageBreakBefore w:val="0"/>
              <w:kinsoku/>
              <w:wordWrap/>
              <w:overflowPunct/>
              <w:topLinePunct w:val="0"/>
              <w:bidi w:val="0"/>
              <w:snapToGrid w:val="0"/>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p>
        </w:tc>
      </w:tr>
      <w:tr w14:paraId="0611B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5" w:type="dxa"/>
            <w:vMerge w:val="continue"/>
            <w:noWrap w:val="0"/>
            <w:vAlign w:val="center"/>
          </w:tcPr>
          <w:p w14:paraId="1C8E9C8C">
            <w:pPr>
              <w:jc w:val="center"/>
              <w:rPr>
                <w:rFonts w:hint="eastAsia" w:ascii="宋体" w:hAnsi="宋体" w:eastAsia="宋体" w:cs="宋体"/>
                <w:color w:val="auto"/>
                <w:sz w:val="21"/>
                <w:szCs w:val="21"/>
                <w:highlight w:val="none"/>
                <w:lang w:val="en-US" w:eastAsia="zh-CN"/>
              </w:rPr>
            </w:pPr>
          </w:p>
        </w:tc>
        <w:tc>
          <w:tcPr>
            <w:tcW w:w="5225" w:type="dxa"/>
            <w:noWrap w:val="0"/>
            <w:vAlign w:val="top"/>
          </w:tcPr>
          <w:p w14:paraId="579F4FC2">
            <w:pPr>
              <w:keepNext w:val="0"/>
              <w:keepLines w:val="0"/>
              <w:pageBreakBefore w:val="0"/>
              <w:kinsoku/>
              <w:wordWrap/>
              <w:overflowPunct/>
              <w:topLinePunct w:val="0"/>
              <w:bidi w:val="0"/>
              <w:adjustRightInd w:val="0"/>
              <w:snapToGrid w:val="0"/>
              <w:spacing w:line="240" w:lineRule="auto"/>
              <w:ind w:firstLine="420" w:firstLineChars="200"/>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含有毒有害物质的废气、废水／含一类污染物或重金属、病原体、放射性物质的废水／危险废物</w:t>
            </w:r>
          </w:p>
        </w:tc>
        <w:tc>
          <w:tcPr>
            <w:tcW w:w="1542" w:type="dxa"/>
            <w:noWrap w:val="0"/>
            <w:vAlign w:val="center"/>
          </w:tcPr>
          <w:p w14:paraId="50EA855A">
            <w:pPr>
              <w:keepNext w:val="0"/>
              <w:keepLines w:val="0"/>
              <w:pageBreakBefore w:val="0"/>
              <w:kinsoku/>
              <w:wordWrap/>
              <w:overflowPunct/>
              <w:topLinePunct w:val="0"/>
              <w:bidi w:val="0"/>
              <w:snapToGrid w:val="0"/>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p>
        </w:tc>
      </w:tr>
      <w:tr w14:paraId="6DA81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5" w:type="dxa"/>
            <w:noWrap w:val="0"/>
            <w:vAlign w:val="center"/>
          </w:tcPr>
          <w:p w14:paraId="6BE82777">
            <w:pPr>
              <w:keepNext w:val="0"/>
              <w:keepLines w:val="0"/>
              <w:pageBreakBefore w:val="0"/>
              <w:widowControl w:val="0"/>
              <w:shd w:val="clear" w:color="auto" w:fill="auto"/>
              <w:kinsoku/>
              <w:wordWrap/>
              <w:overflowPunct/>
              <w:topLinePunct w:val="0"/>
              <w:autoSpaceDE w:val="0"/>
              <w:autoSpaceDN w:val="0"/>
              <w:bidi w:val="0"/>
              <w:adjustRightInd w:val="0"/>
              <w:snapToGrid w:val="0"/>
              <w:spacing w:line="310" w:lineRule="atLeast"/>
              <w:ind w:left="0" w:leftChars="0" w:right="0" w:rightChars="0" w:firstLine="0" w:firstLineChars="0"/>
              <w:jc w:val="center"/>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备注</w:t>
            </w:r>
          </w:p>
        </w:tc>
        <w:tc>
          <w:tcPr>
            <w:tcW w:w="6767" w:type="dxa"/>
            <w:gridSpan w:val="2"/>
            <w:noWrap w:val="0"/>
            <w:vAlign w:val="center"/>
          </w:tcPr>
          <w:p w14:paraId="06BD73C1">
            <w:pPr>
              <w:keepNext w:val="0"/>
              <w:keepLines w:val="0"/>
              <w:pageBreakBefore w:val="0"/>
              <w:widowControl w:val="0"/>
              <w:shd w:val="clear" w:color="auto" w:fill="auto"/>
              <w:kinsoku/>
              <w:wordWrap/>
              <w:overflowPunct/>
              <w:topLinePunct w:val="0"/>
              <w:autoSpaceDE w:val="0"/>
              <w:autoSpaceDN w:val="0"/>
              <w:bidi w:val="0"/>
              <w:adjustRightInd w:val="0"/>
              <w:snapToGrid w:val="0"/>
              <w:spacing w:line="240" w:lineRule="auto"/>
              <w:ind w:left="0" w:leftChars="0" w:right="0" w:rightChars="0" w:firstLine="420" w:firstLineChars="200"/>
              <w:jc w:val="both"/>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涉及多种污染物类别时，</w:t>
            </w:r>
            <w:r>
              <w:rPr>
                <w:rFonts w:hint="eastAsia" w:ascii="宋体" w:hAnsi="宋体" w:cs="宋体"/>
                <w:color w:val="auto"/>
                <w:sz w:val="21"/>
                <w:szCs w:val="21"/>
                <w:highlight w:val="none"/>
                <w:lang w:eastAsia="zh-CN"/>
              </w:rPr>
              <w:t>裁量</w:t>
            </w:r>
            <w:r>
              <w:rPr>
                <w:rFonts w:hint="eastAsia" w:ascii="宋体" w:hAnsi="宋体" w:eastAsia="宋体" w:cs="宋体"/>
                <w:color w:val="auto"/>
                <w:sz w:val="21"/>
                <w:szCs w:val="21"/>
                <w:highlight w:val="none"/>
              </w:rPr>
              <w:t>标准以裁量等级最高为准</w:t>
            </w:r>
          </w:p>
        </w:tc>
      </w:tr>
    </w:tbl>
    <w:p w14:paraId="632C38BF">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43"/>
        <w:gridCol w:w="5486"/>
        <w:gridCol w:w="1619"/>
      </w:tblGrid>
      <w:tr w14:paraId="7EA79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3"/>
            <w:noWrap w:val="0"/>
            <w:vAlign w:val="top"/>
          </w:tcPr>
          <w:p w14:paraId="219B2AE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（三）排污许可管理类</w:t>
            </w:r>
          </w:p>
        </w:tc>
      </w:tr>
      <w:tr w14:paraId="24C22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5" w:type="dxa"/>
            <w:noWrap w:val="0"/>
            <w:vAlign w:val="center"/>
          </w:tcPr>
          <w:p w14:paraId="4DBC9B5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767" w:type="dxa"/>
            <w:gridSpan w:val="2"/>
            <w:noWrap w:val="0"/>
            <w:vAlign w:val="top"/>
          </w:tcPr>
          <w:p w14:paraId="6F8FCEBC">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w:t>
            </w:r>
          </w:p>
        </w:tc>
      </w:tr>
      <w:tr w14:paraId="5B362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5" w:type="dxa"/>
            <w:noWrap w:val="0"/>
            <w:vAlign w:val="center"/>
          </w:tcPr>
          <w:p w14:paraId="03694D5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6767" w:type="dxa"/>
            <w:gridSpan w:val="2"/>
            <w:noWrap w:val="0"/>
            <w:vAlign w:val="top"/>
          </w:tcPr>
          <w:p w14:paraId="207119E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超过载明的许可排放浓度、许可排放量、许可排放限值排放污染物的</w:t>
            </w:r>
          </w:p>
        </w:tc>
      </w:tr>
      <w:tr w14:paraId="77134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5" w:type="dxa"/>
            <w:noWrap w:val="0"/>
            <w:vAlign w:val="center"/>
          </w:tcPr>
          <w:p w14:paraId="0264FDD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6767" w:type="dxa"/>
            <w:gridSpan w:val="2"/>
            <w:noWrap w:val="0"/>
            <w:vAlign w:val="top"/>
          </w:tcPr>
          <w:p w14:paraId="7D4EBF68">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《中华人民共和国生态环境法典》第一百五十一条  排放污染物，应当符合污染物排放标准、重点污染物排放总量控制指标、排污许可管理和有关法律、法规、规章的要求。</w:t>
            </w:r>
          </w:p>
          <w:p w14:paraId="4A2EBEF7">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《中华人民共和国生态环境法典》第一百七十九条</w:t>
            </w:r>
            <w:r>
              <w:rPr>
                <w:rFonts w:hint="eastAsia" w:ascii="宋体" w:hAnsi="宋体" w:eastAsia="宋体" w:cs="宋体"/>
                <w:color w:val="auto"/>
                <w:sz w:val="21"/>
                <w:szCs w:val="21"/>
                <w:highlight w:val="none"/>
                <w:lang w:val="en-US" w:eastAsia="zh-CN"/>
              </w:rPr>
              <w:t>第二款</w:t>
            </w:r>
            <w:r>
              <w:rPr>
                <w:rFonts w:hint="eastAsia" w:ascii="宋体" w:hAnsi="宋体" w:eastAsia="宋体" w:cs="宋体"/>
                <w:color w:val="auto"/>
                <w:sz w:val="21"/>
                <w:szCs w:val="21"/>
                <w:highlight w:val="none"/>
              </w:rPr>
              <w:t xml:space="preserve">  实行排污许可管理的企业事业单位和其他生产经营者应当遵守排污许可证的要求，按照规定运行和维护污染防治设施，建立生态环境管理制度，严格控制污染物排放。</w:t>
            </w:r>
          </w:p>
        </w:tc>
      </w:tr>
      <w:tr w14:paraId="1B9FA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5" w:type="dxa"/>
            <w:noWrap w:val="0"/>
            <w:vAlign w:val="center"/>
          </w:tcPr>
          <w:p w14:paraId="6ADBB9C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6767" w:type="dxa"/>
            <w:gridSpan w:val="2"/>
            <w:noWrap w:val="0"/>
            <w:vAlign w:val="top"/>
          </w:tcPr>
          <w:p w14:paraId="06485AD7">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《中华人民共和国生态环境法典》第一千一百零三条  违反本法规定，未按照排污许可证载明的污染物排放种类，或者超过载明的许可排放浓度、许可排放量、许可排放限值排放污染物的，由生态环境主管部门责令改正，处十万元以上一百万元以下的罚款，并可以责令限制生产、停产整治</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。其中，污染物为工业噪声的，罚款数额为二万元以上二十万元以下。</w:t>
            </w:r>
          </w:p>
        </w:tc>
      </w:tr>
      <w:tr w14:paraId="2ED11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5" w:type="dxa"/>
            <w:noWrap w:val="0"/>
            <w:vAlign w:val="center"/>
          </w:tcPr>
          <w:p w14:paraId="649C9C70">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pacing w:val="7"/>
                <w:sz w:val="21"/>
                <w:szCs w:val="21"/>
                <w:highlight w:val="none"/>
              </w:rPr>
              <w:t>裁量因素</w:t>
            </w:r>
          </w:p>
        </w:tc>
        <w:tc>
          <w:tcPr>
            <w:tcW w:w="5225" w:type="dxa"/>
            <w:noWrap w:val="0"/>
            <w:vAlign w:val="center"/>
          </w:tcPr>
          <w:p w14:paraId="0B5E5F33">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pacing w:val="7"/>
                <w:sz w:val="21"/>
                <w:szCs w:val="21"/>
                <w:highlight w:val="none"/>
              </w:rPr>
              <w:t>裁量因子</w:t>
            </w:r>
          </w:p>
        </w:tc>
        <w:tc>
          <w:tcPr>
            <w:tcW w:w="1542" w:type="dxa"/>
            <w:noWrap w:val="0"/>
            <w:vAlign w:val="center"/>
          </w:tcPr>
          <w:p w14:paraId="380DFE1C">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pacing w:val="7"/>
                <w:sz w:val="21"/>
                <w:szCs w:val="21"/>
                <w:highlight w:val="none"/>
              </w:rPr>
              <w:t>裁量等级</w:t>
            </w:r>
          </w:p>
        </w:tc>
      </w:tr>
      <w:tr w14:paraId="3C696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5" w:type="dxa"/>
            <w:vMerge w:val="restart"/>
            <w:noWrap w:val="0"/>
            <w:vAlign w:val="center"/>
          </w:tcPr>
          <w:p w14:paraId="45B16FA5">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排污</w:t>
            </w:r>
            <w:r>
              <w:rPr>
                <w:rFonts w:hint="eastAsia" w:ascii="宋体" w:hAnsi="宋体" w:eastAsia="宋体" w:cs="宋体"/>
                <w:color w:val="auto"/>
                <w:sz w:val="21"/>
                <w:szCs w:val="21"/>
                <w:highlight w:val="none"/>
                <w:lang w:val="en-US" w:eastAsia="zh-CN"/>
              </w:rPr>
              <w:t>许可</w:t>
            </w:r>
          </w:p>
          <w:p w14:paraId="73676728">
            <w:pPr>
              <w:jc w:val="center"/>
              <w:rPr>
                <w:rFonts w:hint="eastAsia" w:ascii="宋体" w:hAnsi="宋体" w:eastAsia="宋体" w:cs="宋体"/>
                <w:b w:val="0"/>
                <w:bCs w:val="0"/>
                <w:color w:val="auto"/>
                <w:spacing w:val="7"/>
                <w:sz w:val="21"/>
                <w:szCs w:val="21"/>
                <w:highlight w:val="none"/>
              </w:rPr>
            </w:pPr>
            <w:r>
              <w:rPr>
                <w:rFonts w:hint="eastAsia" w:ascii="宋体" w:hAnsi="宋体" w:eastAsia="宋体" w:cs="宋体"/>
                <w:color w:val="auto"/>
                <w:sz w:val="21"/>
                <w:szCs w:val="21"/>
                <w:highlight w:val="none"/>
              </w:rPr>
              <w:t>管理类别</w:t>
            </w:r>
          </w:p>
        </w:tc>
        <w:tc>
          <w:tcPr>
            <w:tcW w:w="5225" w:type="dxa"/>
            <w:noWrap w:val="0"/>
            <w:vAlign w:val="top"/>
          </w:tcPr>
          <w:p w14:paraId="22F2EAEA">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b w:val="0"/>
                <w:bCs w:val="0"/>
                <w:color w:val="auto"/>
                <w:spacing w:val="7"/>
                <w:sz w:val="21"/>
                <w:szCs w:val="21"/>
                <w:highlight w:val="none"/>
              </w:rPr>
            </w:pPr>
            <w:r>
              <w:rPr>
                <w:rFonts w:hint="eastAsia" w:ascii="宋体" w:hAnsi="宋体" w:eastAsia="宋体" w:cs="宋体"/>
                <w:color w:val="auto"/>
                <w:kern w:val="2"/>
                <w:sz w:val="21"/>
                <w:szCs w:val="21"/>
                <w:highlight w:val="none"/>
                <w:lang w:val="en-US" w:eastAsia="zh-CN" w:bidi="ar-SA"/>
              </w:rPr>
              <w:t>简化管理</w:t>
            </w:r>
          </w:p>
        </w:tc>
        <w:tc>
          <w:tcPr>
            <w:tcW w:w="1542" w:type="dxa"/>
            <w:noWrap w:val="0"/>
            <w:vAlign w:val="top"/>
          </w:tcPr>
          <w:p w14:paraId="57F00DC3">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r>
      <w:tr w14:paraId="159D2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5" w:type="dxa"/>
            <w:vMerge w:val="continue"/>
            <w:noWrap w:val="0"/>
            <w:vAlign w:val="center"/>
          </w:tcPr>
          <w:p w14:paraId="34448E97">
            <w:pPr>
              <w:jc w:val="center"/>
              <w:rPr>
                <w:rFonts w:hint="eastAsia" w:ascii="宋体" w:hAnsi="宋体" w:eastAsia="宋体" w:cs="宋体"/>
                <w:b w:val="0"/>
                <w:bCs w:val="0"/>
                <w:color w:val="auto"/>
                <w:spacing w:val="7"/>
                <w:sz w:val="21"/>
                <w:szCs w:val="21"/>
                <w:highlight w:val="none"/>
              </w:rPr>
            </w:pPr>
          </w:p>
        </w:tc>
        <w:tc>
          <w:tcPr>
            <w:tcW w:w="5225" w:type="dxa"/>
            <w:noWrap w:val="0"/>
            <w:vAlign w:val="center"/>
          </w:tcPr>
          <w:p w14:paraId="52AA7D46">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312" w:lineRule="exact"/>
              <w:ind w:left="0" w:leftChars="0" w:right="0" w:rightChars="0" w:firstLine="420" w:firstLineChars="200"/>
              <w:textAlignment w:val="baseline"/>
              <w:rPr>
                <w:rFonts w:hint="eastAsia" w:ascii="宋体" w:hAnsi="宋体" w:eastAsia="宋体" w:cs="宋体"/>
                <w:b w:val="0"/>
                <w:bCs w:val="0"/>
                <w:color w:val="auto"/>
                <w:spacing w:val="7"/>
                <w:sz w:val="21"/>
                <w:szCs w:val="21"/>
                <w:highlight w:val="none"/>
              </w:rPr>
            </w:pPr>
            <w:r>
              <w:rPr>
                <w:rFonts w:hint="eastAsia" w:ascii="宋体" w:hAnsi="宋体" w:eastAsia="宋体" w:cs="宋体"/>
                <w:color w:val="auto"/>
                <w:kern w:val="2"/>
                <w:sz w:val="21"/>
                <w:szCs w:val="21"/>
                <w:highlight w:val="none"/>
                <w:lang w:val="en-US" w:eastAsia="zh-CN" w:bidi="ar-SA"/>
              </w:rPr>
              <w:t>重点管理</w:t>
            </w:r>
          </w:p>
        </w:tc>
        <w:tc>
          <w:tcPr>
            <w:tcW w:w="1542" w:type="dxa"/>
            <w:noWrap w:val="0"/>
            <w:vAlign w:val="center"/>
          </w:tcPr>
          <w:p w14:paraId="1006DB6D">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r>
      <w:tr w14:paraId="53007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5" w:type="dxa"/>
            <w:vMerge w:val="continue"/>
            <w:noWrap w:val="0"/>
            <w:vAlign w:val="center"/>
          </w:tcPr>
          <w:p w14:paraId="3735EA0D">
            <w:pPr>
              <w:keepNext w:val="0"/>
              <w:keepLines w:val="0"/>
              <w:pageBreakBefore w:val="0"/>
              <w:widowControl w:val="0"/>
              <w:shd w:val="clear" w:color="auto" w:fill="auto"/>
              <w:kinsoku/>
              <w:wordWrap/>
              <w:overflowPunct/>
              <w:topLinePunct/>
              <w:autoSpaceDE w:val="0"/>
              <w:autoSpaceDN w:val="0"/>
              <w:bidi w:val="0"/>
              <w:adjustRightInd w:val="0"/>
              <w:snapToGrid w:val="0"/>
              <w:spacing w:line="312" w:lineRule="exact"/>
              <w:ind w:left="0" w:leftChars="0" w:right="0" w:rightChars="0" w:firstLine="0" w:firstLineChars="0"/>
              <w:jc w:val="center"/>
              <w:textAlignment w:val="baseline"/>
              <w:rPr>
                <w:rFonts w:hint="eastAsia" w:ascii="宋体" w:hAnsi="宋体" w:eastAsia="宋体" w:cs="宋体"/>
                <w:b w:val="0"/>
                <w:bCs w:val="0"/>
                <w:color w:val="auto"/>
                <w:spacing w:val="7"/>
                <w:sz w:val="21"/>
                <w:szCs w:val="21"/>
                <w:highlight w:val="none"/>
              </w:rPr>
            </w:pPr>
          </w:p>
        </w:tc>
        <w:tc>
          <w:tcPr>
            <w:tcW w:w="5225" w:type="dxa"/>
            <w:noWrap w:val="0"/>
            <w:vAlign w:val="center"/>
          </w:tcPr>
          <w:p w14:paraId="42E43C36">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312" w:lineRule="exact"/>
              <w:ind w:left="0" w:leftChars="0" w:right="0" w:rightChars="0" w:firstLine="420" w:firstLineChars="200"/>
              <w:textAlignment w:val="baseline"/>
              <w:rPr>
                <w:rFonts w:hint="eastAsia" w:ascii="宋体" w:hAnsi="宋体" w:eastAsia="宋体" w:cs="宋体"/>
                <w:b w:val="0"/>
                <w:bCs w:val="0"/>
                <w:color w:val="auto"/>
                <w:spacing w:val="7"/>
                <w:sz w:val="21"/>
                <w:szCs w:val="21"/>
                <w:highlight w:val="none"/>
              </w:rPr>
            </w:pPr>
            <w:r>
              <w:rPr>
                <w:rFonts w:hint="eastAsia" w:ascii="宋体" w:hAnsi="宋体" w:eastAsia="宋体" w:cs="宋体"/>
                <w:color w:val="auto"/>
                <w:kern w:val="2"/>
                <w:sz w:val="21"/>
                <w:szCs w:val="21"/>
                <w:highlight w:val="none"/>
                <w:lang w:val="en-US" w:eastAsia="zh-CN" w:bidi="ar-SA"/>
              </w:rPr>
              <w:t>重点管理（钢铁、石化、化工、电镀、皮革、造纸、冶炼、印染、染料、水泥、煤电、陶瓷、采矿、放射性、危废经营、垃圾焚烧发电、平板玻璃，“两高”项目）</w:t>
            </w:r>
          </w:p>
        </w:tc>
        <w:tc>
          <w:tcPr>
            <w:tcW w:w="1542" w:type="dxa"/>
            <w:noWrap w:val="0"/>
            <w:vAlign w:val="center"/>
          </w:tcPr>
          <w:p w14:paraId="21D79A80">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r>
      <w:tr w14:paraId="7C3A0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5" w:type="dxa"/>
            <w:vMerge w:val="restart"/>
            <w:noWrap w:val="0"/>
            <w:vAlign w:val="center"/>
          </w:tcPr>
          <w:p w14:paraId="29E3A115">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b/>
                <w:bCs/>
                <w:color w:val="auto"/>
                <w:spacing w:val="7"/>
                <w:sz w:val="21"/>
                <w:szCs w:val="21"/>
                <w:highlight w:val="none"/>
                <w:lang w:val="en-US" w:eastAsia="zh-CN"/>
              </w:rPr>
            </w:pPr>
            <w:r>
              <w:rPr>
                <w:rFonts w:hint="eastAsia" w:ascii="宋体" w:hAnsi="宋体" w:cs="宋体"/>
                <w:color w:val="auto"/>
                <w:sz w:val="21"/>
                <w:szCs w:val="21"/>
                <w:highlight w:val="none"/>
                <w:lang w:val="en-US" w:eastAsia="zh-CN"/>
              </w:rPr>
              <w:t>超标或超排放总量倍数</w:t>
            </w:r>
          </w:p>
        </w:tc>
        <w:tc>
          <w:tcPr>
            <w:tcW w:w="5225" w:type="dxa"/>
            <w:noWrap w:val="0"/>
            <w:vAlign w:val="center"/>
          </w:tcPr>
          <w:p w14:paraId="09E8E83C">
            <w:pPr>
              <w:adjustRightInd w:val="0"/>
              <w:ind w:firstLine="420" w:firstLineChars="200"/>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1.废气：</w:t>
            </w:r>
            <w:r>
              <w:rPr>
                <w:rFonts w:hint="eastAsia" w:ascii="宋体" w:hAnsi="宋体" w:eastAsia="宋体" w:cs="宋体"/>
                <w:color w:val="auto"/>
                <w:sz w:val="21"/>
                <w:szCs w:val="21"/>
                <w:highlight w:val="none"/>
              </w:rPr>
              <w:t>一般废气超标不足1倍/有机废气超标不足5倍/火电、钢铁、石化、水泥、炼焦、有色、化工等行业废气超标不足0.5倍/含有毒有害物质的废气超标不足0.1倍/林格曼黑度1级</w:t>
            </w:r>
            <w:r>
              <w:rPr>
                <w:rFonts w:hint="eastAsia" w:ascii="宋体" w:hAnsi="宋体" w:eastAsia="宋体" w:cs="宋体"/>
                <w:color w:val="auto"/>
                <w:sz w:val="21"/>
                <w:szCs w:val="21"/>
                <w:highlight w:val="none"/>
                <w:lang w:eastAsia="zh-CN"/>
              </w:rPr>
              <w:t>；</w:t>
            </w:r>
          </w:p>
          <w:p w14:paraId="281EB2B5">
            <w:pPr>
              <w:adjustRightInd w:val="0"/>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2.废水：一般废水超标不足3倍/医疗废水超标不足1倍/含其他有毒有害物质的废水、含一类污染物、重金属、病原体、放射性物质的废水超标不足0.5倍/pH值9-10或pH值5-6；</w:t>
            </w:r>
          </w:p>
          <w:p w14:paraId="60BE7C38">
            <w:pPr>
              <w:adjustRightInd w:val="0"/>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3.噪声：超标不足5分贝</w:t>
            </w:r>
          </w:p>
          <w:p w14:paraId="01731090">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超排放量不足1倍</w:t>
            </w:r>
          </w:p>
        </w:tc>
        <w:tc>
          <w:tcPr>
            <w:tcW w:w="1542" w:type="dxa"/>
            <w:noWrap w:val="0"/>
            <w:vAlign w:val="center"/>
          </w:tcPr>
          <w:p w14:paraId="77095117">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r>
      <w:tr w14:paraId="09975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5" w:type="dxa"/>
            <w:vMerge w:val="continue"/>
            <w:noWrap w:val="0"/>
            <w:vAlign w:val="center"/>
          </w:tcPr>
          <w:p w14:paraId="48E9D89E">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b/>
                <w:bCs/>
                <w:color w:val="auto"/>
                <w:spacing w:val="7"/>
                <w:sz w:val="21"/>
                <w:szCs w:val="21"/>
                <w:highlight w:val="none"/>
              </w:rPr>
            </w:pPr>
          </w:p>
        </w:tc>
        <w:tc>
          <w:tcPr>
            <w:tcW w:w="5225" w:type="dxa"/>
            <w:noWrap w:val="0"/>
            <w:vAlign w:val="center"/>
          </w:tcPr>
          <w:p w14:paraId="20AAA092">
            <w:pPr>
              <w:adjustRightInd w:val="0"/>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废气：一般废气超标1倍以上，不足3倍/有机废气超标5倍以上，不足10倍/火电、钢铁、石化、水泥、炼焦、有色、化工等行业废气超标0.5倍以上，不足1倍/含有毒有害物质的废气超标0.1倍以上，不足0.5倍/林格曼黑度2级</w:t>
            </w:r>
          </w:p>
          <w:p w14:paraId="76ED6F37">
            <w:pPr>
              <w:adjustRightInd w:val="0"/>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2.废水：一般废水超标3倍以上，不足5倍/医疗废水超标1倍以上，不足3倍/含其他有毒有害物质的废水、含一类污染物、重金属、病原体、放射性物质的废水超标0.5倍以上，不足1倍/pH值10-11或pH值4-5</w:t>
            </w:r>
          </w:p>
          <w:p w14:paraId="4480DB66">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3.超排放量</w:t>
            </w:r>
            <w:r>
              <w:rPr>
                <w:rFonts w:hint="eastAsia" w:ascii="宋体" w:hAnsi="宋体" w:eastAsia="宋体" w:cs="宋体"/>
                <w:color w:val="auto"/>
                <w:sz w:val="21"/>
                <w:szCs w:val="21"/>
                <w:highlight w:val="none"/>
              </w:rPr>
              <w:t>1倍以上，不足3倍</w:t>
            </w:r>
          </w:p>
        </w:tc>
        <w:tc>
          <w:tcPr>
            <w:tcW w:w="1542" w:type="dxa"/>
            <w:noWrap w:val="0"/>
            <w:vAlign w:val="center"/>
          </w:tcPr>
          <w:p w14:paraId="604EA68F">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r>
      <w:tr w14:paraId="35D73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5" w:type="dxa"/>
            <w:vMerge w:val="continue"/>
            <w:noWrap w:val="0"/>
            <w:vAlign w:val="center"/>
          </w:tcPr>
          <w:p w14:paraId="67DD7912">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b/>
                <w:bCs/>
                <w:color w:val="auto"/>
                <w:spacing w:val="7"/>
                <w:sz w:val="21"/>
                <w:szCs w:val="21"/>
                <w:highlight w:val="none"/>
              </w:rPr>
            </w:pPr>
          </w:p>
        </w:tc>
        <w:tc>
          <w:tcPr>
            <w:tcW w:w="5225" w:type="dxa"/>
            <w:noWrap w:val="0"/>
            <w:vAlign w:val="center"/>
          </w:tcPr>
          <w:p w14:paraId="5ED43E06">
            <w:pPr>
              <w:adjustRightInd w:val="0"/>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废气：一般废气超标3倍以上，不足5倍/有机废气超标10倍以上，不足30倍/火电、钢铁、石化、水泥、炼焦、有色、化工等行业废气超标1倍以上，不足3倍/含有毒有害物质的废气超标0.5倍以上，不足1倍/林格曼黑度3级</w:t>
            </w:r>
          </w:p>
          <w:p w14:paraId="434A14B3">
            <w:pPr>
              <w:adjustRightInd w:val="0"/>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2.废水：一般废水超标5倍以上，不足30倍/医疗废水超标3倍以上，不足5倍/含其他有毒有害物质的废水、含一类污染物、重金属、病原体、放射性物质的废水超标1倍以上，不足2倍/pH值11-12.5或pH值2-4</w:t>
            </w:r>
          </w:p>
          <w:p w14:paraId="75FF23F2">
            <w:pPr>
              <w:adjustRightInd w:val="0"/>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3.噪声：超标5分贝以上不足10分贝</w:t>
            </w:r>
          </w:p>
          <w:p w14:paraId="0A58FD57">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4.超排放量3倍以上，不足5倍</w:t>
            </w:r>
          </w:p>
        </w:tc>
        <w:tc>
          <w:tcPr>
            <w:tcW w:w="1542" w:type="dxa"/>
            <w:noWrap w:val="0"/>
            <w:vAlign w:val="center"/>
          </w:tcPr>
          <w:p w14:paraId="4776F531">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r>
      <w:tr w14:paraId="53128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5" w:type="dxa"/>
            <w:vMerge w:val="continue"/>
            <w:noWrap w:val="0"/>
            <w:vAlign w:val="center"/>
          </w:tcPr>
          <w:p w14:paraId="3868FBFF">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b/>
                <w:bCs/>
                <w:color w:val="auto"/>
                <w:spacing w:val="7"/>
                <w:sz w:val="21"/>
                <w:szCs w:val="21"/>
                <w:highlight w:val="none"/>
              </w:rPr>
            </w:pPr>
          </w:p>
        </w:tc>
        <w:tc>
          <w:tcPr>
            <w:tcW w:w="5225" w:type="dxa"/>
            <w:noWrap w:val="0"/>
            <w:vAlign w:val="center"/>
          </w:tcPr>
          <w:p w14:paraId="32C20177">
            <w:pPr>
              <w:adjustRightInd w:val="0"/>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废气：一般废气超标5倍以上，不足10倍/有机废气超标30倍以上，不足50倍/火电、钢铁、石化、水泥、炼焦、有色、化工等行业废气超标3倍以上，不足5倍/含有毒有害物质的废气超标1倍以上，不足3倍/林格曼黑度4级</w:t>
            </w:r>
          </w:p>
          <w:p w14:paraId="071ADB2F">
            <w:pPr>
              <w:adjustRightInd w:val="0"/>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2.废水：一般废水超标30倍以上，不足100倍/医疗废水超标5倍以上，不足10倍/含其他有毒有害物质的废水、含一类污染物、重金属、病原体、放射性物质的废水超标2倍以上，不足3倍</w:t>
            </w:r>
          </w:p>
          <w:p w14:paraId="4D161F6D">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3.超排放量5倍以上，不足10倍</w:t>
            </w:r>
          </w:p>
        </w:tc>
        <w:tc>
          <w:tcPr>
            <w:tcW w:w="1542" w:type="dxa"/>
            <w:noWrap w:val="0"/>
            <w:vAlign w:val="center"/>
          </w:tcPr>
          <w:p w14:paraId="64345EF0">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r>
      <w:tr w14:paraId="125AA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5" w:type="dxa"/>
            <w:vMerge w:val="continue"/>
            <w:noWrap w:val="0"/>
            <w:vAlign w:val="center"/>
          </w:tcPr>
          <w:p w14:paraId="1302EBE1">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b/>
                <w:bCs/>
                <w:color w:val="auto"/>
                <w:spacing w:val="7"/>
                <w:sz w:val="21"/>
                <w:szCs w:val="21"/>
                <w:highlight w:val="none"/>
              </w:rPr>
            </w:pPr>
          </w:p>
        </w:tc>
        <w:tc>
          <w:tcPr>
            <w:tcW w:w="5225" w:type="dxa"/>
            <w:noWrap w:val="0"/>
            <w:vAlign w:val="center"/>
          </w:tcPr>
          <w:p w14:paraId="559AC806">
            <w:pPr>
              <w:adjustRightInd w:val="0"/>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1.废气：一般废气超标10倍以上/有机废气超标50倍以上/火电、钢铁、石化、水泥、炼焦、有色、化工等行业废气超标5倍以上/含有毒有害物质的废气超标3倍以上/林格曼黑度5级</w:t>
            </w:r>
          </w:p>
          <w:p w14:paraId="5A713FA5">
            <w:pPr>
              <w:adjustRightInd w:val="0"/>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2.废水：一般废水超标100倍以上/医疗废水超标10倍以上/含其他有毒有害物质的废水、含一类污染物、重金属、病原体、放射性物质的废水超标3倍以上/pH值12.5以上或pH值不足2</w:t>
            </w:r>
          </w:p>
          <w:p w14:paraId="353BC749">
            <w:pPr>
              <w:adjustRightInd w:val="0"/>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3.超标10分贝以上</w:t>
            </w:r>
          </w:p>
          <w:p w14:paraId="50B4C47A">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4.超排放量10倍以上</w:t>
            </w:r>
          </w:p>
        </w:tc>
        <w:tc>
          <w:tcPr>
            <w:tcW w:w="1542" w:type="dxa"/>
            <w:noWrap w:val="0"/>
            <w:vAlign w:val="center"/>
          </w:tcPr>
          <w:p w14:paraId="588ADEE3">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r>
      <w:tr w14:paraId="38EE6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5" w:type="dxa"/>
            <w:vMerge w:val="restart"/>
            <w:noWrap w:val="0"/>
            <w:vAlign w:val="center"/>
          </w:tcPr>
          <w:p w14:paraId="546510DE">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超标或超排</w:t>
            </w:r>
          </w:p>
          <w:p w14:paraId="769F3F8D">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放总量因子</w:t>
            </w:r>
          </w:p>
          <w:p w14:paraId="7AA7DC34">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b/>
                <w:bCs/>
                <w:color w:val="auto"/>
                <w:spacing w:val="7"/>
                <w:sz w:val="21"/>
                <w:szCs w:val="21"/>
                <w:highlight w:val="none"/>
              </w:rPr>
            </w:pPr>
            <w:r>
              <w:rPr>
                <w:rFonts w:hint="eastAsia" w:ascii="宋体" w:hAnsi="宋体" w:eastAsia="宋体" w:cs="宋体"/>
                <w:color w:val="auto"/>
                <w:sz w:val="21"/>
                <w:szCs w:val="21"/>
                <w:highlight w:val="none"/>
              </w:rPr>
              <w:t>个数</w:t>
            </w:r>
          </w:p>
        </w:tc>
        <w:tc>
          <w:tcPr>
            <w:tcW w:w="5225" w:type="dxa"/>
            <w:noWrap w:val="0"/>
            <w:vAlign w:val="center"/>
          </w:tcPr>
          <w:p w14:paraId="08BD6401">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个</w:t>
            </w:r>
          </w:p>
        </w:tc>
        <w:tc>
          <w:tcPr>
            <w:tcW w:w="1542" w:type="dxa"/>
            <w:noWrap w:val="0"/>
            <w:vAlign w:val="center"/>
          </w:tcPr>
          <w:p w14:paraId="77F114FE">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r>
      <w:tr w14:paraId="202D3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5" w:type="dxa"/>
            <w:vMerge w:val="continue"/>
            <w:noWrap w:val="0"/>
            <w:vAlign w:val="center"/>
          </w:tcPr>
          <w:p w14:paraId="2787ADBF">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b/>
                <w:bCs/>
                <w:color w:val="auto"/>
                <w:spacing w:val="7"/>
                <w:sz w:val="21"/>
                <w:szCs w:val="21"/>
                <w:highlight w:val="none"/>
              </w:rPr>
            </w:pPr>
          </w:p>
        </w:tc>
        <w:tc>
          <w:tcPr>
            <w:tcW w:w="5225" w:type="dxa"/>
            <w:noWrap w:val="0"/>
            <w:vAlign w:val="center"/>
          </w:tcPr>
          <w:p w14:paraId="056365F3">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个</w:t>
            </w:r>
            <w:r>
              <w:rPr>
                <w:rFonts w:hint="eastAsia" w:ascii="宋体" w:hAnsi="宋体" w:eastAsia="宋体" w:cs="宋体"/>
                <w:color w:val="auto"/>
                <w:sz w:val="21"/>
                <w:szCs w:val="21"/>
                <w:highlight w:val="none"/>
              </w:rPr>
              <w:t>以上不足5</w:t>
            </w:r>
            <w:r>
              <w:rPr>
                <w:rFonts w:hint="eastAsia" w:ascii="宋体" w:hAnsi="宋体" w:eastAsia="宋体" w:cs="宋体"/>
                <w:color w:val="auto"/>
                <w:sz w:val="21"/>
                <w:szCs w:val="21"/>
                <w:highlight w:val="none"/>
                <w:lang w:val="en-US" w:eastAsia="zh-CN"/>
              </w:rPr>
              <w:t>个</w:t>
            </w:r>
          </w:p>
        </w:tc>
        <w:tc>
          <w:tcPr>
            <w:tcW w:w="1542" w:type="dxa"/>
            <w:noWrap w:val="0"/>
            <w:vAlign w:val="center"/>
          </w:tcPr>
          <w:p w14:paraId="23960A77">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r>
      <w:tr w14:paraId="10C94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5" w:type="dxa"/>
            <w:vMerge w:val="continue"/>
            <w:noWrap w:val="0"/>
            <w:vAlign w:val="center"/>
          </w:tcPr>
          <w:p w14:paraId="510BEC3B">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b/>
                <w:bCs/>
                <w:color w:val="auto"/>
                <w:spacing w:val="7"/>
                <w:sz w:val="21"/>
                <w:szCs w:val="21"/>
                <w:highlight w:val="none"/>
              </w:rPr>
            </w:pPr>
          </w:p>
        </w:tc>
        <w:tc>
          <w:tcPr>
            <w:tcW w:w="5225" w:type="dxa"/>
            <w:noWrap w:val="0"/>
            <w:vAlign w:val="center"/>
          </w:tcPr>
          <w:p w14:paraId="445040C9">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5</w:t>
            </w:r>
            <w:r>
              <w:rPr>
                <w:rFonts w:hint="eastAsia" w:ascii="宋体" w:hAnsi="宋体" w:eastAsia="宋体" w:cs="宋体"/>
                <w:color w:val="auto"/>
                <w:sz w:val="21"/>
                <w:szCs w:val="21"/>
                <w:highlight w:val="none"/>
                <w:lang w:val="en-US" w:eastAsia="zh-CN"/>
              </w:rPr>
              <w:t>个</w:t>
            </w:r>
            <w:r>
              <w:rPr>
                <w:rFonts w:hint="eastAsia" w:ascii="宋体" w:hAnsi="宋体" w:eastAsia="宋体" w:cs="宋体"/>
                <w:color w:val="auto"/>
                <w:sz w:val="21"/>
                <w:szCs w:val="21"/>
                <w:highlight w:val="none"/>
              </w:rPr>
              <w:t>以上不足</w:t>
            </w:r>
            <w:r>
              <w:rPr>
                <w:rFonts w:hint="eastAsia" w:ascii="宋体" w:hAnsi="宋体" w:eastAsia="宋体" w:cs="宋体"/>
                <w:color w:val="auto"/>
                <w:sz w:val="21"/>
                <w:szCs w:val="21"/>
                <w:highlight w:val="none"/>
                <w:lang w:val="en-US" w:eastAsia="zh-CN"/>
              </w:rPr>
              <w:t>10个</w:t>
            </w:r>
          </w:p>
        </w:tc>
        <w:tc>
          <w:tcPr>
            <w:tcW w:w="1542" w:type="dxa"/>
            <w:noWrap w:val="0"/>
            <w:vAlign w:val="center"/>
          </w:tcPr>
          <w:p w14:paraId="3A7E32A2">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r>
      <w:tr w14:paraId="5FA35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5" w:type="dxa"/>
            <w:vMerge w:val="continue"/>
            <w:noWrap w:val="0"/>
            <w:vAlign w:val="center"/>
          </w:tcPr>
          <w:p w14:paraId="441CC97B">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b/>
                <w:bCs/>
                <w:color w:val="auto"/>
                <w:spacing w:val="7"/>
                <w:sz w:val="21"/>
                <w:szCs w:val="21"/>
                <w:highlight w:val="none"/>
              </w:rPr>
            </w:pPr>
          </w:p>
        </w:tc>
        <w:tc>
          <w:tcPr>
            <w:tcW w:w="5225" w:type="dxa"/>
            <w:noWrap w:val="0"/>
            <w:vAlign w:val="center"/>
          </w:tcPr>
          <w:p w14:paraId="157239A1">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10个</w:t>
            </w:r>
            <w:r>
              <w:rPr>
                <w:rFonts w:hint="eastAsia" w:ascii="宋体" w:hAnsi="宋体" w:eastAsia="宋体" w:cs="宋体"/>
                <w:color w:val="auto"/>
                <w:sz w:val="21"/>
                <w:szCs w:val="21"/>
                <w:highlight w:val="none"/>
              </w:rPr>
              <w:t>以上</w:t>
            </w:r>
          </w:p>
        </w:tc>
        <w:tc>
          <w:tcPr>
            <w:tcW w:w="1542" w:type="dxa"/>
            <w:noWrap w:val="0"/>
            <w:vAlign w:val="center"/>
          </w:tcPr>
          <w:p w14:paraId="15D26286">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r>
      <w:tr w14:paraId="02096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5" w:type="dxa"/>
            <w:vMerge w:val="restart"/>
            <w:noWrap w:val="0"/>
            <w:vAlign w:val="center"/>
          </w:tcPr>
          <w:p w14:paraId="579ABF0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排放去向或</w:t>
            </w:r>
          </w:p>
          <w:p w14:paraId="31968F47">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区域</w:t>
            </w:r>
          </w:p>
        </w:tc>
        <w:tc>
          <w:tcPr>
            <w:tcW w:w="5225" w:type="dxa"/>
            <w:noWrap w:val="0"/>
            <w:vAlign w:val="top"/>
          </w:tcPr>
          <w:p w14:paraId="45267661">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二类环境空气功能区</w:t>
            </w:r>
            <w:r>
              <w:rPr>
                <w:rFonts w:hint="eastAsia" w:ascii="宋体" w:hAnsi="宋体" w:eastAsia="宋体" w:cs="宋体"/>
                <w:color w:val="auto"/>
                <w:sz w:val="21"/>
                <w:szCs w:val="21"/>
                <w:highlight w:val="none"/>
              </w:rPr>
              <w:t>（工业区和农村地区）</w:t>
            </w:r>
            <w:r>
              <w:rPr>
                <w:rFonts w:hint="eastAsia" w:ascii="宋体" w:hAnsi="宋体" w:cs="宋体"/>
                <w:color w:val="auto"/>
                <w:sz w:val="21"/>
                <w:szCs w:val="21"/>
                <w:highlight w:val="none"/>
                <w:lang w:val="en-US" w:eastAsia="zh-CN"/>
              </w:rPr>
              <w:t>/V类水体（或者污水集中处理设施）/</w:t>
            </w:r>
            <w:r>
              <w:rPr>
                <w:rFonts w:hint="eastAsia" w:ascii="宋体" w:hAnsi="宋体" w:eastAsia="宋体" w:cs="宋体"/>
                <w:color w:val="auto"/>
                <w:sz w:val="21"/>
                <w:szCs w:val="21"/>
                <w:highlight w:val="none"/>
              </w:rPr>
              <w:t>4类声环境功能区</w:t>
            </w:r>
            <w:r>
              <w:rPr>
                <w:rFonts w:hint="eastAsia" w:ascii="宋体" w:hAnsi="宋体" w:eastAsia="宋体" w:cs="宋体"/>
                <w:color w:val="auto"/>
                <w:sz w:val="21"/>
                <w:szCs w:val="21"/>
                <w:highlight w:val="none"/>
                <w:lang w:val="en-US" w:eastAsia="zh-CN"/>
              </w:rPr>
              <w:t>/第四类海水水质的区域</w:t>
            </w:r>
          </w:p>
        </w:tc>
        <w:tc>
          <w:tcPr>
            <w:tcW w:w="1542" w:type="dxa"/>
            <w:noWrap w:val="0"/>
            <w:vAlign w:val="center"/>
          </w:tcPr>
          <w:p w14:paraId="60A49FE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7C3D6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5" w:type="dxa"/>
            <w:vMerge w:val="continue"/>
            <w:noWrap w:val="0"/>
            <w:vAlign w:val="center"/>
          </w:tcPr>
          <w:p w14:paraId="138A5B9F">
            <w:pPr>
              <w:jc w:val="center"/>
              <w:rPr>
                <w:rFonts w:hint="eastAsia" w:ascii="宋体" w:hAnsi="宋体" w:eastAsia="宋体" w:cs="宋体"/>
                <w:color w:val="auto"/>
                <w:sz w:val="21"/>
                <w:szCs w:val="21"/>
                <w:highlight w:val="none"/>
                <w:lang w:val="en-US" w:eastAsia="zh-CN"/>
              </w:rPr>
            </w:pPr>
          </w:p>
        </w:tc>
        <w:tc>
          <w:tcPr>
            <w:tcW w:w="5225" w:type="dxa"/>
            <w:noWrap w:val="0"/>
            <w:vAlign w:val="top"/>
          </w:tcPr>
          <w:p w14:paraId="0AD80451">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Ⅳ类</w:t>
            </w:r>
            <w:r>
              <w:rPr>
                <w:rFonts w:hint="eastAsia" w:ascii="宋体" w:hAnsi="宋体" w:eastAsia="宋体" w:cs="宋体"/>
                <w:color w:val="auto"/>
                <w:sz w:val="21"/>
                <w:szCs w:val="21"/>
                <w:highlight w:val="none"/>
              </w:rPr>
              <w:t>水体</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3类声环境功能区</w:t>
            </w:r>
            <w:r>
              <w:rPr>
                <w:rFonts w:hint="eastAsia" w:ascii="宋体" w:hAnsi="宋体" w:eastAsia="宋体" w:cs="宋体"/>
                <w:color w:val="auto"/>
                <w:sz w:val="21"/>
                <w:szCs w:val="21"/>
                <w:highlight w:val="none"/>
                <w:lang w:val="en-US" w:eastAsia="zh-CN"/>
              </w:rPr>
              <w:t>/第三类海水水质的区域</w:t>
            </w:r>
          </w:p>
        </w:tc>
        <w:tc>
          <w:tcPr>
            <w:tcW w:w="1542" w:type="dxa"/>
            <w:noWrap w:val="0"/>
            <w:vAlign w:val="center"/>
          </w:tcPr>
          <w:p w14:paraId="6831123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p>
        </w:tc>
      </w:tr>
      <w:tr w14:paraId="41E3A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5" w:type="dxa"/>
            <w:vMerge w:val="continue"/>
            <w:noWrap w:val="0"/>
            <w:vAlign w:val="center"/>
          </w:tcPr>
          <w:p w14:paraId="068EEBBA">
            <w:pPr>
              <w:jc w:val="center"/>
              <w:rPr>
                <w:rFonts w:hint="eastAsia" w:ascii="宋体" w:hAnsi="宋体" w:eastAsia="宋体" w:cs="宋体"/>
                <w:color w:val="auto"/>
                <w:sz w:val="21"/>
                <w:szCs w:val="21"/>
                <w:highlight w:val="none"/>
                <w:lang w:val="en-US" w:eastAsia="zh-CN"/>
              </w:rPr>
            </w:pPr>
          </w:p>
        </w:tc>
        <w:tc>
          <w:tcPr>
            <w:tcW w:w="5225" w:type="dxa"/>
            <w:noWrap w:val="0"/>
            <w:vAlign w:val="top"/>
          </w:tcPr>
          <w:p w14:paraId="3D77E5AC">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二类环境空气功能区</w:t>
            </w:r>
            <w:r>
              <w:rPr>
                <w:rFonts w:hint="eastAsia" w:ascii="宋体" w:hAnsi="宋体" w:eastAsia="宋体" w:cs="宋体"/>
                <w:color w:val="auto"/>
                <w:sz w:val="21"/>
                <w:szCs w:val="21"/>
                <w:highlight w:val="none"/>
                <w:lang w:eastAsia="zh-CN"/>
              </w:rPr>
              <w:t>（居民区、商业交通居民混合区、文化区）/</w:t>
            </w:r>
            <w:r>
              <w:rPr>
                <w:rFonts w:hint="eastAsia" w:ascii="宋体" w:hAnsi="宋体" w:cs="宋体"/>
                <w:color w:val="auto"/>
                <w:sz w:val="21"/>
                <w:szCs w:val="21"/>
                <w:highlight w:val="none"/>
                <w:lang w:eastAsia="zh-CN"/>
              </w:rPr>
              <w:t>Ⅲ类</w:t>
            </w:r>
            <w:r>
              <w:rPr>
                <w:rFonts w:hint="eastAsia" w:ascii="宋体" w:hAnsi="宋体" w:eastAsia="宋体" w:cs="宋体"/>
                <w:color w:val="auto"/>
                <w:sz w:val="21"/>
                <w:szCs w:val="21"/>
                <w:highlight w:val="none"/>
                <w:lang w:eastAsia="zh-CN"/>
              </w:rPr>
              <w:t>水体/2类声环境功能区/饮用水水源准保护区/自然保护地外的生态保护红线区域</w:t>
            </w:r>
          </w:p>
        </w:tc>
        <w:tc>
          <w:tcPr>
            <w:tcW w:w="1542" w:type="dxa"/>
            <w:noWrap w:val="0"/>
            <w:vAlign w:val="center"/>
          </w:tcPr>
          <w:p w14:paraId="48C3846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6D303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5" w:type="dxa"/>
            <w:vMerge w:val="continue"/>
            <w:noWrap w:val="0"/>
            <w:vAlign w:val="center"/>
          </w:tcPr>
          <w:p w14:paraId="20C42D80">
            <w:pPr>
              <w:jc w:val="center"/>
              <w:rPr>
                <w:rFonts w:hint="eastAsia" w:ascii="宋体" w:hAnsi="宋体" w:eastAsia="宋体" w:cs="宋体"/>
                <w:color w:val="auto"/>
                <w:sz w:val="21"/>
                <w:szCs w:val="21"/>
                <w:highlight w:val="none"/>
                <w:lang w:val="en-US" w:eastAsia="zh-CN"/>
              </w:rPr>
            </w:pPr>
          </w:p>
        </w:tc>
        <w:tc>
          <w:tcPr>
            <w:tcW w:w="5225" w:type="dxa"/>
            <w:noWrap w:val="0"/>
            <w:vAlign w:val="top"/>
          </w:tcPr>
          <w:p w14:paraId="66A10D78">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Ⅱ类</w:t>
            </w:r>
            <w:r>
              <w:rPr>
                <w:rFonts w:hint="eastAsia" w:ascii="宋体" w:hAnsi="宋体" w:eastAsia="宋体" w:cs="宋体"/>
                <w:color w:val="auto"/>
                <w:sz w:val="21"/>
                <w:szCs w:val="21"/>
                <w:highlight w:val="none"/>
              </w:rPr>
              <w:t>水体</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1类声环境功能区／自然保护地一般控制区</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饮用水水源二级保护区</w:t>
            </w:r>
            <w:r>
              <w:rPr>
                <w:rFonts w:hint="eastAsia" w:ascii="宋体" w:hAnsi="宋体" w:eastAsia="宋体" w:cs="宋体"/>
                <w:color w:val="auto"/>
                <w:sz w:val="21"/>
                <w:szCs w:val="21"/>
                <w:highlight w:val="none"/>
                <w:lang w:val="en-US" w:eastAsia="zh-CN"/>
              </w:rPr>
              <w:t>/第二类海水水质的区域</w:t>
            </w:r>
          </w:p>
        </w:tc>
        <w:tc>
          <w:tcPr>
            <w:tcW w:w="1542" w:type="dxa"/>
            <w:noWrap w:val="0"/>
            <w:vAlign w:val="center"/>
          </w:tcPr>
          <w:p w14:paraId="1853127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p>
        </w:tc>
      </w:tr>
      <w:tr w14:paraId="4DFC4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5" w:type="dxa"/>
            <w:vMerge w:val="continue"/>
            <w:noWrap w:val="0"/>
            <w:vAlign w:val="center"/>
          </w:tcPr>
          <w:p w14:paraId="2B702FAA">
            <w:pPr>
              <w:jc w:val="center"/>
              <w:rPr>
                <w:rFonts w:hint="eastAsia" w:ascii="宋体" w:hAnsi="宋体" w:eastAsia="宋体" w:cs="宋体"/>
                <w:color w:val="auto"/>
                <w:sz w:val="21"/>
                <w:szCs w:val="21"/>
                <w:highlight w:val="none"/>
                <w:lang w:val="en-US" w:eastAsia="zh-CN"/>
              </w:rPr>
            </w:pPr>
          </w:p>
        </w:tc>
        <w:tc>
          <w:tcPr>
            <w:tcW w:w="5225" w:type="dxa"/>
            <w:noWrap w:val="0"/>
            <w:vAlign w:val="top"/>
          </w:tcPr>
          <w:p w14:paraId="0DE76808">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一类环境空气功能区</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I类水体</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0类声环境功能区／自然保护地核心保护区</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饮用水水源一级保护区</w:t>
            </w:r>
            <w:r>
              <w:rPr>
                <w:rFonts w:hint="eastAsia" w:ascii="宋体" w:hAnsi="宋体" w:eastAsia="宋体" w:cs="宋体"/>
                <w:color w:val="auto"/>
                <w:sz w:val="21"/>
                <w:szCs w:val="21"/>
                <w:highlight w:val="none"/>
                <w:lang w:val="en-US" w:eastAsia="zh-CN"/>
              </w:rPr>
              <w:t>/第一类海水水质的区域</w:t>
            </w:r>
          </w:p>
        </w:tc>
        <w:tc>
          <w:tcPr>
            <w:tcW w:w="1542" w:type="dxa"/>
            <w:noWrap w:val="0"/>
            <w:vAlign w:val="center"/>
          </w:tcPr>
          <w:p w14:paraId="383E088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1E20D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5" w:type="dxa"/>
            <w:vMerge w:val="restart"/>
            <w:noWrap w:val="0"/>
            <w:vAlign w:val="center"/>
          </w:tcPr>
          <w:p w14:paraId="1C16E311">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污染物</w:t>
            </w:r>
            <w:r>
              <w:rPr>
                <w:rFonts w:hint="eastAsia" w:ascii="宋体" w:hAnsi="宋体" w:eastAsia="宋体" w:cs="宋体"/>
                <w:color w:val="auto"/>
                <w:sz w:val="21"/>
                <w:szCs w:val="21"/>
                <w:highlight w:val="none"/>
              </w:rPr>
              <w:t>类别</w:t>
            </w:r>
          </w:p>
        </w:tc>
        <w:tc>
          <w:tcPr>
            <w:tcW w:w="5225" w:type="dxa"/>
            <w:noWrap w:val="0"/>
            <w:vAlign w:val="top"/>
          </w:tcPr>
          <w:p w14:paraId="0603B7D5">
            <w:pPr>
              <w:adjustRightInd w:val="0"/>
              <w:ind w:firstLine="420" w:firstLineChars="200"/>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一般废气、废水、固体废物、噪声、畜禽养殖废水</w:t>
            </w:r>
          </w:p>
        </w:tc>
        <w:tc>
          <w:tcPr>
            <w:tcW w:w="1542" w:type="dxa"/>
            <w:noWrap w:val="0"/>
            <w:vAlign w:val="center"/>
          </w:tcPr>
          <w:p w14:paraId="51F1C88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76E72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5" w:type="dxa"/>
            <w:vMerge w:val="continue"/>
            <w:noWrap w:val="0"/>
            <w:vAlign w:val="center"/>
          </w:tcPr>
          <w:p w14:paraId="03182E4A">
            <w:pPr>
              <w:jc w:val="center"/>
              <w:rPr>
                <w:rFonts w:hint="eastAsia" w:ascii="宋体" w:hAnsi="宋体" w:eastAsia="宋体" w:cs="宋体"/>
                <w:color w:val="auto"/>
                <w:sz w:val="21"/>
                <w:szCs w:val="21"/>
                <w:highlight w:val="none"/>
                <w:lang w:val="en-US" w:eastAsia="zh-CN"/>
              </w:rPr>
            </w:pPr>
          </w:p>
        </w:tc>
        <w:tc>
          <w:tcPr>
            <w:tcW w:w="5225" w:type="dxa"/>
            <w:noWrap w:val="0"/>
            <w:vAlign w:val="top"/>
          </w:tcPr>
          <w:p w14:paraId="6B27391D">
            <w:pPr>
              <w:adjustRightInd w:val="0"/>
              <w:ind w:firstLine="420" w:firstLineChars="200"/>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火电、钢铁、石化、水泥、炼焦、有色、化工废气/医疗废水</w:t>
            </w:r>
          </w:p>
        </w:tc>
        <w:tc>
          <w:tcPr>
            <w:tcW w:w="1542" w:type="dxa"/>
            <w:noWrap w:val="0"/>
            <w:vAlign w:val="center"/>
          </w:tcPr>
          <w:p w14:paraId="211016D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p>
        </w:tc>
      </w:tr>
      <w:tr w14:paraId="78388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5" w:type="dxa"/>
            <w:vMerge w:val="continue"/>
            <w:noWrap w:val="0"/>
            <w:vAlign w:val="center"/>
          </w:tcPr>
          <w:p w14:paraId="54B48CCC">
            <w:pPr>
              <w:jc w:val="center"/>
              <w:rPr>
                <w:rFonts w:hint="eastAsia" w:ascii="宋体" w:hAnsi="宋体" w:eastAsia="宋体" w:cs="宋体"/>
                <w:color w:val="auto"/>
                <w:sz w:val="21"/>
                <w:szCs w:val="21"/>
                <w:highlight w:val="none"/>
                <w:lang w:val="en-US" w:eastAsia="zh-CN"/>
              </w:rPr>
            </w:pPr>
          </w:p>
        </w:tc>
        <w:tc>
          <w:tcPr>
            <w:tcW w:w="5225" w:type="dxa"/>
            <w:noWrap w:val="0"/>
            <w:vAlign w:val="top"/>
          </w:tcPr>
          <w:p w14:paraId="301BEC65">
            <w:pPr>
              <w:adjustRightInd w:val="0"/>
              <w:ind w:firstLine="420" w:firstLineChars="200"/>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含有毒有害物质的废气、废水／含一类污染物或重金属、病原体、放射性物质的废水／危险废物</w:t>
            </w:r>
          </w:p>
        </w:tc>
        <w:tc>
          <w:tcPr>
            <w:tcW w:w="1542" w:type="dxa"/>
            <w:noWrap w:val="0"/>
            <w:vAlign w:val="center"/>
          </w:tcPr>
          <w:p w14:paraId="59E4EA1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p>
        </w:tc>
      </w:tr>
      <w:tr w14:paraId="1EE59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5" w:type="dxa"/>
            <w:noWrap w:val="0"/>
            <w:vAlign w:val="center"/>
          </w:tcPr>
          <w:p w14:paraId="252A27F3">
            <w:pPr>
              <w:keepNext w:val="0"/>
              <w:keepLines w:val="0"/>
              <w:pageBreakBefore w:val="0"/>
              <w:widowControl w:val="0"/>
              <w:shd w:val="clear" w:color="auto" w:fill="auto"/>
              <w:kinsoku/>
              <w:wordWrap/>
              <w:overflowPunct/>
              <w:topLinePunct w:val="0"/>
              <w:autoSpaceDE w:val="0"/>
              <w:autoSpaceDN w:val="0"/>
              <w:bidi w:val="0"/>
              <w:adjustRightInd w:val="0"/>
              <w:snapToGrid w:val="0"/>
              <w:spacing w:line="310" w:lineRule="atLeast"/>
              <w:ind w:left="0" w:leftChars="0" w:right="0" w:rightChars="0" w:firstLine="0" w:firstLineChars="0"/>
              <w:jc w:val="center"/>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备注</w:t>
            </w:r>
          </w:p>
        </w:tc>
        <w:tc>
          <w:tcPr>
            <w:tcW w:w="6767" w:type="dxa"/>
            <w:gridSpan w:val="2"/>
            <w:noWrap w:val="0"/>
            <w:vAlign w:val="center"/>
          </w:tcPr>
          <w:p w14:paraId="611D85EA">
            <w:pPr>
              <w:keepNext w:val="0"/>
              <w:keepLines w:val="0"/>
              <w:pageBreakBefore w:val="0"/>
              <w:widowControl w:val="0"/>
              <w:shd w:val="clear" w:color="auto" w:fill="auto"/>
              <w:kinsoku/>
              <w:wordWrap/>
              <w:overflowPunct/>
              <w:topLinePunct w:val="0"/>
              <w:autoSpaceDE w:val="0"/>
              <w:autoSpaceDN w:val="0"/>
              <w:bidi w:val="0"/>
              <w:adjustRightInd w:val="0"/>
              <w:snapToGrid w:val="0"/>
              <w:spacing w:line="310" w:lineRule="atLeast"/>
              <w:ind w:left="0" w:leftChars="0" w:right="0" w:rightChars="0" w:firstLine="420" w:firstLineChars="200"/>
              <w:jc w:val="both"/>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同时存在2个以上超标因子时，</w:t>
            </w:r>
            <w:r>
              <w:rPr>
                <w:rFonts w:hint="eastAsia" w:ascii="宋体" w:hAnsi="宋体" w:cs="宋体"/>
                <w:color w:val="auto"/>
                <w:sz w:val="21"/>
                <w:szCs w:val="21"/>
                <w:highlight w:val="none"/>
                <w:lang w:eastAsia="zh-CN"/>
              </w:rPr>
              <w:t>裁量</w:t>
            </w:r>
            <w:r>
              <w:rPr>
                <w:rFonts w:hint="eastAsia" w:ascii="宋体" w:hAnsi="宋体" w:eastAsia="宋体" w:cs="宋体"/>
                <w:color w:val="auto"/>
                <w:sz w:val="21"/>
                <w:szCs w:val="21"/>
                <w:highlight w:val="none"/>
              </w:rPr>
              <w:t>标准以裁量等级最高为准</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涉及多种污染物类别时，</w:t>
            </w:r>
            <w:r>
              <w:rPr>
                <w:rFonts w:hint="eastAsia" w:ascii="宋体" w:hAnsi="宋体" w:cs="宋体"/>
                <w:color w:val="auto"/>
                <w:sz w:val="21"/>
                <w:szCs w:val="21"/>
                <w:highlight w:val="none"/>
                <w:lang w:eastAsia="zh-CN"/>
              </w:rPr>
              <w:t>裁量</w:t>
            </w:r>
            <w:r>
              <w:rPr>
                <w:rFonts w:hint="eastAsia" w:ascii="宋体" w:hAnsi="宋体" w:eastAsia="宋体" w:cs="宋体"/>
                <w:color w:val="auto"/>
                <w:sz w:val="21"/>
                <w:szCs w:val="21"/>
                <w:highlight w:val="none"/>
              </w:rPr>
              <w:t>标准以裁量等级最高为准</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同时涉及超</w:t>
            </w:r>
            <w:r>
              <w:rPr>
                <w:rFonts w:hint="eastAsia" w:ascii="宋体" w:hAnsi="宋体" w:eastAsia="宋体" w:cs="宋体"/>
                <w:color w:val="auto"/>
                <w:sz w:val="21"/>
                <w:szCs w:val="21"/>
                <w:highlight w:val="none"/>
              </w:rPr>
              <w:t>许可排放浓度、许可排放量</w:t>
            </w:r>
            <w:r>
              <w:rPr>
                <w:rFonts w:hint="eastAsia" w:ascii="宋体" w:hAnsi="宋体" w:eastAsia="宋体" w:cs="宋体"/>
                <w:color w:val="auto"/>
                <w:sz w:val="21"/>
                <w:szCs w:val="21"/>
                <w:highlight w:val="none"/>
                <w:lang w:val="en-US" w:eastAsia="zh-CN"/>
              </w:rPr>
              <w:t>的，</w:t>
            </w:r>
            <w:r>
              <w:rPr>
                <w:rFonts w:hint="eastAsia" w:ascii="宋体" w:hAnsi="宋体" w:cs="宋体"/>
                <w:color w:val="auto"/>
                <w:sz w:val="21"/>
                <w:szCs w:val="21"/>
                <w:highlight w:val="none"/>
                <w:lang w:eastAsia="zh-CN"/>
              </w:rPr>
              <w:t>裁量</w:t>
            </w:r>
            <w:r>
              <w:rPr>
                <w:rFonts w:hint="eastAsia" w:ascii="宋体" w:hAnsi="宋体" w:eastAsia="宋体" w:cs="宋体"/>
                <w:color w:val="auto"/>
                <w:sz w:val="21"/>
                <w:szCs w:val="21"/>
                <w:highlight w:val="none"/>
              </w:rPr>
              <w:t>标准以裁量等级最高为准</w:t>
            </w:r>
            <w:r>
              <w:rPr>
                <w:rFonts w:hint="eastAsia" w:ascii="宋体" w:hAnsi="宋体" w:eastAsia="宋体" w:cs="宋体"/>
                <w:color w:val="auto"/>
                <w:sz w:val="21"/>
                <w:szCs w:val="21"/>
                <w:highlight w:val="none"/>
                <w:lang w:eastAsia="zh-CN"/>
              </w:rPr>
              <w:t>；</w:t>
            </w:r>
          </w:p>
        </w:tc>
      </w:tr>
    </w:tbl>
    <w:p w14:paraId="7323D5AC">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p w14:paraId="532A2980">
      <w:pPr>
        <w:rPr>
          <w:rFonts w:hint="eastAsia" w:ascii="宋体" w:hAnsi="宋体" w:eastAsia="宋体" w:cs="宋体"/>
          <w:sz w:val="21"/>
          <w:szCs w:val="21"/>
          <w:highlight w:val="none"/>
        </w:rPr>
      </w:pP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20"/>
        <w:gridCol w:w="5505"/>
        <w:gridCol w:w="1623"/>
      </w:tblGrid>
      <w:tr w14:paraId="63DA7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3"/>
            <w:noWrap w:val="0"/>
            <w:vAlign w:val="top"/>
          </w:tcPr>
          <w:p w14:paraId="7CC378BB">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（三）排污许可管理类</w:t>
            </w:r>
          </w:p>
        </w:tc>
      </w:tr>
      <w:tr w14:paraId="4BF33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3" w:type="dxa"/>
            <w:noWrap w:val="0"/>
            <w:vAlign w:val="center"/>
          </w:tcPr>
          <w:p w14:paraId="6678D23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789" w:type="dxa"/>
            <w:gridSpan w:val="2"/>
            <w:noWrap w:val="0"/>
            <w:vAlign w:val="top"/>
          </w:tcPr>
          <w:p w14:paraId="24FDEABB">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r>
      <w:tr w14:paraId="12EEE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3" w:type="dxa"/>
            <w:noWrap w:val="0"/>
            <w:vAlign w:val="center"/>
          </w:tcPr>
          <w:p w14:paraId="09259B5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6789" w:type="dxa"/>
            <w:gridSpan w:val="2"/>
            <w:noWrap w:val="0"/>
            <w:vAlign w:val="top"/>
          </w:tcPr>
          <w:p w14:paraId="56BF6A6F">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未按照排污许可证的规定运行和维护污染防治设施的</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或者</w:t>
            </w:r>
            <w:r>
              <w:rPr>
                <w:rFonts w:hint="eastAsia" w:ascii="宋体" w:hAnsi="宋体" w:eastAsia="宋体" w:cs="宋体"/>
                <w:color w:val="auto"/>
                <w:sz w:val="21"/>
                <w:szCs w:val="21"/>
                <w:highlight w:val="none"/>
              </w:rPr>
              <w:t>致使污染防治设施不能正常发挥作用，但不属于以逃避监管方式排放污染物的</w:t>
            </w:r>
          </w:p>
        </w:tc>
      </w:tr>
      <w:tr w14:paraId="01988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3" w:type="dxa"/>
            <w:noWrap w:val="0"/>
            <w:vAlign w:val="center"/>
          </w:tcPr>
          <w:p w14:paraId="10BE588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6789" w:type="dxa"/>
            <w:gridSpan w:val="2"/>
            <w:noWrap w:val="0"/>
            <w:vAlign w:val="top"/>
          </w:tcPr>
          <w:p w14:paraId="2D583CDD">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《中华人民共和国生态环境法典》第一百七十九条</w:t>
            </w:r>
            <w:r>
              <w:rPr>
                <w:rFonts w:hint="eastAsia" w:ascii="宋体" w:hAnsi="宋体" w:eastAsia="宋体" w:cs="宋体"/>
                <w:color w:val="auto"/>
                <w:sz w:val="21"/>
                <w:szCs w:val="21"/>
                <w:highlight w:val="none"/>
                <w:lang w:val="en-US" w:eastAsia="zh-CN"/>
              </w:rPr>
              <w:t>第二款</w:t>
            </w:r>
            <w:r>
              <w:rPr>
                <w:rFonts w:hint="eastAsia" w:ascii="宋体" w:hAnsi="宋体" w:eastAsia="宋体" w:cs="宋体"/>
                <w:color w:val="auto"/>
                <w:sz w:val="21"/>
                <w:szCs w:val="21"/>
                <w:highlight w:val="none"/>
              </w:rPr>
              <w:t xml:space="preserve">  实行排污许可管理的企业事业单位和其他生产经营者应当遵守排污许可证的要求，按照规定运行和维护污染防治设施，建立生态环境管理制度，严格控制污染物排放。</w:t>
            </w:r>
          </w:p>
        </w:tc>
      </w:tr>
      <w:tr w14:paraId="7A80B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3" w:type="dxa"/>
            <w:noWrap w:val="0"/>
            <w:vAlign w:val="center"/>
          </w:tcPr>
          <w:p w14:paraId="0D1686B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6789" w:type="dxa"/>
            <w:gridSpan w:val="2"/>
            <w:noWrap w:val="0"/>
            <w:vAlign w:val="top"/>
          </w:tcPr>
          <w:p w14:paraId="4B922036">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《中华人民共和国生态环境法典》第一千一百零四条第一款  违反本法规定，未按照排污许可证的规定运行和维护污染防治设施的，由生态环境主管部门责令改正，处二万元以上五万元以下的罚款；致使污染防治设施不能正常发挥作用，但不属于以逃避监管方式排放污染物的，由生态环境主管部门责令改正，处五万元以上二十万元以下的罚款</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w:t>
            </w:r>
          </w:p>
        </w:tc>
      </w:tr>
      <w:tr w14:paraId="611E5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3" w:type="dxa"/>
            <w:noWrap w:val="0"/>
            <w:vAlign w:val="center"/>
          </w:tcPr>
          <w:p w14:paraId="7CBA559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243" w:type="dxa"/>
            <w:noWrap w:val="0"/>
            <w:vAlign w:val="top"/>
          </w:tcPr>
          <w:p w14:paraId="5790B984">
            <w:pPr>
              <w:jc w:val="center"/>
              <w:rPr>
                <w:rFonts w:hint="eastAsia" w:ascii="宋体" w:hAnsi="宋体" w:eastAsia="宋体" w:cs="宋体"/>
                <w:color w:val="auto"/>
                <w:sz w:val="21"/>
                <w:szCs w:val="21"/>
                <w:highlight w:val="none"/>
              </w:rPr>
            </w:pPr>
            <w:r>
              <w:rPr>
                <w:rFonts w:hint="eastAsia" w:ascii="宋体" w:hAnsi="宋体" w:eastAsia="宋体" w:cs="宋体"/>
                <w:b w:val="0"/>
                <w:bCs w:val="0"/>
                <w:color w:val="auto"/>
                <w:spacing w:val="7"/>
                <w:sz w:val="21"/>
                <w:szCs w:val="21"/>
                <w:highlight w:val="none"/>
              </w:rPr>
              <w:t>裁量因子</w:t>
            </w:r>
          </w:p>
        </w:tc>
        <w:tc>
          <w:tcPr>
            <w:tcW w:w="1546" w:type="dxa"/>
            <w:noWrap w:val="0"/>
            <w:vAlign w:val="top"/>
          </w:tcPr>
          <w:p w14:paraId="31A4B53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0F9BB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3" w:type="dxa"/>
            <w:vMerge w:val="restart"/>
            <w:noWrap w:val="0"/>
            <w:vAlign w:val="center"/>
          </w:tcPr>
          <w:p w14:paraId="6299996E">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排污</w:t>
            </w:r>
            <w:r>
              <w:rPr>
                <w:rFonts w:hint="eastAsia" w:ascii="宋体" w:hAnsi="宋体" w:eastAsia="宋体" w:cs="宋体"/>
                <w:color w:val="auto"/>
                <w:sz w:val="21"/>
                <w:szCs w:val="21"/>
                <w:highlight w:val="none"/>
                <w:lang w:val="en-US" w:eastAsia="zh-CN"/>
              </w:rPr>
              <w:t>许可</w:t>
            </w:r>
          </w:p>
          <w:p w14:paraId="0886309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管理类别</w:t>
            </w:r>
          </w:p>
        </w:tc>
        <w:tc>
          <w:tcPr>
            <w:tcW w:w="5243" w:type="dxa"/>
            <w:noWrap w:val="0"/>
            <w:vAlign w:val="top"/>
          </w:tcPr>
          <w:p w14:paraId="29C1C3F2">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简化管理</w:t>
            </w:r>
          </w:p>
        </w:tc>
        <w:tc>
          <w:tcPr>
            <w:tcW w:w="1546" w:type="dxa"/>
            <w:noWrap w:val="0"/>
            <w:vAlign w:val="top"/>
          </w:tcPr>
          <w:p w14:paraId="7B211EF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p>
        </w:tc>
      </w:tr>
      <w:tr w14:paraId="0F617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3" w:type="dxa"/>
            <w:vMerge w:val="continue"/>
            <w:noWrap w:val="0"/>
            <w:vAlign w:val="center"/>
          </w:tcPr>
          <w:p w14:paraId="2ACB6FF4">
            <w:pPr>
              <w:jc w:val="center"/>
              <w:rPr>
                <w:rFonts w:hint="eastAsia" w:ascii="宋体" w:hAnsi="宋体" w:eastAsia="宋体" w:cs="宋体"/>
                <w:color w:val="auto"/>
                <w:sz w:val="21"/>
                <w:szCs w:val="21"/>
                <w:highlight w:val="none"/>
              </w:rPr>
            </w:pPr>
          </w:p>
        </w:tc>
        <w:tc>
          <w:tcPr>
            <w:tcW w:w="5243" w:type="dxa"/>
            <w:noWrap w:val="0"/>
            <w:vAlign w:val="center"/>
          </w:tcPr>
          <w:p w14:paraId="51E9A896">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312" w:lineRule="exact"/>
              <w:ind w:left="0" w:leftChars="0" w:right="0" w:rightChars="0"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重点管理</w:t>
            </w:r>
          </w:p>
        </w:tc>
        <w:tc>
          <w:tcPr>
            <w:tcW w:w="1546" w:type="dxa"/>
            <w:noWrap w:val="0"/>
            <w:vAlign w:val="center"/>
          </w:tcPr>
          <w:p w14:paraId="29CDBC14">
            <w:pPr>
              <w:keepNext w:val="0"/>
              <w:keepLines w:val="0"/>
              <w:pageBreakBefore w:val="0"/>
              <w:widowControl w:val="0"/>
              <w:shd w:val="clear" w:color="auto" w:fill="auto"/>
              <w:kinsoku/>
              <w:wordWrap/>
              <w:overflowPunct/>
              <w:topLinePunct/>
              <w:autoSpaceDE w:val="0"/>
              <w:autoSpaceDN w:val="0"/>
              <w:bidi w:val="0"/>
              <w:adjustRightInd w:val="0"/>
              <w:snapToGrid w:val="0"/>
              <w:spacing w:line="312" w:lineRule="exact"/>
              <w:ind w:left="0" w:leftChars="0" w:right="0" w:rightChars="0" w:firstLine="0" w:firstLineChars="0"/>
              <w:jc w:val="center"/>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3</w:t>
            </w:r>
          </w:p>
        </w:tc>
      </w:tr>
      <w:tr w14:paraId="4D0A0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3" w:type="dxa"/>
            <w:vMerge w:val="continue"/>
            <w:noWrap w:val="0"/>
            <w:vAlign w:val="center"/>
          </w:tcPr>
          <w:p w14:paraId="171DDCD9">
            <w:pPr>
              <w:keepNext w:val="0"/>
              <w:keepLines w:val="0"/>
              <w:pageBreakBefore w:val="0"/>
              <w:widowControl w:val="0"/>
              <w:shd w:val="clear" w:color="auto" w:fill="auto"/>
              <w:kinsoku/>
              <w:wordWrap/>
              <w:overflowPunct/>
              <w:topLinePunct/>
              <w:autoSpaceDE w:val="0"/>
              <w:autoSpaceDN w:val="0"/>
              <w:bidi w:val="0"/>
              <w:adjustRightInd w:val="0"/>
              <w:snapToGrid w:val="0"/>
              <w:spacing w:line="312"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p>
        </w:tc>
        <w:tc>
          <w:tcPr>
            <w:tcW w:w="5243" w:type="dxa"/>
            <w:noWrap w:val="0"/>
            <w:vAlign w:val="center"/>
          </w:tcPr>
          <w:p w14:paraId="188C5AE4">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312" w:lineRule="exact"/>
              <w:ind w:left="0" w:leftChars="0" w:right="0" w:rightChars="0"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重点管理（钢铁、石化、化工、电镀、皮革、造纸、冶炼、印染、染料、水泥、煤电、陶瓷、采矿、放射性、危废经营、垃圾焚烧发电、平板玻璃，“两高”项目）</w:t>
            </w:r>
          </w:p>
        </w:tc>
        <w:tc>
          <w:tcPr>
            <w:tcW w:w="1546" w:type="dxa"/>
            <w:noWrap w:val="0"/>
            <w:vAlign w:val="center"/>
          </w:tcPr>
          <w:p w14:paraId="7DCFFE25">
            <w:pPr>
              <w:keepNext w:val="0"/>
              <w:keepLines w:val="0"/>
              <w:pageBreakBefore w:val="0"/>
              <w:widowControl w:val="0"/>
              <w:shd w:val="clear" w:color="auto" w:fill="auto"/>
              <w:kinsoku/>
              <w:wordWrap/>
              <w:overflowPunct/>
              <w:topLinePunct/>
              <w:autoSpaceDE w:val="0"/>
              <w:autoSpaceDN w:val="0"/>
              <w:bidi w:val="0"/>
              <w:adjustRightInd w:val="0"/>
              <w:snapToGrid w:val="0"/>
              <w:spacing w:line="312" w:lineRule="exact"/>
              <w:ind w:left="0" w:leftChars="0" w:right="0" w:rightChars="0" w:firstLine="0" w:firstLineChars="0"/>
              <w:jc w:val="center"/>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5</w:t>
            </w:r>
          </w:p>
        </w:tc>
      </w:tr>
      <w:tr w14:paraId="3BDCD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3" w:type="dxa"/>
            <w:vMerge w:val="restart"/>
            <w:noWrap w:val="0"/>
            <w:vAlign w:val="center"/>
          </w:tcPr>
          <w:p w14:paraId="436B51C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排放去向或</w:t>
            </w:r>
          </w:p>
          <w:p w14:paraId="2D72ABD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区域</w:t>
            </w:r>
          </w:p>
        </w:tc>
        <w:tc>
          <w:tcPr>
            <w:tcW w:w="5243" w:type="dxa"/>
            <w:noWrap w:val="0"/>
            <w:vAlign w:val="top"/>
          </w:tcPr>
          <w:p w14:paraId="524143AA">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b/>
                <w:bCs/>
                <w:kern w:val="2"/>
                <w:sz w:val="21"/>
                <w:szCs w:val="21"/>
                <w:highlight w:val="none"/>
                <w:lang w:val="en-US" w:eastAsia="zh-CN" w:bidi="ar-SA"/>
              </w:rPr>
            </w:pPr>
            <w:r>
              <w:rPr>
                <w:rFonts w:hint="eastAsia" w:ascii="宋体" w:hAnsi="宋体" w:cs="宋体"/>
                <w:color w:val="auto"/>
                <w:sz w:val="21"/>
                <w:szCs w:val="21"/>
                <w:highlight w:val="none"/>
                <w:lang w:eastAsia="zh-CN"/>
              </w:rPr>
              <w:t>二类环境空气功能区</w:t>
            </w:r>
            <w:r>
              <w:rPr>
                <w:rFonts w:hint="eastAsia" w:ascii="宋体" w:hAnsi="宋体" w:eastAsia="宋体" w:cs="宋体"/>
                <w:color w:val="auto"/>
                <w:sz w:val="21"/>
                <w:szCs w:val="21"/>
                <w:highlight w:val="none"/>
              </w:rPr>
              <w:t>（工业区和农村地区）</w:t>
            </w:r>
            <w:r>
              <w:rPr>
                <w:rFonts w:hint="eastAsia" w:ascii="宋体" w:hAnsi="宋体" w:cs="宋体"/>
                <w:color w:val="auto"/>
                <w:sz w:val="21"/>
                <w:szCs w:val="21"/>
                <w:highlight w:val="none"/>
                <w:lang w:val="en-US" w:eastAsia="zh-CN"/>
              </w:rPr>
              <w:t>/V类水体（或者污水集中处理设施）/</w:t>
            </w:r>
            <w:r>
              <w:rPr>
                <w:rFonts w:hint="eastAsia" w:ascii="宋体" w:hAnsi="宋体" w:eastAsia="宋体" w:cs="宋体"/>
                <w:color w:val="auto"/>
                <w:sz w:val="21"/>
                <w:szCs w:val="21"/>
                <w:highlight w:val="none"/>
              </w:rPr>
              <w:t>4类声环境功能区</w:t>
            </w:r>
            <w:r>
              <w:rPr>
                <w:rFonts w:hint="eastAsia" w:ascii="宋体" w:hAnsi="宋体" w:eastAsia="宋体" w:cs="宋体"/>
                <w:color w:val="auto"/>
                <w:sz w:val="21"/>
                <w:szCs w:val="21"/>
                <w:highlight w:val="none"/>
                <w:lang w:val="en-US" w:eastAsia="zh-CN"/>
              </w:rPr>
              <w:t>/第四类海水水质的区域</w:t>
            </w:r>
          </w:p>
        </w:tc>
        <w:tc>
          <w:tcPr>
            <w:tcW w:w="1546" w:type="dxa"/>
            <w:noWrap w:val="0"/>
            <w:vAlign w:val="center"/>
          </w:tcPr>
          <w:p w14:paraId="3A6A530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337E8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3" w:type="dxa"/>
            <w:vMerge w:val="continue"/>
            <w:noWrap w:val="0"/>
            <w:vAlign w:val="center"/>
          </w:tcPr>
          <w:p w14:paraId="7746E1C7">
            <w:pPr>
              <w:jc w:val="center"/>
              <w:rPr>
                <w:rFonts w:hint="eastAsia" w:ascii="宋体" w:hAnsi="宋体" w:eastAsia="宋体" w:cs="宋体"/>
                <w:color w:val="auto"/>
                <w:sz w:val="21"/>
                <w:szCs w:val="21"/>
                <w:highlight w:val="none"/>
              </w:rPr>
            </w:pPr>
          </w:p>
        </w:tc>
        <w:tc>
          <w:tcPr>
            <w:tcW w:w="5243" w:type="dxa"/>
            <w:noWrap w:val="0"/>
            <w:vAlign w:val="top"/>
          </w:tcPr>
          <w:p w14:paraId="774D6B21">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b/>
                <w:bCs/>
                <w:kern w:val="2"/>
                <w:sz w:val="21"/>
                <w:szCs w:val="21"/>
                <w:highlight w:val="none"/>
                <w:lang w:val="en-US" w:eastAsia="zh-CN" w:bidi="ar-SA"/>
              </w:rPr>
            </w:pPr>
            <w:r>
              <w:rPr>
                <w:rFonts w:hint="eastAsia" w:ascii="宋体" w:hAnsi="宋体" w:cs="宋体"/>
                <w:color w:val="auto"/>
                <w:sz w:val="21"/>
                <w:szCs w:val="21"/>
                <w:highlight w:val="none"/>
                <w:lang w:eastAsia="zh-CN"/>
              </w:rPr>
              <w:t>Ⅳ类</w:t>
            </w:r>
            <w:r>
              <w:rPr>
                <w:rFonts w:hint="eastAsia" w:ascii="宋体" w:hAnsi="宋体" w:eastAsia="宋体" w:cs="宋体"/>
                <w:color w:val="auto"/>
                <w:sz w:val="21"/>
                <w:szCs w:val="21"/>
                <w:highlight w:val="none"/>
              </w:rPr>
              <w:t>水体</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3类声环境功能区</w:t>
            </w:r>
            <w:r>
              <w:rPr>
                <w:rFonts w:hint="eastAsia" w:ascii="宋体" w:hAnsi="宋体" w:eastAsia="宋体" w:cs="宋体"/>
                <w:color w:val="auto"/>
                <w:sz w:val="21"/>
                <w:szCs w:val="21"/>
                <w:highlight w:val="none"/>
                <w:lang w:val="en-US" w:eastAsia="zh-CN"/>
              </w:rPr>
              <w:t>/第三类海水水质的区域</w:t>
            </w:r>
          </w:p>
        </w:tc>
        <w:tc>
          <w:tcPr>
            <w:tcW w:w="1546" w:type="dxa"/>
            <w:noWrap w:val="0"/>
            <w:vAlign w:val="center"/>
          </w:tcPr>
          <w:p w14:paraId="1E82094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p>
        </w:tc>
      </w:tr>
      <w:tr w14:paraId="5A813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3" w:type="dxa"/>
            <w:vMerge w:val="continue"/>
            <w:noWrap w:val="0"/>
            <w:vAlign w:val="center"/>
          </w:tcPr>
          <w:p w14:paraId="2BC02E31">
            <w:pPr>
              <w:jc w:val="center"/>
              <w:rPr>
                <w:rFonts w:hint="eastAsia" w:ascii="宋体" w:hAnsi="宋体" w:eastAsia="宋体" w:cs="宋体"/>
                <w:color w:val="auto"/>
                <w:sz w:val="21"/>
                <w:szCs w:val="21"/>
                <w:highlight w:val="none"/>
              </w:rPr>
            </w:pPr>
          </w:p>
        </w:tc>
        <w:tc>
          <w:tcPr>
            <w:tcW w:w="5243" w:type="dxa"/>
            <w:noWrap w:val="0"/>
            <w:vAlign w:val="top"/>
          </w:tcPr>
          <w:p w14:paraId="35B50FD7">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b/>
                <w:bCs/>
                <w:kern w:val="2"/>
                <w:sz w:val="21"/>
                <w:szCs w:val="21"/>
                <w:highlight w:val="none"/>
                <w:lang w:val="en-US" w:eastAsia="zh-CN" w:bidi="ar-SA"/>
              </w:rPr>
            </w:pPr>
            <w:r>
              <w:rPr>
                <w:rFonts w:hint="eastAsia" w:ascii="宋体" w:hAnsi="宋体" w:cs="宋体"/>
                <w:color w:val="auto"/>
                <w:sz w:val="21"/>
                <w:szCs w:val="21"/>
                <w:highlight w:val="none"/>
                <w:lang w:eastAsia="zh-CN"/>
              </w:rPr>
              <w:t>二类环境空气功能区</w:t>
            </w:r>
            <w:r>
              <w:rPr>
                <w:rFonts w:hint="eastAsia" w:ascii="宋体" w:hAnsi="宋体" w:eastAsia="宋体" w:cs="宋体"/>
                <w:color w:val="auto"/>
                <w:sz w:val="21"/>
                <w:szCs w:val="21"/>
                <w:highlight w:val="none"/>
                <w:lang w:eastAsia="zh-CN"/>
              </w:rPr>
              <w:t>（居民区、商业交通居民混合区、文化区）/</w:t>
            </w:r>
            <w:r>
              <w:rPr>
                <w:rFonts w:hint="eastAsia" w:ascii="宋体" w:hAnsi="宋体" w:cs="宋体"/>
                <w:color w:val="auto"/>
                <w:sz w:val="21"/>
                <w:szCs w:val="21"/>
                <w:highlight w:val="none"/>
                <w:lang w:eastAsia="zh-CN"/>
              </w:rPr>
              <w:t>Ⅲ类</w:t>
            </w:r>
            <w:r>
              <w:rPr>
                <w:rFonts w:hint="eastAsia" w:ascii="宋体" w:hAnsi="宋体" w:eastAsia="宋体" w:cs="宋体"/>
                <w:color w:val="auto"/>
                <w:sz w:val="21"/>
                <w:szCs w:val="21"/>
                <w:highlight w:val="none"/>
                <w:lang w:eastAsia="zh-CN"/>
              </w:rPr>
              <w:t>水体/2类声环境功能区/饮用水水源准保护区/自然保护地外的生态保护红线区域</w:t>
            </w:r>
          </w:p>
        </w:tc>
        <w:tc>
          <w:tcPr>
            <w:tcW w:w="1546" w:type="dxa"/>
            <w:noWrap w:val="0"/>
            <w:vAlign w:val="center"/>
          </w:tcPr>
          <w:p w14:paraId="67A2C5C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46706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3" w:type="dxa"/>
            <w:vMerge w:val="continue"/>
            <w:noWrap w:val="0"/>
            <w:vAlign w:val="center"/>
          </w:tcPr>
          <w:p w14:paraId="635F1C73">
            <w:pPr>
              <w:jc w:val="center"/>
              <w:rPr>
                <w:rFonts w:hint="eastAsia" w:ascii="宋体" w:hAnsi="宋体" w:eastAsia="宋体" w:cs="宋体"/>
                <w:color w:val="auto"/>
                <w:sz w:val="21"/>
                <w:szCs w:val="21"/>
                <w:highlight w:val="none"/>
              </w:rPr>
            </w:pPr>
          </w:p>
        </w:tc>
        <w:tc>
          <w:tcPr>
            <w:tcW w:w="5243" w:type="dxa"/>
            <w:noWrap w:val="0"/>
            <w:vAlign w:val="top"/>
          </w:tcPr>
          <w:p w14:paraId="7D0E4030">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b/>
                <w:bCs/>
                <w:kern w:val="2"/>
                <w:sz w:val="21"/>
                <w:szCs w:val="21"/>
                <w:highlight w:val="none"/>
                <w:lang w:val="en-US" w:eastAsia="zh-CN" w:bidi="ar-SA"/>
              </w:rPr>
            </w:pPr>
            <w:r>
              <w:rPr>
                <w:rFonts w:hint="eastAsia" w:ascii="宋体" w:hAnsi="宋体" w:cs="宋体"/>
                <w:color w:val="auto"/>
                <w:sz w:val="21"/>
                <w:szCs w:val="21"/>
                <w:highlight w:val="none"/>
                <w:lang w:eastAsia="zh-CN"/>
              </w:rPr>
              <w:t>Ⅱ类</w:t>
            </w:r>
            <w:r>
              <w:rPr>
                <w:rFonts w:hint="eastAsia" w:ascii="宋体" w:hAnsi="宋体" w:eastAsia="宋体" w:cs="宋体"/>
                <w:color w:val="auto"/>
                <w:sz w:val="21"/>
                <w:szCs w:val="21"/>
                <w:highlight w:val="none"/>
              </w:rPr>
              <w:t>水体</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1类声环境功能区／自然保护地一般控制区</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饮用水水源二级保护区</w:t>
            </w:r>
            <w:r>
              <w:rPr>
                <w:rFonts w:hint="eastAsia" w:ascii="宋体" w:hAnsi="宋体" w:eastAsia="宋体" w:cs="宋体"/>
                <w:color w:val="auto"/>
                <w:sz w:val="21"/>
                <w:szCs w:val="21"/>
                <w:highlight w:val="none"/>
                <w:lang w:val="en-US" w:eastAsia="zh-CN"/>
              </w:rPr>
              <w:t>/第二类海水水质的区域</w:t>
            </w:r>
          </w:p>
        </w:tc>
        <w:tc>
          <w:tcPr>
            <w:tcW w:w="1546" w:type="dxa"/>
            <w:noWrap w:val="0"/>
            <w:vAlign w:val="center"/>
          </w:tcPr>
          <w:p w14:paraId="16EF968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p>
        </w:tc>
      </w:tr>
      <w:tr w14:paraId="5EBEF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3" w:type="dxa"/>
            <w:vMerge w:val="continue"/>
            <w:noWrap w:val="0"/>
            <w:vAlign w:val="center"/>
          </w:tcPr>
          <w:p w14:paraId="11A702A2">
            <w:pPr>
              <w:jc w:val="center"/>
              <w:rPr>
                <w:rFonts w:hint="eastAsia" w:ascii="宋体" w:hAnsi="宋体" w:eastAsia="宋体" w:cs="宋体"/>
                <w:color w:val="auto"/>
                <w:sz w:val="21"/>
                <w:szCs w:val="21"/>
                <w:highlight w:val="none"/>
              </w:rPr>
            </w:pPr>
          </w:p>
        </w:tc>
        <w:tc>
          <w:tcPr>
            <w:tcW w:w="5243" w:type="dxa"/>
            <w:noWrap w:val="0"/>
            <w:vAlign w:val="top"/>
          </w:tcPr>
          <w:p w14:paraId="28D0F2C8">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b/>
                <w:bCs/>
                <w:kern w:val="2"/>
                <w:sz w:val="21"/>
                <w:szCs w:val="21"/>
                <w:highlight w:val="none"/>
                <w:lang w:val="en-US" w:eastAsia="zh-CN" w:bidi="ar-SA"/>
              </w:rPr>
            </w:pPr>
            <w:r>
              <w:rPr>
                <w:rFonts w:hint="eastAsia" w:ascii="宋体" w:hAnsi="宋体" w:cs="宋体"/>
                <w:color w:val="auto"/>
                <w:sz w:val="21"/>
                <w:szCs w:val="21"/>
                <w:highlight w:val="none"/>
                <w:lang w:eastAsia="zh-CN"/>
              </w:rPr>
              <w:t>一类环境空气功能区</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I类水体</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0类声环境功能区／自然保护地核心保护区</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饮用水水源一级保护区</w:t>
            </w:r>
            <w:r>
              <w:rPr>
                <w:rFonts w:hint="eastAsia" w:ascii="宋体" w:hAnsi="宋体" w:eastAsia="宋体" w:cs="宋体"/>
                <w:color w:val="auto"/>
                <w:sz w:val="21"/>
                <w:szCs w:val="21"/>
                <w:highlight w:val="none"/>
                <w:lang w:val="en-US" w:eastAsia="zh-CN"/>
              </w:rPr>
              <w:t>/第一类海水水质的区域</w:t>
            </w:r>
          </w:p>
        </w:tc>
        <w:tc>
          <w:tcPr>
            <w:tcW w:w="1546" w:type="dxa"/>
            <w:noWrap w:val="0"/>
            <w:vAlign w:val="center"/>
          </w:tcPr>
          <w:p w14:paraId="2088473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7CD71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3" w:type="dxa"/>
            <w:vMerge w:val="restart"/>
            <w:noWrap w:val="0"/>
            <w:vAlign w:val="center"/>
          </w:tcPr>
          <w:p w14:paraId="5E5E0A4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污染物</w:t>
            </w:r>
            <w:r>
              <w:rPr>
                <w:rFonts w:hint="eastAsia" w:ascii="宋体" w:hAnsi="宋体" w:eastAsia="宋体" w:cs="宋体"/>
                <w:color w:val="auto"/>
                <w:sz w:val="21"/>
                <w:szCs w:val="21"/>
                <w:highlight w:val="none"/>
              </w:rPr>
              <w:t>类别</w:t>
            </w:r>
          </w:p>
        </w:tc>
        <w:tc>
          <w:tcPr>
            <w:tcW w:w="5243" w:type="dxa"/>
            <w:noWrap w:val="0"/>
            <w:vAlign w:val="top"/>
          </w:tcPr>
          <w:p w14:paraId="5C646205">
            <w:pPr>
              <w:adjustRightInd w:val="0"/>
              <w:ind w:firstLine="420" w:firstLineChars="200"/>
              <w:jc w:val="both"/>
              <w:rPr>
                <w:rFonts w:hint="eastAsia" w:ascii="宋体" w:hAnsi="宋体" w:eastAsia="宋体" w:cs="宋体"/>
                <w:b/>
                <w:bCs/>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一般废气、废水、固体废物、噪声、畜禽养殖废水</w:t>
            </w:r>
          </w:p>
        </w:tc>
        <w:tc>
          <w:tcPr>
            <w:tcW w:w="1546" w:type="dxa"/>
            <w:noWrap w:val="0"/>
            <w:vAlign w:val="center"/>
          </w:tcPr>
          <w:p w14:paraId="3C64E89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238A9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3" w:type="dxa"/>
            <w:vMerge w:val="continue"/>
            <w:noWrap w:val="0"/>
            <w:vAlign w:val="center"/>
          </w:tcPr>
          <w:p w14:paraId="6CDAFB04">
            <w:pPr>
              <w:jc w:val="center"/>
              <w:rPr>
                <w:rFonts w:hint="eastAsia" w:ascii="宋体" w:hAnsi="宋体" w:eastAsia="宋体" w:cs="宋体"/>
                <w:color w:val="auto"/>
                <w:sz w:val="21"/>
                <w:szCs w:val="21"/>
                <w:highlight w:val="none"/>
              </w:rPr>
            </w:pPr>
          </w:p>
        </w:tc>
        <w:tc>
          <w:tcPr>
            <w:tcW w:w="5243" w:type="dxa"/>
            <w:noWrap w:val="0"/>
            <w:vAlign w:val="top"/>
          </w:tcPr>
          <w:p w14:paraId="6784C89F">
            <w:pPr>
              <w:adjustRightInd w:val="0"/>
              <w:ind w:firstLine="420" w:firstLineChars="200"/>
              <w:jc w:val="both"/>
              <w:rPr>
                <w:rFonts w:hint="eastAsia" w:ascii="宋体" w:hAnsi="宋体" w:eastAsia="宋体" w:cs="宋体"/>
                <w:b/>
                <w:bCs/>
                <w:kern w:val="2"/>
                <w:sz w:val="21"/>
                <w:szCs w:val="21"/>
                <w:highlight w:val="none"/>
                <w:lang w:val="en-US" w:eastAsia="zh-CN" w:bidi="ar-SA"/>
              </w:rPr>
            </w:pPr>
            <w:r>
              <w:rPr>
                <w:rFonts w:hint="eastAsia" w:ascii="宋体" w:hAnsi="宋体" w:eastAsia="宋体" w:cs="宋体"/>
                <w:color w:val="auto"/>
                <w:sz w:val="21"/>
                <w:szCs w:val="21"/>
                <w:highlight w:val="none"/>
              </w:rPr>
              <w:t>火电、钢铁、石化、水泥、炼焦、有色、化工废气/医疗废水</w:t>
            </w:r>
          </w:p>
        </w:tc>
        <w:tc>
          <w:tcPr>
            <w:tcW w:w="1546" w:type="dxa"/>
            <w:noWrap w:val="0"/>
            <w:vAlign w:val="center"/>
          </w:tcPr>
          <w:p w14:paraId="1072ACE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p>
        </w:tc>
      </w:tr>
      <w:tr w14:paraId="4A7BE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3" w:type="dxa"/>
            <w:vMerge w:val="continue"/>
            <w:noWrap w:val="0"/>
            <w:vAlign w:val="center"/>
          </w:tcPr>
          <w:p w14:paraId="1146F1FA">
            <w:pPr>
              <w:jc w:val="center"/>
              <w:rPr>
                <w:rFonts w:hint="eastAsia" w:ascii="宋体" w:hAnsi="宋体" w:eastAsia="宋体" w:cs="宋体"/>
                <w:color w:val="auto"/>
                <w:sz w:val="21"/>
                <w:szCs w:val="21"/>
                <w:highlight w:val="none"/>
              </w:rPr>
            </w:pPr>
          </w:p>
        </w:tc>
        <w:tc>
          <w:tcPr>
            <w:tcW w:w="5243" w:type="dxa"/>
            <w:noWrap w:val="0"/>
            <w:vAlign w:val="top"/>
          </w:tcPr>
          <w:p w14:paraId="2BBEDE75">
            <w:pPr>
              <w:adjustRightInd w:val="0"/>
              <w:ind w:firstLine="420" w:firstLineChars="200"/>
              <w:jc w:val="both"/>
              <w:rPr>
                <w:rFonts w:hint="eastAsia" w:ascii="宋体" w:hAnsi="宋体" w:eastAsia="宋体" w:cs="宋体"/>
                <w:b/>
                <w:bCs/>
                <w:kern w:val="2"/>
                <w:sz w:val="21"/>
                <w:szCs w:val="21"/>
                <w:highlight w:val="none"/>
                <w:lang w:val="en-US" w:eastAsia="zh-CN" w:bidi="ar-SA"/>
              </w:rPr>
            </w:pPr>
            <w:r>
              <w:rPr>
                <w:rFonts w:hint="eastAsia" w:ascii="宋体" w:hAnsi="宋体" w:eastAsia="宋体" w:cs="宋体"/>
                <w:color w:val="auto"/>
                <w:sz w:val="21"/>
                <w:szCs w:val="21"/>
                <w:highlight w:val="none"/>
              </w:rPr>
              <w:t>含有毒有害物质的废气、废水／含一类污染物或重金属、病原体、放射性物质的废水／危险废物</w:t>
            </w:r>
          </w:p>
        </w:tc>
        <w:tc>
          <w:tcPr>
            <w:tcW w:w="1546" w:type="dxa"/>
            <w:noWrap w:val="0"/>
            <w:vAlign w:val="center"/>
          </w:tcPr>
          <w:p w14:paraId="79E8E7E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p>
        </w:tc>
      </w:tr>
      <w:tr w14:paraId="57BC7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3" w:type="dxa"/>
            <w:noWrap w:val="0"/>
            <w:vAlign w:val="center"/>
          </w:tcPr>
          <w:p w14:paraId="44C1F61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备注</w:t>
            </w:r>
          </w:p>
        </w:tc>
        <w:tc>
          <w:tcPr>
            <w:tcW w:w="6789" w:type="dxa"/>
            <w:gridSpan w:val="2"/>
            <w:noWrap w:val="0"/>
            <w:vAlign w:val="top"/>
          </w:tcPr>
          <w:p w14:paraId="605DBD17">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涉及多种污染物类别时，</w:t>
            </w:r>
            <w:r>
              <w:rPr>
                <w:rFonts w:hint="eastAsia" w:ascii="宋体" w:hAnsi="宋体" w:cs="宋体"/>
                <w:color w:val="auto"/>
                <w:sz w:val="21"/>
                <w:szCs w:val="21"/>
                <w:highlight w:val="none"/>
                <w:lang w:eastAsia="zh-CN"/>
              </w:rPr>
              <w:t>裁量</w:t>
            </w:r>
            <w:r>
              <w:rPr>
                <w:rFonts w:hint="eastAsia" w:ascii="宋体" w:hAnsi="宋体" w:eastAsia="宋体" w:cs="宋体"/>
                <w:color w:val="auto"/>
                <w:sz w:val="21"/>
                <w:szCs w:val="21"/>
                <w:highlight w:val="none"/>
              </w:rPr>
              <w:t>标准以裁量等级最高为准</w:t>
            </w:r>
          </w:p>
        </w:tc>
      </w:tr>
    </w:tbl>
    <w:p w14:paraId="300B025A">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20"/>
        <w:gridCol w:w="5505"/>
        <w:gridCol w:w="1623"/>
      </w:tblGrid>
      <w:tr w14:paraId="4B8BC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3"/>
            <w:noWrap w:val="0"/>
            <w:vAlign w:val="top"/>
          </w:tcPr>
          <w:p w14:paraId="30EF5CCC">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（三）排污许可管理类</w:t>
            </w:r>
          </w:p>
        </w:tc>
      </w:tr>
      <w:tr w14:paraId="560AC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3" w:type="dxa"/>
            <w:noWrap w:val="0"/>
            <w:vAlign w:val="center"/>
          </w:tcPr>
          <w:p w14:paraId="3E0CD80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789" w:type="dxa"/>
            <w:gridSpan w:val="2"/>
            <w:noWrap w:val="0"/>
            <w:vAlign w:val="top"/>
          </w:tcPr>
          <w:p w14:paraId="4E9F90C4">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r>
      <w:tr w14:paraId="68F6A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3" w:type="dxa"/>
            <w:noWrap w:val="0"/>
            <w:vAlign w:val="center"/>
          </w:tcPr>
          <w:p w14:paraId="1A8CAC0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6789" w:type="dxa"/>
            <w:gridSpan w:val="2"/>
            <w:noWrap w:val="0"/>
            <w:vAlign w:val="top"/>
          </w:tcPr>
          <w:p w14:paraId="2E72B76D">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擅自拆除污染防治设施的</w:t>
            </w:r>
          </w:p>
        </w:tc>
      </w:tr>
      <w:tr w14:paraId="2EB0F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 w:hRule="atLeast"/>
          <w:jc w:val="center"/>
        </w:trPr>
        <w:tc>
          <w:tcPr>
            <w:tcW w:w="1733" w:type="dxa"/>
            <w:noWrap w:val="0"/>
            <w:vAlign w:val="center"/>
          </w:tcPr>
          <w:p w14:paraId="3FD9BBC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6789" w:type="dxa"/>
            <w:gridSpan w:val="2"/>
            <w:noWrap w:val="0"/>
            <w:vAlign w:val="top"/>
          </w:tcPr>
          <w:p w14:paraId="37E9A5F7">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《中华人民共和国生态环境法典》第一百六十二条第一款　建设项目中的污染防治设施，应当与主体工程同时设计、同时施工、同时投产使用。污染防治设施应当符合经批准的生态环境影响报告书、生态环境影响报告表的要求，不得擅自拆除或者闲置。</w:t>
            </w:r>
          </w:p>
        </w:tc>
      </w:tr>
      <w:tr w14:paraId="58456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733" w:type="dxa"/>
            <w:noWrap w:val="0"/>
            <w:vAlign w:val="center"/>
          </w:tcPr>
          <w:p w14:paraId="41233F1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6789" w:type="dxa"/>
            <w:gridSpan w:val="2"/>
            <w:noWrap w:val="0"/>
            <w:vAlign w:val="top"/>
          </w:tcPr>
          <w:p w14:paraId="5C5D6C39">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《中华人民共和国生态环境法典》第一千一百零四条第二款  违反本法规定，擅自拆除污染防治设施的，由生态环境主管部门责令改正，处十万元以上一百万元以下的罚款；拒不改正的，责令限制生产、停产整治</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w:t>
            </w:r>
          </w:p>
        </w:tc>
      </w:tr>
      <w:tr w14:paraId="61899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3" w:type="dxa"/>
            <w:noWrap w:val="0"/>
            <w:vAlign w:val="center"/>
          </w:tcPr>
          <w:p w14:paraId="3DA0A78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243" w:type="dxa"/>
            <w:noWrap w:val="0"/>
            <w:vAlign w:val="top"/>
          </w:tcPr>
          <w:p w14:paraId="5B541863">
            <w:pPr>
              <w:jc w:val="center"/>
              <w:rPr>
                <w:rFonts w:hint="eastAsia" w:ascii="宋体" w:hAnsi="宋体" w:eastAsia="宋体" w:cs="宋体"/>
                <w:color w:val="auto"/>
                <w:sz w:val="21"/>
                <w:szCs w:val="21"/>
                <w:highlight w:val="none"/>
              </w:rPr>
            </w:pPr>
            <w:r>
              <w:rPr>
                <w:rFonts w:hint="eastAsia" w:ascii="宋体" w:hAnsi="宋体" w:eastAsia="宋体" w:cs="宋体"/>
                <w:b w:val="0"/>
                <w:bCs w:val="0"/>
                <w:color w:val="auto"/>
                <w:spacing w:val="7"/>
                <w:sz w:val="21"/>
                <w:szCs w:val="21"/>
                <w:highlight w:val="none"/>
              </w:rPr>
              <w:t>裁量因子</w:t>
            </w:r>
          </w:p>
        </w:tc>
        <w:tc>
          <w:tcPr>
            <w:tcW w:w="1546" w:type="dxa"/>
            <w:noWrap w:val="0"/>
            <w:vAlign w:val="top"/>
          </w:tcPr>
          <w:p w14:paraId="2DCDC63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154C0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3" w:type="dxa"/>
            <w:vMerge w:val="restart"/>
            <w:noWrap w:val="0"/>
            <w:vAlign w:val="center"/>
          </w:tcPr>
          <w:p w14:paraId="725726F8">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违法事实</w:t>
            </w:r>
          </w:p>
        </w:tc>
        <w:tc>
          <w:tcPr>
            <w:tcW w:w="5243" w:type="dxa"/>
            <w:noWrap w:val="0"/>
            <w:vAlign w:val="top"/>
          </w:tcPr>
          <w:p w14:paraId="31A48226">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拆除部分污染防治设施，且其余污染防治设施能正常运行的</w:t>
            </w:r>
          </w:p>
        </w:tc>
        <w:tc>
          <w:tcPr>
            <w:tcW w:w="1546" w:type="dxa"/>
            <w:noWrap w:val="0"/>
            <w:vAlign w:val="center"/>
          </w:tcPr>
          <w:p w14:paraId="75644DB5">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r>
      <w:tr w14:paraId="3CA00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3" w:type="dxa"/>
            <w:vMerge w:val="continue"/>
            <w:noWrap w:val="0"/>
            <w:vAlign w:val="center"/>
          </w:tcPr>
          <w:p w14:paraId="143B1D26">
            <w:pPr>
              <w:jc w:val="center"/>
              <w:rPr>
                <w:rFonts w:hint="eastAsia" w:ascii="宋体" w:hAnsi="宋体" w:eastAsia="宋体" w:cs="宋体"/>
                <w:color w:val="auto"/>
                <w:sz w:val="21"/>
                <w:szCs w:val="21"/>
                <w:highlight w:val="none"/>
                <w:lang w:val="en-US" w:eastAsia="zh-CN"/>
              </w:rPr>
            </w:pPr>
          </w:p>
        </w:tc>
        <w:tc>
          <w:tcPr>
            <w:tcW w:w="5243" w:type="dxa"/>
            <w:noWrap w:val="0"/>
            <w:vAlign w:val="top"/>
          </w:tcPr>
          <w:p w14:paraId="7C906EF2">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312" w:lineRule="exact"/>
              <w:ind w:left="0" w:leftChars="0" w:right="0" w:rightChars="0" w:firstLine="420" w:firstLineChars="200"/>
              <w:textAlignment w:val="baseline"/>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拆除部分污染防治设施，但其余污染防治设施不能正常运行的</w:t>
            </w:r>
          </w:p>
        </w:tc>
        <w:tc>
          <w:tcPr>
            <w:tcW w:w="1546" w:type="dxa"/>
            <w:noWrap w:val="0"/>
            <w:vAlign w:val="center"/>
          </w:tcPr>
          <w:p w14:paraId="13B6E440">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r>
      <w:tr w14:paraId="34508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3" w:type="dxa"/>
            <w:vMerge w:val="continue"/>
            <w:noWrap w:val="0"/>
            <w:vAlign w:val="center"/>
          </w:tcPr>
          <w:p w14:paraId="67A628FF">
            <w:pPr>
              <w:jc w:val="center"/>
              <w:rPr>
                <w:rFonts w:hint="eastAsia" w:ascii="宋体" w:hAnsi="宋体" w:eastAsia="宋体" w:cs="宋体"/>
                <w:color w:val="auto"/>
                <w:sz w:val="21"/>
                <w:szCs w:val="21"/>
                <w:highlight w:val="none"/>
              </w:rPr>
            </w:pPr>
          </w:p>
        </w:tc>
        <w:tc>
          <w:tcPr>
            <w:tcW w:w="5243" w:type="dxa"/>
            <w:noWrap w:val="0"/>
            <w:vAlign w:val="top"/>
          </w:tcPr>
          <w:p w14:paraId="229F87D6">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312" w:lineRule="exact"/>
              <w:ind w:left="0" w:leftChars="0" w:right="0" w:rightChars="0" w:firstLine="420" w:firstLineChars="200"/>
              <w:textAlignment w:val="baseline"/>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完全拆除污染防治设施</w:t>
            </w:r>
          </w:p>
        </w:tc>
        <w:tc>
          <w:tcPr>
            <w:tcW w:w="1546" w:type="dxa"/>
            <w:noWrap w:val="0"/>
            <w:vAlign w:val="center"/>
          </w:tcPr>
          <w:p w14:paraId="267CAEE1">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r>
      <w:tr w14:paraId="665C4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3" w:type="dxa"/>
            <w:vMerge w:val="restart"/>
            <w:noWrap w:val="0"/>
            <w:vAlign w:val="center"/>
          </w:tcPr>
          <w:p w14:paraId="668F7E3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项目应报批的环评文件类型</w:t>
            </w:r>
          </w:p>
        </w:tc>
        <w:tc>
          <w:tcPr>
            <w:tcW w:w="5243" w:type="dxa"/>
            <w:noWrap w:val="0"/>
            <w:vAlign w:val="top"/>
          </w:tcPr>
          <w:p w14:paraId="42B1CC40">
            <w:pPr>
              <w:keepNext w:val="0"/>
              <w:keepLines w:val="0"/>
              <w:pageBreakBefore w:val="0"/>
              <w:widowControl w:val="0"/>
              <w:kinsoku/>
              <w:wordWrap/>
              <w:overflowPunct/>
              <w:topLinePunct w:val="0"/>
              <w:bidi w:val="0"/>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报告表</w:t>
            </w:r>
          </w:p>
        </w:tc>
        <w:tc>
          <w:tcPr>
            <w:tcW w:w="1546" w:type="dxa"/>
            <w:noWrap w:val="0"/>
            <w:vAlign w:val="center"/>
          </w:tcPr>
          <w:p w14:paraId="2AB7B1D6">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1</w:t>
            </w:r>
          </w:p>
        </w:tc>
      </w:tr>
      <w:tr w14:paraId="170B0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3" w:type="dxa"/>
            <w:vMerge w:val="continue"/>
            <w:noWrap w:val="0"/>
            <w:vAlign w:val="center"/>
          </w:tcPr>
          <w:p w14:paraId="0A799329">
            <w:pPr>
              <w:jc w:val="center"/>
              <w:rPr>
                <w:rFonts w:hint="eastAsia" w:ascii="宋体" w:hAnsi="宋体" w:eastAsia="宋体" w:cs="宋体"/>
                <w:color w:val="auto"/>
                <w:sz w:val="21"/>
                <w:szCs w:val="21"/>
                <w:highlight w:val="none"/>
              </w:rPr>
            </w:pPr>
          </w:p>
        </w:tc>
        <w:tc>
          <w:tcPr>
            <w:tcW w:w="5243" w:type="dxa"/>
            <w:noWrap w:val="0"/>
            <w:vAlign w:val="top"/>
          </w:tcPr>
          <w:p w14:paraId="17424C35">
            <w:pPr>
              <w:keepNext w:val="0"/>
              <w:keepLines w:val="0"/>
              <w:pageBreakBefore w:val="0"/>
              <w:widowControl w:val="0"/>
              <w:kinsoku/>
              <w:wordWrap/>
              <w:overflowPunct/>
              <w:topLinePunct w:val="0"/>
              <w:bidi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一般报告书</w:t>
            </w:r>
          </w:p>
        </w:tc>
        <w:tc>
          <w:tcPr>
            <w:tcW w:w="1546" w:type="dxa"/>
            <w:noWrap w:val="0"/>
            <w:vAlign w:val="center"/>
          </w:tcPr>
          <w:p w14:paraId="6BB31A5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5C576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3" w:type="dxa"/>
            <w:vMerge w:val="continue"/>
            <w:noWrap w:val="0"/>
            <w:vAlign w:val="center"/>
          </w:tcPr>
          <w:p w14:paraId="51500F71">
            <w:pPr>
              <w:jc w:val="center"/>
              <w:rPr>
                <w:rFonts w:hint="eastAsia" w:ascii="宋体" w:hAnsi="宋体" w:eastAsia="宋体" w:cs="宋体"/>
                <w:color w:val="auto"/>
                <w:sz w:val="21"/>
                <w:szCs w:val="21"/>
                <w:highlight w:val="none"/>
              </w:rPr>
            </w:pPr>
          </w:p>
        </w:tc>
        <w:tc>
          <w:tcPr>
            <w:tcW w:w="5243" w:type="dxa"/>
            <w:noWrap w:val="0"/>
            <w:vAlign w:val="top"/>
          </w:tcPr>
          <w:p w14:paraId="0B45122D">
            <w:pPr>
              <w:keepNext w:val="0"/>
              <w:keepLines w:val="0"/>
              <w:pageBreakBefore w:val="0"/>
              <w:widowControl w:val="0"/>
              <w:kinsoku/>
              <w:wordWrap/>
              <w:overflowPunct/>
              <w:topLinePunct w:val="0"/>
              <w:bidi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报告书（化工、电镀、皮革、造纸、制浆、冶炼、放射性、印染、染料、炼焦、炼油项目）</w:t>
            </w:r>
          </w:p>
        </w:tc>
        <w:tc>
          <w:tcPr>
            <w:tcW w:w="1546" w:type="dxa"/>
            <w:noWrap w:val="0"/>
            <w:vAlign w:val="center"/>
          </w:tcPr>
          <w:p w14:paraId="3526799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4E489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3" w:type="dxa"/>
            <w:vMerge w:val="restart"/>
            <w:noWrap w:val="0"/>
            <w:vAlign w:val="center"/>
          </w:tcPr>
          <w:p w14:paraId="470E51E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排放去向或</w:t>
            </w:r>
          </w:p>
          <w:p w14:paraId="351AD67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区域</w:t>
            </w:r>
          </w:p>
        </w:tc>
        <w:tc>
          <w:tcPr>
            <w:tcW w:w="5243" w:type="dxa"/>
            <w:noWrap w:val="0"/>
            <w:vAlign w:val="top"/>
          </w:tcPr>
          <w:p w14:paraId="286F54ED">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二类环境空气功能区</w:t>
            </w:r>
            <w:r>
              <w:rPr>
                <w:rFonts w:hint="eastAsia" w:ascii="宋体" w:hAnsi="宋体" w:eastAsia="宋体" w:cs="宋体"/>
                <w:color w:val="auto"/>
                <w:sz w:val="21"/>
                <w:szCs w:val="21"/>
                <w:highlight w:val="none"/>
              </w:rPr>
              <w:t>（工业区和农村地区）</w:t>
            </w:r>
            <w:r>
              <w:rPr>
                <w:rFonts w:hint="eastAsia" w:ascii="宋体" w:hAnsi="宋体" w:cs="宋体"/>
                <w:color w:val="auto"/>
                <w:sz w:val="21"/>
                <w:szCs w:val="21"/>
                <w:highlight w:val="none"/>
                <w:lang w:val="en-US" w:eastAsia="zh-CN"/>
              </w:rPr>
              <w:t>/V类水体（或者污水集中处理设施）/</w:t>
            </w:r>
            <w:r>
              <w:rPr>
                <w:rFonts w:hint="eastAsia" w:ascii="宋体" w:hAnsi="宋体" w:eastAsia="宋体" w:cs="宋体"/>
                <w:color w:val="auto"/>
                <w:sz w:val="21"/>
                <w:szCs w:val="21"/>
                <w:highlight w:val="none"/>
              </w:rPr>
              <w:t>4类声环境功能区</w:t>
            </w:r>
            <w:r>
              <w:rPr>
                <w:rFonts w:hint="eastAsia" w:ascii="宋体" w:hAnsi="宋体" w:eastAsia="宋体" w:cs="宋体"/>
                <w:color w:val="auto"/>
                <w:sz w:val="21"/>
                <w:szCs w:val="21"/>
                <w:highlight w:val="none"/>
                <w:lang w:val="en-US" w:eastAsia="zh-CN"/>
              </w:rPr>
              <w:t>/第四类海水水质的区域</w:t>
            </w:r>
          </w:p>
        </w:tc>
        <w:tc>
          <w:tcPr>
            <w:tcW w:w="1546" w:type="dxa"/>
            <w:noWrap w:val="0"/>
            <w:vAlign w:val="center"/>
          </w:tcPr>
          <w:p w14:paraId="396CFD9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1659B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3" w:type="dxa"/>
            <w:vMerge w:val="continue"/>
            <w:noWrap w:val="0"/>
            <w:vAlign w:val="center"/>
          </w:tcPr>
          <w:p w14:paraId="17EA340B">
            <w:pPr>
              <w:jc w:val="center"/>
              <w:rPr>
                <w:rFonts w:hint="eastAsia" w:ascii="宋体" w:hAnsi="宋体" w:eastAsia="宋体" w:cs="宋体"/>
                <w:color w:val="auto"/>
                <w:sz w:val="21"/>
                <w:szCs w:val="21"/>
                <w:highlight w:val="none"/>
              </w:rPr>
            </w:pPr>
          </w:p>
        </w:tc>
        <w:tc>
          <w:tcPr>
            <w:tcW w:w="5243" w:type="dxa"/>
            <w:noWrap w:val="0"/>
            <w:vAlign w:val="top"/>
          </w:tcPr>
          <w:p w14:paraId="45544441">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Ⅳ类</w:t>
            </w:r>
            <w:r>
              <w:rPr>
                <w:rFonts w:hint="eastAsia" w:ascii="宋体" w:hAnsi="宋体" w:eastAsia="宋体" w:cs="宋体"/>
                <w:color w:val="auto"/>
                <w:sz w:val="21"/>
                <w:szCs w:val="21"/>
                <w:highlight w:val="none"/>
              </w:rPr>
              <w:t>水体</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3类声环境功能区</w:t>
            </w:r>
            <w:r>
              <w:rPr>
                <w:rFonts w:hint="eastAsia" w:ascii="宋体" w:hAnsi="宋体" w:eastAsia="宋体" w:cs="宋体"/>
                <w:color w:val="auto"/>
                <w:sz w:val="21"/>
                <w:szCs w:val="21"/>
                <w:highlight w:val="none"/>
                <w:lang w:val="en-US" w:eastAsia="zh-CN"/>
              </w:rPr>
              <w:t>/第三类海水水质的区域</w:t>
            </w:r>
          </w:p>
        </w:tc>
        <w:tc>
          <w:tcPr>
            <w:tcW w:w="1546" w:type="dxa"/>
            <w:noWrap w:val="0"/>
            <w:vAlign w:val="center"/>
          </w:tcPr>
          <w:p w14:paraId="0723B8A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p>
        </w:tc>
      </w:tr>
      <w:tr w14:paraId="51443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3" w:type="dxa"/>
            <w:vMerge w:val="continue"/>
            <w:noWrap w:val="0"/>
            <w:vAlign w:val="center"/>
          </w:tcPr>
          <w:p w14:paraId="3E44561D">
            <w:pPr>
              <w:jc w:val="center"/>
              <w:rPr>
                <w:rFonts w:hint="eastAsia" w:ascii="宋体" w:hAnsi="宋体" w:eastAsia="宋体" w:cs="宋体"/>
                <w:color w:val="auto"/>
                <w:sz w:val="21"/>
                <w:szCs w:val="21"/>
                <w:highlight w:val="none"/>
              </w:rPr>
            </w:pPr>
          </w:p>
        </w:tc>
        <w:tc>
          <w:tcPr>
            <w:tcW w:w="5243" w:type="dxa"/>
            <w:noWrap w:val="0"/>
            <w:vAlign w:val="top"/>
          </w:tcPr>
          <w:p w14:paraId="388E2690">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二类环境空气功能区</w:t>
            </w:r>
            <w:r>
              <w:rPr>
                <w:rFonts w:hint="eastAsia" w:ascii="宋体" w:hAnsi="宋体" w:eastAsia="宋体" w:cs="宋体"/>
                <w:color w:val="auto"/>
                <w:sz w:val="21"/>
                <w:szCs w:val="21"/>
                <w:highlight w:val="none"/>
                <w:lang w:eastAsia="zh-CN"/>
              </w:rPr>
              <w:t>（居民区、商业交通居民混合区、文化区）/</w:t>
            </w:r>
            <w:r>
              <w:rPr>
                <w:rFonts w:hint="eastAsia" w:ascii="宋体" w:hAnsi="宋体" w:cs="宋体"/>
                <w:color w:val="auto"/>
                <w:sz w:val="21"/>
                <w:szCs w:val="21"/>
                <w:highlight w:val="none"/>
                <w:lang w:eastAsia="zh-CN"/>
              </w:rPr>
              <w:t>Ⅲ类</w:t>
            </w:r>
            <w:r>
              <w:rPr>
                <w:rFonts w:hint="eastAsia" w:ascii="宋体" w:hAnsi="宋体" w:eastAsia="宋体" w:cs="宋体"/>
                <w:color w:val="auto"/>
                <w:sz w:val="21"/>
                <w:szCs w:val="21"/>
                <w:highlight w:val="none"/>
                <w:lang w:eastAsia="zh-CN"/>
              </w:rPr>
              <w:t>水体/2类声环境功能区/饮用水水源准保护区/自然保护地外的生态保护红线区域</w:t>
            </w:r>
          </w:p>
        </w:tc>
        <w:tc>
          <w:tcPr>
            <w:tcW w:w="1546" w:type="dxa"/>
            <w:noWrap w:val="0"/>
            <w:vAlign w:val="center"/>
          </w:tcPr>
          <w:p w14:paraId="59BEB95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5EDAD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3" w:type="dxa"/>
            <w:vMerge w:val="continue"/>
            <w:noWrap w:val="0"/>
            <w:vAlign w:val="center"/>
          </w:tcPr>
          <w:p w14:paraId="688ADA26">
            <w:pPr>
              <w:jc w:val="center"/>
              <w:rPr>
                <w:rFonts w:hint="eastAsia" w:ascii="宋体" w:hAnsi="宋体" w:eastAsia="宋体" w:cs="宋体"/>
                <w:color w:val="auto"/>
                <w:sz w:val="21"/>
                <w:szCs w:val="21"/>
                <w:highlight w:val="none"/>
              </w:rPr>
            </w:pPr>
          </w:p>
        </w:tc>
        <w:tc>
          <w:tcPr>
            <w:tcW w:w="5243" w:type="dxa"/>
            <w:noWrap w:val="0"/>
            <w:vAlign w:val="top"/>
          </w:tcPr>
          <w:p w14:paraId="5D981FE1">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Ⅱ类</w:t>
            </w:r>
            <w:r>
              <w:rPr>
                <w:rFonts w:hint="eastAsia" w:ascii="宋体" w:hAnsi="宋体" w:eastAsia="宋体" w:cs="宋体"/>
                <w:color w:val="auto"/>
                <w:sz w:val="21"/>
                <w:szCs w:val="21"/>
                <w:highlight w:val="none"/>
              </w:rPr>
              <w:t>水体</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1类声环境功能区／自然保护地一般控制区</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饮用水水源二级保护区</w:t>
            </w:r>
            <w:r>
              <w:rPr>
                <w:rFonts w:hint="eastAsia" w:ascii="宋体" w:hAnsi="宋体" w:eastAsia="宋体" w:cs="宋体"/>
                <w:color w:val="auto"/>
                <w:sz w:val="21"/>
                <w:szCs w:val="21"/>
                <w:highlight w:val="none"/>
                <w:lang w:val="en-US" w:eastAsia="zh-CN"/>
              </w:rPr>
              <w:t>/第二类海水水质的区域</w:t>
            </w:r>
          </w:p>
        </w:tc>
        <w:tc>
          <w:tcPr>
            <w:tcW w:w="1546" w:type="dxa"/>
            <w:noWrap w:val="0"/>
            <w:vAlign w:val="center"/>
          </w:tcPr>
          <w:p w14:paraId="589158A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p>
        </w:tc>
      </w:tr>
      <w:tr w14:paraId="6724A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3" w:type="dxa"/>
            <w:vMerge w:val="continue"/>
            <w:noWrap w:val="0"/>
            <w:vAlign w:val="center"/>
          </w:tcPr>
          <w:p w14:paraId="4857845D">
            <w:pPr>
              <w:jc w:val="center"/>
              <w:rPr>
                <w:rFonts w:hint="eastAsia" w:ascii="宋体" w:hAnsi="宋体" w:eastAsia="宋体" w:cs="宋体"/>
                <w:color w:val="auto"/>
                <w:sz w:val="21"/>
                <w:szCs w:val="21"/>
                <w:highlight w:val="none"/>
              </w:rPr>
            </w:pPr>
          </w:p>
        </w:tc>
        <w:tc>
          <w:tcPr>
            <w:tcW w:w="5243" w:type="dxa"/>
            <w:noWrap w:val="0"/>
            <w:vAlign w:val="top"/>
          </w:tcPr>
          <w:p w14:paraId="650BF4B7">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一类环境空气功能区</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I类水体</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0类声环境功能区／自然保护地核心保护区</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饮用水水源一级保护区</w:t>
            </w:r>
            <w:r>
              <w:rPr>
                <w:rFonts w:hint="eastAsia" w:ascii="宋体" w:hAnsi="宋体" w:eastAsia="宋体" w:cs="宋体"/>
                <w:color w:val="auto"/>
                <w:sz w:val="21"/>
                <w:szCs w:val="21"/>
                <w:highlight w:val="none"/>
                <w:lang w:val="en-US" w:eastAsia="zh-CN"/>
              </w:rPr>
              <w:t>/第一类海水水质的区域</w:t>
            </w:r>
          </w:p>
        </w:tc>
        <w:tc>
          <w:tcPr>
            <w:tcW w:w="1546" w:type="dxa"/>
            <w:noWrap w:val="0"/>
            <w:vAlign w:val="center"/>
          </w:tcPr>
          <w:p w14:paraId="21EF65F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1F265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3" w:type="dxa"/>
            <w:vMerge w:val="restart"/>
            <w:noWrap w:val="0"/>
            <w:vAlign w:val="center"/>
          </w:tcPr>
          <w:p w14:paraId="02A4013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污染物</w:t>
            </w:r>
            <w:r>
              <w:rPr>
                <w:rFonts w:hint="eastAsia" w:ascii="宋体" w:hAnsi="宋体" w:eastAsia="宋体" w:cs="宋体"/>
                <w:color w:val="auto"/>
                <w:sz w:val="21"/>
                <w:szCs w:val="21"/>
                <w:highlight w:val="none"/>
              </w:rPr>
              <w:t>类别</w:t>
            </w:r>
          </w:p>
        </w:tc>
        <w:tc>
          <w:tcPr>
            <w:tcW w:w="5243" w:type="dxa"/>
            <w:noWrap w:val="0"/>
            <w:vAlign w:val="top"/>
          </w:tcPr>
          <w:p w14:paraId="278B8D24">
            <w:pPr>
              <w:adjustRightInd w:val="0"/>
              <w:ind w:firstLine="420" w:firstLineChars="200"/>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一般废气、废水、固体废物、噪声、畜禽养殖废水</w:t>
            </w:r>
          </w:p>
        </w:tc>
        <w:tc>
          <w:tcPr>
            <w:tcW w:w="1546" w:type="dxa"/>
            <w:noWrap w:val="0"/>
            <w:vAlign w:val="center"/>
          </w:tcPr>
          <w:p w14:paraId="294BC4F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32056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3" w:type="dxa"/>
            <w:vMerge w:val="continue"/>
            <w:noWrap w:val="0"/>
            <w:vAlign w:val="center"/>
          </w:tcPr>
          <w:p w14:paraId="550443D2">
            <w:pPr>
              <w:jc w:val="center"/>
              <w:rPr>
                <w:rFonts w:hint="eastAsia" w:ascii="宋体" w:hAnsi="宋体" w:eastAsia="宋体" w:cs="宋体"/>
                <w:color w:val="auto"/>
                <w:sz w:val="21"/>
                <w:szCs w:val="21"/>
                <w:highlight w:val="none"/>
              </w:rPr>
            </w:pPr>
          </w:p>
        </w:tc>
        <w:tc>
          <w:tcPr>
            <w:tcW w:w="5243" w:type="dxa"/>
            <w:noWrap w:val="0"/>
            <w:vAlign w:val="top"/>
          </w:tcPr>
          <w:p w14:paraId="01A96B5E">
            <w:pPr>
              <w:adjustRightInd w:val="0"/>
              <w:ind w:firstLine="420" w:firstLineChars="200"/>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火电、钢铁、石化、水泥、炼焦、有色、化工废气/医疗废水</w:t>
            </w:r>
          </w:p>
        </w:tc>
        <w:tc>
          <w:tcPr>
            <w:tcW w:w="1546" w:type="dxa"/>
            <w:noWrap w:val="0"/>
            <w:vAlign w:val="center"/>
          </w:tcPr>
          <w:p w14:paraId="2164596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p>
        </w:tc>
      </w:tr>
      <w:tr w14:paraId="79843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3" w:type="dxa"/>
            <w:vMerge w:val="continue"/>
            <w:noWrap w:val="0"/>
            <w:vAlign w:val="center"/>
          </w:tcPr>
          <w:p w14:paraId="20DC9D52">
            <w:pPr>
              <w:jc w:val="center"/>
              <w:rPr>
                <w:rFonts w:hint="eastAsia" w:ascii="宋体" w:hAnsi="宋体" w:eastAsia="宋体" w:cs="宋体"/>
                <w:color w:val="auto"/>
                <w:sz w:val="21"/>
                <w:szCs w:val="21"/>
                <w:highlight w:val="none"/>
              </w:rPr>
            </w:pPr>
          </w:p>
        </w:tc>
        <w:tc>
          <w:tcPr>
            <w:tcW w:w="5243" w:type="dxa"/>
            <w:noWrap w:val="0"/>
            <w:vAlign w:val="top"/>
          </w:tcPr>
          <w:p w14:paraId="1E10EBAA">
            <w:pPr>
              <w:adjustRightInd w:val="0"/>
              <w:ind w:firstLine="420" w:firstLineChars="200"/>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含有毒有害物质的废气、废水／含一类污染物或重金属、病原体、放射性物质的废水／危险废物</w:t>
            </w:r>
          </w:p>
        </w:tc>
        <w:tc>
          <w:tcPr>
            <w:tcW w:w="1546" w:type="dxa"/>
            <w:noWrap w:val="0"/>
            <w:vAlign w:val="center"/>
          </w:tcPr>
          <w:p w14:paraId="2F8914D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p>
        </w:tc>
      </w:tr>
      <w:tr w14:paraId="131AE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 w:hRule="atLeast"/>
          <w:jc w:val="center"/>
        </w:trPr>
        <w:tc>
          <w:tcPr>
            <w:tcW w:w="1733" w:type="dxa"/>
            <w:noWrap w:val="0"/>
            <w:vAlign w:val="center"/>
          </w:tcPr>
          <w:p w14:paraId="396537C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备注</w:t>
            </w:r>
          </w:p>
        </w:tc>
        <w:tc>
          <w:tcPr>
            <w:tcW w:w="6789" w:type="dxa"/>
            <w:gridSpan w:val="2"/>
            <w:noWrap w:val="0"/>
            <w:vAlign w:val="top"/>
          </w:tcPr>
          <w:p w14:paraId="2041BD60">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涉及多种污染物类别时，</w:t>
            </w:r>
            <w:r>
              <w:rPr>
                <w:rFonts w:hint="eastAsia" w:ascii="宋体" w:hAnsi="宋体" w:cs="宋体"/>
                <w:color w:val="auto"/>
                <w:sz w:val="21"/>
                <w:szCs w:val="21"/>
                <w:highlight w:val="none"/>
                <w:lang w:eastAsia="zh-CN"/>
              </w:rPr>
              <w:t>裁量</w:t>
            </w:r>
            <w:r>
              <w:rPr>
                <w:rFonts w:hint="eastAsia" w:ascii="宋体" w:hAnsi="宋体" w:eastAsia="宋体" w:cs="宋体"/>
                <w:color w:val="auto"/>
                <w:sz w:val="21"/>
                <w:szCs w:val="21"/>
                <w:highlight w:val="none"/>
              </w:rPr>
              <w:t>标准以裁量等级最高为准</w:t>
            </w:r>
            <w:r>
              <w:rPr>
                <w:rFonts w:hint="eastAsia" w:ascii="宋体" w:hAnsi="宋体" w:eastAsia="宋体" w:cs="宋体"/>
                <w:color w:val="auto"/>
                <w:sz w:val="21"/>
                <w:szCs w:val="21"/>
                <w:highlight w:val="none"/>
                <w:lang w:eastAsia="zh-CN"/>
              </w:rPr>
              <w:t>；</w:t>
            </w:r>
          </w:p>
          <w:p w14:paraId="39A98C58">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一般报告书指除化工、电镀、皮革、造纸、制浆、冶炼、放射性、印染、染料、炼焦、炼油项目外的报告书</w:t>
            </w:r>
          </w:p>
        </w:tc>
      </w:tr>
    </w:tbl>
    <w:p w14:paraId="1DAF0383">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17"/>
        <w:gridCol w:w="5522"/>
        <w:gridCol w:w="1609"/>
      </w:tblGrid>
      <w:tr w14:paraId="32F10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3"/>
            <w:noWrap w:val="0"/>
            <w:vAlign w:val="top"/>
          </w:tcPr>
          <w:p w14:paraId="625490D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三</w:t>
            </w:r>
            <w:r>
              <w:rPr>
                <w:rFonts w:hint="eastAsia" w:ascii="宋体" w:hAnsi="宋体" w:eastAsia="宋体" w:cs="宋体"/>
                <w:color w:val="auto"/>
                <w:sz w:val="21"/>
                <w:szCs w:val="21"/>
                <w:highlight w:val="none"/>
              </w:rPr>
              <w:t>）排污许可管理类</w:t>
            </w:r>
          </w:p>
        </w:tc>
      </w:tr>
      <w:tr w14:paraId="2EA8B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1" w:type="dxa"/>
            <w:noWrap w:val="0"/>
            <w:vAlign w:val="center"/>
          </w:tcPr>
          <w:p w14:paraId="68B9F9C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791" w:type="dxa"/>
            <w:gridSpan w:val="2"/>
            <w:noWrap w:val="0"/>
            <w:vAlign w:val="top"/>
          </w:tcPr>
          <w:p w14:paraId="2808D37A">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r>
      <w:tr w14:paraId="3B78F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1" w:type="dxa"/>
            <w:noWrap w:val="0"/>
            <w:vAlign w:val="center"/>
          </w:tcPr>
          <w:p w14:paraId="068E904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6791" w:type="dxa"/>
            <w:gridSpan w:val="2"/>
            <w:noWrap w:val="0"/>
            <w:vAlign w:val="top"/>
          </w:tcPr>
          <w:p w14:paraId="0829AE79">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以欺骗、贿赂等不正当手段申请取得排污许可证的</w:t>
            </w:r>
          </w:p>
        </w:tc>
      </w:tr>
      <w:tr w14:paraId="2BC9D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 w:hRule="atLeast"/>
          <w:jc w:val="center"/>
        </w:trPr>
        <w:tc>
          <w:tcPr>
            <w:tcW w:w="1731" w:type="dxa"/>
            <w:noWrap w:val="0"/>
            <w:vAlign w:val="center"/>
          </w:tcPr>
          <w:p w14:paraId="69A48FF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6791" w:type="dxa"/>
            <w:gridSpan w:val="2"/>
            <w:noWrap w:val="0"/>
            <w:vAlign w:val="top"/>
          </w:tcPr>
          <w:p w14:paraId="128D1F2C">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《中华人民共和国生态环境法典》第一百七十四条第二款 实行排污许可管理的企业事业单位和其他生产经营者应当按照规定取得排污许可证，未取得排污许可证的不得排放污染物。</w:t>
            </w:r>
          </w:p>
          <w:p w14:paraId="742677D5">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《中华人民共和国生态环境法典》第一百七十八条</w:t>
            </w:r>
            <w:r>
              <w:rPr>
                <w:rFonts w:hint="eastAsia" w:ascii="宋体" w:hAnsi="宋体" w:eastAsia="宋体" w:cs="宋体"/>
                <w:color w:val="auto"/>
                <w:sz w:val="21"/>
                <w:szCs w:val="21"/>
                <w:highlight w:val="none"/>
                <w:lang w:val="en-US" w:eastAsia="zh-CN"/>
              </w:rPr>
              <w:t xml:space="preserve">第一款 </w:t>
            </w:r>
            <w:r>
              <w:rPr>
                <w:rFonts w:hint="eastAsia" w:ascii="宋体" w:hAnsi="宋体" w:eastAsia="宋体" w:cs="宋体"/>
                <w:color w:val="auto"/>
                <w:sz w:val="21"/>
                <w:szCs w:val="21"/>
                <w:highlight w:val="none"/>
              </w:rPr>
              <w:t>企业事业单位和其他生产经营者应当向其生产经营场所所在地设区的市级以上地方人民政府生态环境主管部门申请取得排污许可证。</w:t>
            </w:r>
          </w:p>
        </w:tc>
      </w:tr>
      <w:tr w14:paraId="3291C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1" w:type="dxa"/>
            <w:noWrap w:val="0"/>
            <w:vAlign w:val="center"/>
          </w:tcPr>
          <w:p w14:paraId="1D71230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6791" w:type="dxa"/>
            <w:gridSpan w:val="2"/>
            <w:noWrap w:val="0"/>
            <w:vAlign w:val="top"/>
          </w:tcPr>
          <w:p w14:paraId="2C39B4EA">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《中华人民共和国生态环境法典》第一千一百零五条  违反本法规定，以欺骗、贿赂等不正当手段申请取得排污许可证的，由生态环境主管部门依法撤销其排污许可证，处二十万元以上五十万元以下的罚款。</w:t>
            </w:r>
          </w:p>
        </w:tc>
      </w:tr>
      <w:tr w14:paraId="7AC1D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1" w:type="dxa"/>
            <w:noWrap w:val="0"/>
            <w:vAlign w:val="center"/>
          </w:tcPr>
          <w:p w14:paraId="6C80C17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259" w:type="dxa"/>
            <w:noWrap w:val="0"/>
            <w:vAlign w:val="top"/>
          </w:tcPr>
          <w:p w14:paraId="1E16F1E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532" w:type="dxa"/>
            <w:noWrap w:val="0"/>
            <w:vAlign w:val="top"/>
          </w:tcPr>
          <w:p w14:paraId="34E19F6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2ED57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1" w:type="dxa"/>
            <w:vMerge w:val="restart"/>
            <w:noWrap w:val="0"/>
            <w:vAlign w:val="center"/>
          </w:tcPr>
          <w:p w14:paraId="53889F34">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违法事实</w:t>
            </w:r>
          </w:p>
        </w:tc>
        <w:tc>
          <w:tcPr>
            <w:tcW w:w="5259" w:type="dxa"/>
            <w:noWrap w:val="0"/>
            <w:vAlign w:val="top"/>
          </w:tcPr>
          <w:p w14:paraId="76D4893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以欺骗、贿赂等不正当手段取得许可证，尚未排污</w:t>
            </w:r>
          </w:p>
        </w:tc>
        <w:tc>
          <w:tcPr>
            <w:tcW w:w="1532" w:type="dxa"/>
            <w:noWrap w:val="0"/>
            <w:vAlign w:val="top"/>
          </w:tcPr>
          <w:p w14:paraId="29397ACC">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r>
      <w:tr w14:paraId="449D5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1" w:type="dxa"/>
            <w:vMerge w:val="continue"/>
            <w:noWrap w:val="0"/>
            <w:vAlign w:val="center"/>
          </w:tcPr>
          <w:p w14:paraId="24934636">
            <w:pPr>
              <w:jc w:val="center"/>
              <w:rPr>
                <w:rFonts w:hint="eastAsia" w:ascii="宋体" w:hAnsi="宋体" w:eastAsia="宋体" w:cs="宋体"/>
                <w:color w:val="auto"/>
                <w:sz w:val="21"/>
                <w:szCs w:val="21"/>
                <w:highlight w:val="none"/>
              </w:rPr>
            </w:pPr>
          </w:p>
        </w:tc>
        <w:tc>
          <w:tcPr>
            <w:tcW w:w="5259" w:type="dxa"/>
            <w:noWrap w:val="0"/>
            <w:vAlign w:val="top"/>
          </w:tcPr>
          <w:p w14:paraId="713A7C4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以欺骗、贿赂等不正当手段取得许可证，已排污</w:t>
            </w:r>
          </w:p>
        </w:tc>
        <w:tc>
          <w:tcPr>
            <w:tcW w:w="1532" w:type="dxa"/>
            <w:noWrap w:val="0"/>
            <w:vAlign w:val="top"/>
          </w:tcPr>
          <w:p w14:paraId="1877FA61">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r>
      <w:tr w14:paraId="2C440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1" w:type="dxa"/>
            <w:vMerge w:val="restart"/>
            <w:noWrap w:val="0"/>
            <w:vAlign w:val="center"/>
          </w:tcPr>
          <w:p w14:paraId="5CBD59A7">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排污</w:t>
            </w:r>
            <w:r>
              <w:rPr>
                <w:rFonts w:hint="eastAsia" w:ascii="宋体" w:hAnsi="宋体" w:eastAsia="宋体" w:cs="宋体"/>
                <w:color w:val="auto"/>
                <w:sz w:val="21"/>
                <w:szCs w:val="21"/>
                <w:highlight w:val="none"/>
                <w:lang w:val="en-US" w:eastAsia="zh-CN"/>
              </w:rPr>
              <w:t>许可</w:t>
            </w:r>
          </w:p>
          <w:p w14:paraId="20F704E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管理类别</w:t>
            </w:r>
          </w:p>
        </w:tc>
        <w:tc>
          <w:tcPr>
            <w:tcW w:w="5259" w:type="dxa"/>
            <w:noWrap w:val="0"/>
            <w:vAlign w:val="top"/>
          </w:tcPr>
          <w:p w14:paraId="07E105E8">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简化管理</w:t>
            </w:r>
          </w:p>
        </w:tc>
        <w:tc>
          <w:tcPr>
            <w:tcW w:w="1532" w:type="dxa"/>
            <w:noWrap w:val="0"/>
            <w:vAlign w:val="top"/>
          </w:tcPr>
          <w:p w14:paraId="5FC4B0D1">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r>
      <w:tr w14:paraId="61E48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1" w:type="dxa"/>
            <w:vMerge w:val="continue"/>
            <w:noWrap w:val="0"/>
            <w:vAlign w:val="center"/>
          </w:tcPr>
          <w:p w14:paraId="4877F317">
            <w:pPr>
              <w:jc w:val="center"/>
              <w:rPr>
                <w:rFonts w:hint="eastAsia" w:ascii="宋体" w:hAnsi="宋体" w:eastAsia="宋体" w:cs="宋体"/>
                <w:color w:val="auto"/>
                <w:sz w:val="21"/>
                <w:szCs w:val="21"/>
                <w:highlight w:val="none"/>
              </w:rPr>
            </w:pPr>
          </w:p>
        </w:tc>
        <w:tc>
          <w:tcPr>
            <w:tcW w:w="5259" w:type="dxa"/>
            <w:noWrap w:val="0"/>
            <w:vAlign w:val="center"/>
          </w:tcPr>
          <w:p w14:paraId="610A5703">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312" w:lineRule="exact"/>
              <w:ind w:left="0" w:leftChars="0" w:right="0" w:rightChars="0"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重点管理</w:t>
            </w:r>
          </w:p>
        </w:tc>
        <w:tc>
          <w:tcPr>
            <w:tcW w:w="1532" w:type="dxa"/>
            <w:noWrap w:val="0"/>
            <w:vAlign w:val="center"/>
          </w:tcPr>
          <w:p w14:paraId="45B11E33">
            <w:pPr>
              <w:keepNext w:val="0"/>
              <w:keepLines w:val="0"/>
              <w:pageBreakBefore w:val="0"/>
              <w:widowControl w:val="0"/>
              <w:shd w:val="clear" w:color="auto" w:fill="auto"/>
              <w:kinsoku/>
              <w:wordWrap/>
              <w:overflowPunct/>
              <w:topLinePunct/>
              <w:autoSpaceDE w:val="0"/>
              <w:autoSpaceDN w:val="0"/>
              <w:bidi w:val="0"/>
              <w:adjustRightInd w:val="0"/>
              <w:snapToGrid w:val="0"/>
              <w:spacing w:line="312"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1BBFE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1" w:type="dxa"/>
            <w:vMerge w:val="continue"/>
            <w:noWrap w:val="0"/>
            <w:vAlign w:val="center"/>
          </w:tcPr>
          <w:p w14:paraId="31F13D07">
            <w:pPr>
              <w:keepNext w:val="0"/>
              <w:keepLines w:val="0"/>
              <w:pageBreakBefore w:val="0"/>
              <w:widowControl w:val="0"/>
              <w:shd w:val="clear" w:color="auto" w:fill="auto"/>
              <w:kinsoku/>
              <w:wordWrap/>
              <w:overflowPunct/>
              <w:topLinePunct/>
              <w:autoSpaceDE w:val="0"/>
              <w:autoSpaceDN w:val="0"/>
              <w:bidi w:val="0"/>
              <w:adjustRightInd w:val="0"/>
              <w:snapToGrid w:val="0"/>
              <w:spacing w:line="312"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p>
        </w:tc>
        <w:tc>
          <w:tcPr>
            <w:tcW w:w="5259" w:type="dxa"/>
            <w:noWrap w:val="0"/>
            <w:vAlign w:val="center"/>
          </w:tcPr>
          <w:p w14:paraId="70612863">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312" w:lineRule="exact"/>
              <w:ind w:left="0" w:leftChars="0" w:right="0" w:rightChars="0"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重点管理（钢铁、石化、化工、电镀、皮革、造纸、冶炼、印染、染料、水泥、煤电、陶瓷、采矿、放射性、危废经营、垃圾焚烧发电、平板玻璃，“两高”项目）</w:t>
            </w:r>
          </w:p>
        </w:tc>
        <w:tc>
          <w:tcPr>
            <w:tcW w:w="1532" w:type="dxa"/>
            <w:noWrap w:val="0"/>
            <w:vAlign w:val="center"/>
          </w:tcPr>
          <w:p w14:paraId="63264F9E">
            <w:pPr>
              <w:keepNext w:val="0"/>
              <w:keepLines w:val="0"/>
              <w:pageBreakBefore w:val="0"/>
              <w:widowControl w:val="0"/>
              <w:shd w:val="clear" w:color="auto" w:fill="auto"/>
              <w:kinsoku/>
              <w:wordWrap/>
              <w:overflowPunct/>
              <w:topLinePunct/>
              <w:autoSpaceDE w:val="0"/>
              <w:autoSpaceDN w:val="0"/>
              <w:bidi w:val="0"/>
              <w:adjustRightInd w:val="0"/>
              <w:snapToGrid w:val="0"/>
              <w:spacing w:line="312"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13D94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1" w:type="dxa"/>
            <w:vMerge w:val="restart"/>
            <w:noWrap w:val="0"/>
            <w:vAlign w:val="center"/>
          </w:tcPr>
          <w:p w14:paraId="7B71984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排放去向或</w:t>
            </w:r>
          </w:p>
          <w:p w14:paraId="74A3C51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区域</w:t>
            </w:r>
          </w:p>
        </w:tc>
        <w:tc>
          <w:tcPr>
            <w:tcW w:w="5259" w:type="dxa"/>
            <w:noWrap w:val="0"/>
            <w:vAlign w:val="top"/>
          </w:tcPr>
          <w:p w14:paraId="4557805F">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二类环境空气功能区</w:t>
            </w:r>
            <w:r>
              <w:rPr>
                <w:rFonts w:hint="eastAsia" w:ascii="宋体" w:hAnsi="宋体" w:eastAsia="宋体" w:cs="宋体"/>
                <w:color w:val="auto"/>
                <w:sz w:val="21"/>
                <w:szCs w:val="21"/>
                <w:highlight w:val="none"/>
              </w:rPr>
              <w:t>（工业区和农村地区）</w:t>
            </w:r>
            <w:r>
              <w:rPr>
                <w:rFonts w:hint="eastAsia" w:ascii="宋体" w:hAnsi="宋体" w:cs="宋体"/>
                <w:color w:val="auto"/>
                <w:sz w:val="21"/>
                <w:szCs w:val="21"/>
                <w:highlight w:val="none"/>
                <w:lang w:val="en-US" w:eastAsia="zh-CN"/>
              </w:rPr>
              <w:t>/V类水体（或者污水集中处理设施）/</w:t>
            </w:r>
            <w:r>
              <w:rPr>
                <w:rFonts w:hint="eastAsia" w:ascii="宋体" w:hAnsi="宋体" w:eastAsia="宋体" w:cs="宋体"/>
                <w:color w:val="auto"/>
                <w:sz w:val="21"/>
                <w:szCs w:val="21"/>
                <w:highlight w:val="none"/>
              </w:rPr>
              <w:t>4类声环境功能区</w:t>
            </w:r>
            <w:r>
              <w:rPr>
                <w:rFonts w:hint="eastAsia" w:ascii="宋体" w:hAnsi="宋体" w:eastAsia="宋体" w:cs="宋体"/>
                <w:color w:val="auto"/>
                <w:sz w:val="21"/>
                <w:szCs w:val="21"/>
                <w:highlight w:val="none"/>
                <w:lang w:val="en-US" w:eastAsia="zh-CN"/>
              </w:rPr>
              <w:t>/第四类海水水质的区域</w:t>
            </w:r>
          </w:p>
        </w:tc>
        <w:tc>
          <w:tcPr>
            <w:tcW w:w="1532" w:type="dxa"/>
            <w:noWrap w:val="0"/>
            <w:vAlign w:val="center"/>
          </w:tcPr>
          <w:p w14:paraId="5A62079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3B15A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1" w:type="dxa"/>
            <w:vMerge w:val="continue"/>
            <w:noWrap w:val="0"/>
            <w:vAlign w:val="center"/>
          </w:tcPr>
          <w:p w14:paraId="79092AFB">
            <w:pPr>
              <w:jc w:val="center"/>
              <w:rPr>
                <w:rFonts w:hint="eastAsia" w:ascii="宋体" w:hAnsi="宋体" w:eastAsia="宋体" w:cs="宋体"/>
                <w:color w:val="auto"/>
                <w:sz w:val="21"/>
                <w:szCs w:val="21"/>
                <w:highlight w:val="none"/>
              </w:rPr>
            </w:pPr>
          </w:p>
        </w:tc>
        <w:tc>
          <w:tcPr>
            <w:tcW w:w="5259" w:type="dxa"/>
            <w:noWrap w:val="0"/>
            <w:vAlign w:val="top"/>
          </w:tcPr>
          <w:p w14:paraId="1BCF0B63">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Ⅳ类</w:t>
            </w:r>
            <w:r>
              <w:rPr>
                <w:rFonts w:hint="eastAsia" w:ascii="宋体" w:hAnsi="宋体" w:eastAsia="宋体" w:cs="宋体"/>
                <w:color w:val="auto"/>
                <w:sz w:val="21"/>
                <w:szCs w:val="21"/>
                <w:highlight w:val="none"/>
              </w:rPr>
              <w:t>水体</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3类声环境功能区</w:t>
            </w:r>
            <w:r>
              <w:rPr>
                <w:rFonts w:hint="eastAsia" w:ascii="宋体" w:hAnsi="宋体" w:eastAsia="宋体" w:cs="宋体"/>
                <w:color w:val="auto"/>
                <w:sz w:val="21"/>
                <w:szCs w:val="21"/>
                <w:highlight w:val="none"/>
                <w:lang w:val="en-US" w:eastAsia="zh-CN"/>
              </w:rPr>
              <w:t>/第三类海水水质的区域</w:t>
            </w:r>
          </w:p>
        </w:tc>
        <w:tc>
          <w:tcPr>
            <w:tcW w:w="1532" w:type="dxa"/>
            <w:noWrap w:val="0"/>
            <w:vAlign w:val="center"/>
          </w:tcPr>
          <w:p w14:paraId="52ADF0C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p>
        </w:tc>
      </w:tr>
      <w:tr w14:paraId="58002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1" w:type="dxa"/>
            <w:vMerge w:val="continue"/>
            <w:noWrap w:val="0"/>
            <w:vAlign w:val="center"/>
          </w:tcPr>
          <w:p w14:paraId="1668EEC1">
            <w:pPr>
              <w:jc w:val="center"/>
              <w:rPr>
                <w:rFonts w:hint="eastAsia" w:ascii="宋体" w:hAnsi="宋体" w:eastAsia="宋体" w:cs="宋体"/>
                <w:color w:val="auto"/>
                <w:sz w:val="21"/>
                <w:szCs w:val="21"/>
                <w:highlight w:val="none"/>
              </w:rPr>
            </w:pPr>
          </w:p>
        </w:tc>
        <w:tc>
          <w:tcPr>
            <w:tcW w:w="5259" w:type="dxa"/>
            <w:noWrap w:val="0"/>
            <w:vAlign w:val="top"/>
          </w:tcPr>
          <w:p w14:paraId="001F622D">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二类环境空气功能区</w:t>
            </w:r>
            <w:r>
              <w:rPr>
                <w:rFonts w:hint="eastAsia" w:ascii="宋体" w:hAnsi="宋体" w:eastAsia="宋体" w:cs="宋体"/>
                <w:color w:val="auto"/>
                <w:sz w:val="21"/>
                <w:szCs w:val="21"/>
                <w:highlight w:val="none"/>
                <w:lang w:eastAsia="zh-CN"/>
              </w:rPr>
              <w:t>（居民区、商业交通居民混合区、文化区）/</w:t>
            </w:r>
            <w:r>
              <w:rPr>
                <w:rFonts w:hint="eastAsia" w:ascii="宋体" w:hAnsi="宋体" w:cs="宋体"/>
                <w:color w:val="auto"/>
                <w:sz w:val="21"/>
                <w:szCs w:val="21"/>
                <w:highlight w:val="none"/>
                <w:lang w:eastAsia="zh-CN"/>
              </w:rPr>
              <w:t>Ⅲ类</w:t>
            </w:r>
            <w:r>
              <w:rPr>
                <w:rFonts w:hint="eastAsia" w:ascii="宋体" w:hAnsi="宋体" w:eastAsia="宋体" w:cs="宋体"/>
                <w:color w:val="auto"/>
                <w:sz w:val="21"/>
                <w:szCs w:val="21"/>
                <w:highlight w:val="none"/>
                <w:lang w:eastAsia="zh-CN"/>
              </w:rPr>
              <w:t>水体/2类声环境功能区/饮用水水源准保护区/自然保护地外的生态保护红线区域</w:t>
            </w:r>
          </w:p>
        </w:tc>
        <w:tc>
          <w:tcPr>
            <w:tcW w:w="1532" w:type="dxa"/>
            <w:noWrap w:val="0"/>
            <w:vAlign w:val="center"/>
          </w:tcPr>
          <w:p w14:paraId="7F8A315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5B90B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1" w:type="dxa"/>
            <w:vMerge w:val="continue"/>
            <w:noWrap w:val="0"/>
            <w:vAlign w:val="center"/>
          </w:tcPr>
          <w:p w14:paraId="343567C3">
            <w:pPr>
              <w:jc w:val="center"/>
              <w:rPr>
                <w:rFonts w:hint="eastAsia" w:ascii="宋体" w:hAnsi="宋体" w:eastAsia="宋体" w:cs="宋体"/>
                <w:color w:val="auto"/>
                <w:sz w:val="21"/>
                <w:szCs w:val="21"/>
                <w:highlight w:val="none"/>
              </w:rPr>
            </w:pPr>
          </w:p>
        </w:tc>
        <w:tc>
          <w:tcPr>
            <w:tcW w:w="5259" w:type="dxa"/>
            <w:noWrap w:val="0"/>
            <w:vAlign w:val="top"/>
          </w:tcPr>
          <w:p w14:paraId="23E29A7C">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Ⅱ类</w:t>
            </w:r>
            <w:r>
              <w:rPr>
                <w:rFonts w:hint="eastAsia" w:ascii="宋体" w:hAnsi="宋体" w:eastAsia="宋体" w:cs="宋体"/>
                <w:color w:val="auto"/>
                <w:sz w:val="21"/>
                <w:szCs w:val="21"/>
                <w:highlight w:val="none"/>
              </w:rPr>
              <w:t>水体</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1类声环境功能区／自然保护地一般控制区</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饮用水水源二级保护区</w:t>
            </w:r>
            <w:r>
              <w:rPr>
                <w:rFonts w:hint="eastAsia" w:ascii="宋体" w:hAnsi="宋体" w:eastAsia="宋体" w:cs="宋体"/>
                <w:color w:val="auto"/>
                <w:sz w:val="21"/>
                <w:szCs w:val="21"/>
                <w:highlight w:val="none"/>
                <w:lang w:val="en-US" w:eastAsia="zh-CN"/>
              </w:rPr>
              <w:t>/第二类海水水质的区域</w:t>
            </w:r>
          </w:p>
        </w:tc>
        <w:tc>
          <w:tcPr>
            <w:tcW w:w="1532" w:type="dxa"/>
            <w:noWrap w:val="0"/>
            <w:vAlign w:val="center"/>
          </w:tcPr>
          <w:p w14:paraId="32E4562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p>
        </w:tc>
      </w:tr>
      <w:tr w14:paraId="70186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1" w:type="dxa"/>
            <w:vMerge w:val="continue"/>
            <w:noWrap w:val="0"/>
            <w:vAlign w:val="center"/>
          </w:tcPr>
          <w:p w14:paraId="4AAA2AE7">
            <w:pPr>
              <w:jc w:val="center"/>
              <w:rPr>
                <w:rFonts w:hint="eastAsia" w:ascii="宋体" w:hAnsi="宋体" w:eastAsia="宋体" w:cs="宋体"/>
                <w:color w:val="auto"/>
                <w:sz w:val="21"/>
                <w:szCs w:val="21"/>
                <w:highlight w:val="none"/>
              </w:rPr>
            </w:pPr>
          </w:p>
        </w:tc>
        <w:tc>
          <w:tcPr>
            <w:tcW w:w="5259" w:type="dxa"/>
            <w:noWrap w:val="0"/>
            <w:vAlign w:val="top"/>
          </w:tcPr>
          <w:p w14:paraId="6D8DE280">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一类环境空气功能区</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I类水体</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0类声环境功能区／自然保护地核心保护区</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饮用水水源一级保护区</w:t>
            </w:r>
            <w:r>
              <w:rPr>
                <w:rFonts w:hint="eastAsia" w:ascii="宋体" w:hAnsi="宋体" w:eastAsia="宋体" w:cs="宋体"/>
                <w:color w:val="auto"/>
                <w:sz w:val="21"/>
                <w:szCs w:val="21"/>
                <w:highlight w:val="none"/>
                <w:lang w:val="en-US" w:eastAsia="zh-CN"/>
              </w:rPr>
              <w:t>/第一类海水水质的区域</w:t>
            </w:r>
          </w:p>
        </w:tc>
        <w:tc>
          <w:tcPr>
            <w:tcW w:w="1532" w:type="dxa"/>
            <w:noWrap w:val="0"/>
            <w:vAlign w:val="center"/>
          </w:tcPr>
          <w:p w14:paraId="11AA99F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6539B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1" w:type="dxa"/>
            <w:vMerge w:val="restart"/>
            <w:noWrap w:val="0"/>
            <w:vAlign w:val="center"/>
          </w:tcPr>
          <w:p w14:paraId="4838631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污染物</w:t>
            </w:r>
            <w:r>
              <w:rPr>
                <w:rFonts w:hint="eastAsia" w:ascii="宋体" w:hAnsi="宋体" w:eastAsia="宋体" w:cs="宋体"/>
                <w:color w:val="auto"/>
                <w:sz w:val="21"/>
                <w:szCs w:val="21"/>
                <w:highlight w:val="none"/>
              </w:rPr>
              <w:t>类别</w:t>
            </w:r>
          </w:p>
        </w:tc>
        <w:tc>
          <w:tcPr>
            <w:tcW w:w="5259" w:type="dxa"/>
            <w:noWrap w:val="0"/>
            <w:vAlign w:val="top"/>
          </w:tcPr>
          <w:p w14:paraId="6FD8DDC3">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一般废气、废水、固体废物、噪声、畜禽养殖废水</w:t>
            </w:r>
          </w:p>
        </w:tc>
        <w:tc>
          <w:tcPr>
            <w:tcW w:w="1532" w:type="dxa"/>
            <w:noWrap w:val="0"/>
            <w:vAlign w:val="center"/>
          </w:tcPr>
          <w:p w14:paraId="143C1CB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7DC63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1" w:type="dxa"/>
            <w:vMerge w:val="continue"/>
            <w:noWrap w:val="0"/>
            <w:vAlign w:val="center"/>
          </w:tcPr>
          <w:p w14:paraId="41F92DD6">
            <w:pPr>
              <w:jc w:val="center"/>
              <w:rPr>
                <w:rFonts w:hint="eastAsia" w:ascii="宋体" w:hAnsi="宋体" w:eastAsia="宋体" w:cs="宋体"/>
                <w:color w:val="auto"/>
                <w:sz w:val="21"/>
                <w:szCs w:val="21"/>
                <w:highlight w:val="none"/>
              </w:rPr>
            </w:pPr>
          </w:p>
        </w:tc>
        <w:tc>
          <w:tcPr>
            <w:tcW w:w="5259" w:type="dxa"/>
            <w:noWrap w:val="0"/>
            <w:vAlign w:val="top"/>
          </w:tcPr>
          <w:p w14:paraId="7DD8A02B">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火电、钢铁、石化、水泥、炼焦、有色、化工废气/医疗废水</w:t>
            </w:r>
          </w:p>
        </w:tc>
        <w:tc>
          <w:tcPr>
            <w:tcW w:w="1532" w:type="dxa"/>
            <w:noWrap w:val="0"/>
            <w:vAlign w:val="center"/>
          </w:tcPr>
          <w:p w14:paraId="2CBED94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p>
        </w:tc>
      </w:tr>
      <w:tr w14:paraId="7AF15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1" w:type="dxa"/>
            <w:vMerge w:val="continue"/>
            <w:noWrap w:val="0"/>
            <w:vAlign w:val="center"/>
          </w:tcPr>
          <w:p w14:paraId="21A8781F">
            <w:pPr>
              <w:jc w:val="center"/>
              <w:rPr>
                <w:rFonts w:hint="eastAsia" w:ascii="宋体" w:hAnsi="宋体" w:eastAsia="宋体" w:cs="宋体"/>
                <w:color w:val="auto"/>
                <w:sz w:val="21"/>
                <w:szCs w:val="21"/>
                <w:highlight w:val="none"/>
              </w:rPr>
            </w:pPr>
          </w:p>
        </w:tc>
        <w:tc>
          <w:tcPr>
            <w:tcW w:w="5259" w:type="dxa"/>
            <w:noWrap w:val="0"/>
            <w:vAlign w:val="top"/>
          </w:tcPr>
          <w:p w14:paraId="2D2700AB">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含有毒有害物质的废气、废水／含一类污染物或重金属、病原体、放射性物质的废水／危险废物</w:t>
            </w:r>
          </w:p>
        </w:tc>
        <w:tc>
          <w:tcPr>
            <w:tcW w:w="1532" w:type="dxa"/>
            <w:noWrap w:val="0"/>
            <w:vAlign w:val="center"/>
          </w:tcPr>
          <w:p w14:paraId="616A805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p>
        </w:tc>
      </w:tr>
      <w:tr w14:paraId="3B6E4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1" w:type="dxa"/>
            <w:noWrap w:val="0"/>
            <w:vAlign w:val="center"/>
          </w:tcPr>
          <w:p w14:paraId="5865F41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备注</w:t>
            </w:r>
          </w:p>
        </w:tc>
        <w:tc>
          <w:tcPr>
            <w:tcW w:w="6791" w:type="dxa"/>
            <w:gridSpan w:val="2"/>
            <w:shd w:val="clear" w:color="auto" w:fill="auto"/>
            <w:noWrap w:val="0"/>
            <w:vAlign w:val="top"/>
          </w:tcPr>
          <w:p w14:paraId="7C361C0A">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涉及多种污染物类别时，</w:t>
            </w:r>
            <w:r>
              <w:rPr>
                <w:rFonts w:hint="eastAsia" w:ascii="宋体" w:hAnsi="宋体" w:cs="宋体"/>
                <w:color w:val="auto"/>
                <w:sz w:val="21"/>
                <w:szCs w:val="21"/>
                <w:highlight w:val="none"/>
                <w:lang w:eastAsia="zh-CN"/>
              </w:rPr>
              <w:t>裁量</w:t>
            </w:r>
            <w:r>
              <w:rPr>
                <w:rFonts w:hint="eastAsia" w:ascii="宋体" w:hAnsi="宋体" w:eastAsia="宋体" w:cs="宋体"/>
                <w:color w:val="auto"/>
                <w:sz w:val="21"/>
                <w:szCs w:val="21"/>
                <w:highlight w:val="none"/>
              </w:rPr>
              <w:t>标准以裁量等级最高为准</w:t>
            </w:r>
          </w:p>
        </w:tc>
      </w:tr>
    </w:tbl>
    <w:p w14:paraId="63401800">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17"/>
        <w:gridCol w:w="5783"/>
        <w:gridCol w:w="1548"/>
      </w:tblGrid>
      <w:tr w14:paraId="198A4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48" w:type="dxa"/>
            <w:gridSpan w:val="3"/>
            <w:noWrap w:val="0"/>
            <w:vAlign w:val="top"/>
          </w:tcPr>
          <w:p w14:paraId="3A434E1A">
            <w:pPr>
              <w:jc w:val="center"/>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三</w:t>
            </w:r>
            <w:r>
              <w:rPr>
                <w:rFonts w:hint="eastAsia" w:ascii="宋体" w:hAnsi="宋体" w:eastAsia="宋体" w:cs="宋体"/>
                <w:color w:val="auto"/>
                <w:sz w:val="21"/>
                <w:szCs w:val="21"/>
                <w:highlight w:val="none"/>
              </w:rPr>
              <w:t>）排污许可管理类</w:t>
            </w:r>
          </w:p>
        </w:tc>
      </w:tr>
      <w:tr w14:paraId="75F96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7" w:type="dxa"/>
            <w:noWrap w:val="0"/>
            <w:vAlign w:val="center"/>
          </w:tcPr>
          <w:p w14:paraId="3A003E5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7331" w:type="dxa"/>
            <w:gridSpan w:val="2"/>
            <w:noWrap w:val="0"/>
            <w:vAlign w:val="top"/>
          </w:tcPr>
          <w:p w14:paraId="02E037AA">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w:t>
            </w:r>
          </w:p>
        </w:tc>
      </w:tr>
      <w:tr w14:paraId="3F971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7" w:type="dxa"/>
            <w:noWrap w:val="0"/>
            <w:vAlign w:val="center"/>
          </w:tcPr>
          <w:p w14:paraId="7F6A684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7331" w:type="dxa"/>
            <w:gridSpan w:val="2"/>
            <w:noWrap w:val="0"/>
            <w:vAlign w:val="center"/>
          </w:tcPr>
          <w:p w14:paraId="7B9D003D">
            <w:pPr>
              <w:adjustRightInd/>
              <w:snapToGri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超过污染物排放标准或者超过重点污染物排放总量控制指标排放污染物的</w:t>
            </w:r>
          </w:p>
        </w:tc>
      </w:tr>
      <w:tr w14:paraId="682BC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1" w:hRule="atLeast"/>
          <w:jc w:val="center"/>
        </w:trPr>
        <w:tc>
          <w:tcPr>
            <w:tcW w:w="1617" w:type="dxa"/>
            <w:noWrap w:val="0"/>
            <w:vAlign w:val="center"/>
          </w:tcPr>
          <w:p w14:paraId="5487AAE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7331" w:type="dxa"/>
            <w:gridSpan w:val="2"/>
            <w:noWrap w:val="0"/>
            <w:vAlign w:val="center"/>
          </w:tcPr>
          <w:p w14:paraId="303BD030">
            <w:pPr>
              <w:snapToGri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《中华人民共和国生态环境法典》第一百五十一条　排放污染物，应当符合污染物排放标准、重点污染物排放总量控制指标、排污许可管理和有关法律、法规、规章的要求。</w:t>
            </w:r>
          </w:p>
          <w:p w14:paraId="1568F8D9">
            <w:pPr>
              <w:snapToGri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《中华人民共和国生态环境法典》第一百五十七条　企业事业单位应当遵守分解落实到本单位的重点污染物排放总量控制指标。</w:t>
            </w:r>
          </w:p>
          <w:p w14:paraId="6564F818">
            <w:pPr>
              <w:snapToGri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《中华人民共和国生态环境法典》第三百零三条　向城镇污水集中处理设施排放水污染物，应当符合水污染物排放标准。</w:t>
            </w:r>
          </w:p>
          <w:p w14:paraId="2265C898">
            <w:pPr>
              <w:snapToGri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《中华人民共和国生态环境法典》第三百一十条　从事水产养殖活动应当保护水域生态环境，排放水产养殖尾水污染物等应当符合污染物排放标准，防止污染水环境。</w:t>
            </w:r>
          </w:p>
        </w:tc>
      </w:tr>
      <w:tr w14:paraId="20437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7" w:hRule="atLeast"/>
          <w:jc w:val="center"/>
        </w:trPr>
        <w:tc>
          <w:tcPr>
            <w:tcW w:w="1617" w:type="dxa"/>
            <w:noWrap w:val="0"/>
            <w:vAlign w:val="center"/>
          </w:tcPr>
          <w:p w14:paraId="0A68FD7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7331" w:type="dxa"/>
            <w:gridSpan w:val="2"/>
            <w:noWrap w:val="0"/>
            <w:vAlign w:val="center"/>
          </w:tcPr>
          <w:p w14:paraId="0BE15F9C">
            <w:pPr>
              <w:snapToGri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《中华人民共和国生态环境法典》第一千一百零七条　违反本法规定，超过污染物排放标准或者超过重点污染物排放总量控制指标排放污染物的，由生态环境主管部门责令改正，处十万元以上一百万元以下的罚款，可以责令限制生产、停产整治</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。其中，污染物为工业噪声的，罚款数额为二万元以上二十万元以下。</w:t>
            </w:r>
          </w:p>
        </w:tc>
      </w:tr>
      <w:tr w14:paraId="199A2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7" w:type="dxa"/>
            <w:noWrap w:val="0"/>
            <w:vAlign w:val="center"/>
          </w:tcPr>
          <w:p w14:paraId="65140A5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783" w:type="dxa"/>
            <w:noWrap w:val="0"/>
            <w:vAlign w:val="top"/>
          </w:tcPr>
          <w:p w14:paraId="106E30F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548" w:type="dxa"/>
            <w:noWrap w:val="0"/>
            <w:vAlign w:val="top"/>
          </w:tcPr>
          <w:p w14:paraId="782CAC7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1ADA9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7" w:type="dxa"/>
            <w:vMerge w:val="restart"/>
            <w:noWrap w:val="0"/>
            <w:vAlign w:val="center"/>
          </w:tcPr>
          <w:p w14:paraId="41D95D7C">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排污</w:t>
            </w:r>
            <w:r>
              <w:rPr>
                <w:rFonts w:hint="eastAsia" w:ascii="宋体" w:hAnsi="宋体" w:eastAsia="宋体" w:cs="宋体"/>
                <w:color w:val="auto"/>
                <w:sz w:val="21"/>
                <w:szCs w:val="21"/>
                <w:highlight w:val="none"/>
                <w:lang w:val="en-US" w:eastAsia="zh-CN"/>
              </w:rPr>
              <w:t>许可</w:t>
            </w:r>
          </w:p>
          <w:p w14:paraId="15A84DB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管理类别</w:t>
            </w:r>
          </w:p>
        </w:tc>
        <w:tc>
          <w:tcPr>
            <w:tcW w:w="5783" w:type="dxa"/>
            <w:noWrap w:val="0"/>
            <w:vAlign w:val="top"/>
          </w:tcPr>
          <w:p w14:paraId="2207F1CC">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未纳入排污许可管理</w:t>
            </w:r>
          </w:p>
        </w:tc>
        <w:tc>
          <w:tcPr>
            <w:tcW w:w="1548" w:type="dxa"/>
            <w:noWrap w:val="0"/>
            <w:vAlign w:val="top"/>
          </w:tcPr>
          <w:p w14:paraId="1B17CCE3">
            <w:pPr>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w:t>
            </w:r>
          </w:p>
        </w:tc>
      </w:tr>
      <w:tr w14:paraId="23587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7" w:type="dxa"/>
            <w:vMerge w:val="continue"/>
            <w:noWrap w:val="0"/>
            <w:vAlign w:val="center"/>
          </w:tcPr>
          <w:p w14:paraId="3879571B">
            <w:pPr>
              <w:jc w:val="center"/>
              <w:rPr>
                <w:rFonts w:hint="eastAsia" w:ascii="宋体" w:hAnsi="宋体" w:eastAsia="宋体" w:cs="宋体"/>
                <w:color w:val="auto"/>
                <w:sz w:val="21"/>
                <w:szCs w:val="21"/>
                <w:highlight w:val="none"/>
              </w:rPr>
            </w:pPr>
          </w:p>
        </w:tc>
        <w:tc>
          <w:tcPr>
            <w:tcW w:w="5783" w:type="dxa"/>
            <w:noWrap w:val="0"/>
            <w:vAlign w:val="top"/>
          </w:tcPr>
          <w:p w14:paraId="21691590">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简化管理</w:t>
            </w:r>
          </w:p>
        </w:tc>
        <w:tc>
          <w:tcPr>
            <w:tcW w:w="1548" w:type="dxa"/>
            <w:noWrap w:val="0"/>
            <w:vAlign w:val="top"/>
          </w:tcPr>
          <w:p w14:paraId="2117AC86">
            <w:pPr>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3</w:t>
            </w:r>
          </w:p>
        </w:tc>
      </w:tr>
      <w:tr w14:paraId="02AAD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7" w:type="dxa"/>
            <w:vMerge w:val="continue"/>
            <w:noWrap w:val="0"/>
            <w:vAlign w:val="center"/>
          </w:tcPr>
          <w:p w14:paraId="6CAB1167">
            <w:pPr>
              <w:jc w:val="center"/>
              <w:rPr>
                <w:rFonts w:hint="eastAsia" w:ascii="宋体" w:hAnsi="宋体" w:eastAsia="宋体" w:cs="宋体"/>
                <w:color w:val="auto"/>
                <w:sz w:val="21"/>
                <w:szCs w:val="21"/>
                <w:highlight w:val="none"/>
              </w:rPr>
            </w:pPr>
          </w:p>
        </w:tc>
        <w:tc>
          <w:tcPr>
            <w:tcW w:w="5783" w:type="dxa"/>
            <w:noWrap w:val="0"/>
            <w:vAlign w:val="center"/>
          </w:tcPr>
          <w:p w14:paraId="0360D4AB">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312" w:lineRule="exact"/>
              <w:ind w:left="0" w:leftChars="0" w:right="0" w:rightChars="0"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重点管理</w:t>
            </w:r>
          </w:p>
        </w:tc>
        <w:tc>
          <w:tcPr>
            <w:tcW w:w="1548" w:type="dxa"/>
            <w:noWrap w:val="0"/>
            <w:vAlign w:val="center"/>
          </w:tcPr>
          <w:p w14:paraId="44FB65CB">
            <w:pPr>
              <w:keepNext w:val="0"/>
              <w:keepLines w:val="0"/>
              <w:pageBreakBefore w:val="0"/>
              <w:widowControl w:val="0"/>
              <w:shd w:val="clear" w:color="auto" w:fill="auto"/>
              <w:kinsoku/>
              <w:wordWrap/>
              <w:overflowPunct/>
              <w:topLinePunct/>
              <w:autoSpaceDE w:val="0"/>
              <w:autoSpaceDN w:val="0"/>
              <w:bidi w:val="0"/>
              <w:adjustRightInd w:val="0"/>
              <w:snapToGrid w:val="0"/>
              <w:spacing w:line="312" w:lineRule="exact"/>
              <w:ind w:left="0" w:leftChars="0" w:right="0" w:rightChars="0" w:firstLine="0" w:firstLineChars="0"/>
              <w:jc w:val="center"/>
              <w:textAlignment w:val="baseline"/>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4</w:t>
            </w:r>
          </w:p>
        </w:tc>
      </w:tr>
      <w:tr w14:paraId="0946D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7" w:type="dxa"/>
            <w:vMerge w:val="continue"/>
            <w:noWrap w:val="0"/>
            <w:vAlign w:val="center"/>
          </w:tcPr>
          <w:p w14:paraId="723D930F">
            <w:pPr>
              <w:keepNext w:val="0"/>
              <w:keepLines w:val="0"/>
              <w:pageBreakBefore w:val="0"/>
              <w:widowControl w:val="0"/>
              <w:shd w:val="clear" w:color="auto" w:fill="auto"/>
              <w:kinsoku/>
              <w:wordWrap/>
              <w:overflowPunct/>
              <w:topLinePunct/>
              <w:autoSpaceDE w:val="0"/>
              <w:autoSpaceDN w:val="0"/>
              <w:bidi w:val="0"/>
              <w:adjustRightInd w:val="0"/>
              <w:snapToGrid w:val="0"/>
              <w:spacing w:line="312"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p>
        </w:tc>
        <w:tc>
          <w:tcPr>
            <w:tcW w:w="5783" w:type="dxa"/>
            <w:noWrap w:val="0"/>
            <w:vAlign w:val="center"/>
          </w:tcPr>
          <w:p w14:paraId="538E17AE">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312" w:lineRule="exact"/>
              <w:ind w:left="0" w:leftChars="0" w:right="0" w:rightChars="0"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重点管理（钢铁、石化、化工、电镀、皮革、造纸、冶炼、印染、染料、水泥、煤电、陶瓷、采矿、放射性、危废经营、垃圾焚烧发电、平板玻璃，“两高”项目）</w:t>
            </w:r>
          </w:p>
        </w:tc>
        <w:tc>
          <w:tcPr>
            <w:tcW w:w="1548" w:type="dxa"/>
            <w:noWrap w:val="0"/>
            <w:vAlign w:val="center"/>
          </w:tcPr>
          <w:p w14:paraId="4A3F7B95">
            <w:pPr>
              <w:keepNext w:val="0"/>
              <w:keepLines w:val="0"/>
              <w:pageBreakBefore w:val="0"/>
              <w:widowControl w:val="0"/>
              <w:shd w:val="clear" w:color="auto" w:fill="auto"/>
              <w:kinsoku/>
              <w:wordWrap/>
              <w:overflowPunct/>
              <w:topLinePunct/>
              <w:autoSpaceDE w:val="0"/>
              <w:autoSpaceDN w:val="0"/>
              <w:bidi w:val="0"/>
              <w:adjustRightInd w:val="0"/>
              <w:snapToGrid w:val="0"/>
              <w:spacing w:line="312"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473DA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7" w:type="dxa"/>
            <w:vMerge w:val="restart"/>
            <w:noWrap w:val="0"/>
            <w:vAlign w:val="center"/>
          </w:tcPr>
          <w:p w14:paraId="6B9DF259">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违法事实</w:t>
            </w:r>
          </w:p>
        </w:tc>
        <w:tc>
          <w:tcPr>
            <w:tcW w:w="5783" w:type="dxa"/>
            <w:noWrap w:val="0"/>
            <w:vAlign w:val="center"/>
          </w:tcPr>
          <w:p w14:paraId="234FE48B">
            <w:pPr>
              <w:adjustRightInd w:val="0"/>
              <w:ind w:firstLine="420" w:firstLineChars="200"/>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1.废气：</w:t>
            </w:r>
            <w:r>
              <w:rPr>
                <w:rFonts w:hint="eastAsia" w:ascii="宋体" w:hAnsi="宋体" w:eastAsia="宋体" w:cs="宋体"/>
                <w:color w:val="auto"/>
                <w:sz w:val="21"/>
                <w:szCs w:val="21"/>
                <w:highlight w:val="none"/>
              </w:rPr>
              <w:t>一般废气超标不足1倍/有机废气超标不足5倍/火电、钢铁、石化、水泥、炼焦、有色、化工等行业废气超标不足0.5倍/含有毒有害物质的废气超标不足0.1倍/林格曼黑度1级</w:t>
            </w:r>
            <w:r>
              <w:rPr>
                <w:rFonts w:hint="eastAsia" w:ascii="宋体" w:hAnsi="宋体" w:eastAsia="宋体" w:cs="宋体"/>
                <w:color w:val="auto"/>
                <w:sz w:val="21"/>
                <w:szCs w:val="21"/>
                <w:highlight w:val="none"/>
                <w:lang w:eastAsia="zh-CN"/>
              </w:rPr>
              <w:t>；</w:t>
            </w:r>
          </w:p>
          <w:p w14:paraId="47F1B855">
            <w:pPr>
              <w:adjustRightInd w:val="0"/>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2.废水：一般废水超标不足3倍/医疗废水超标不足1倍/含其他有毒有害物质的废水、含一类污染物、重金属、病原体、放射性物质的废水超标不足0.5倍/pH值9-10或pH值5-6；</w:t>
            </w:r>
          </w:p>
          <w:p w14:paraId="6550B3D6">
            <w:pPr>
              <w:adjustRightInd w:val="0"/>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3.噪声：超标不足5分贝</w:t>
            </w:r>
          </w:p>
          <w:p w14:paraId="2953D198">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超排放量不足1倍</w:t>
            </w:r>
          </w:p>
        </w:tc>
        <w:tc>
          <w:tcPr>
            <w:tcW w:w="1548" w:type="dxa"/>
            <w:noWrap w:val="0"/>
            <w:vAlign w:val="center"/>
          </w:tcPr>
          <w:p w14:paraId="1174BA0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p>
        </w:tc>
      </w:tr>
      <w:tr w14:paraId="36AF3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7" w:type="dxa"/>
            <w:vMerge w:val="continue"/>
            <w:noWrap w:val="0"/>
            <w:vAlign w:val="center"/>
          </w:tcPr>
          <w:p w14:paraId="6677E6DE">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p>
        </w:tc>
        <w:tc>
          <w:tcPr>
            <w:tcW w:w="5783" w:type="dxa"/>
            <w:noWrap w:val="0"/>
            <w:vAlign w:val="center"/>
          </w:tcPr>
          <w:p w14:paraId="3673C339">
            <w:pPr>
              <w:adjustRightInd w:val="0"/>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废气：一般废气超标1倍以上，不足3倍/有机废气超标5倍以上，不足10倍/火电、钢铁、石化、水泥、炼焦、有色、化工等行业废气超标0.5倍以上，不足1倍/含有毒有害物质的废气超标0.1倍以上，不足0.5倍/林格曼黑度2级</w:t>
            </w:r>
          </w:p>
          <w:p w14:paraId="7F24E4C6">
            <w:pPr>
              <w:adjustRightInd w:val="0"/>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2.废水：一般废水超标3倍以上，不足5倍/医疗废水超标1倍以上，不足3倍/含其他有毒有害物质的废水、含一类污染物、重金属、病原体、放射性物质的废水超标0.5倍以上，不足1倍/pH值10-11或pH值4-5</w:t>
            </w:r>
          </w:p>
          <w:p w14:paraId="2A500FA8">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3.超排放量</w:t>
            </w:r>
            <w:r>
              <w:rPr>
                <w:rFonts w:hint="eastAsia" w:ascii="宋体" w:hAnsi="宋体" w:eastAsia="宋体" w:cs="宋体"/>
                <w:color w:val="auto"/>
                <w:sz w:val="21"/>
                <w:szCs w:val="21"/>
                <w:highlight w:val="none"/>
              </w:rPr>
              <w:t>1倍以上，不足3倍</w:t>
            </w:r>
          </w:p>
        </w:tc>
        <w:tc>
          <w:tcPr>
            <w:tcW w:w="1548" w:type="dxa"/>
            <w:noWrap w:val="0"/>
            <w:vAlign w:val="center"/>
          </w:tcPr>
          <w:p w14:paraId="65E1349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p>
        </w:tc>
      </w:tr>
      <w:tr w14:paraId="289E0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7" w:type="dxa"/>
            <w:vMerge w:val="continue"/>
            <w:noWrap w:val="0"/>
            <w:vAlign w:val="center"/>
          </w:tcPr>
          <w:p w14:paraId="5D597F7C">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p>
        </w:tc>
        <w:tc>
          <w:tcPr>
            <w:tcW w:w="5783" w:type="dxa"/>
            <w:noWrap w:val="0"/>
            <w:vAlign w:val="center"/>
          </w:tcPr>
          <w:p w14:paraId="607BF8FD">
            <w:pPr>
              <w:adjustRightInd w:val="0"/>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废气：一般废气超标3倍以上，不足5倍/有机废气超标10倍以上，不足30倍/火电、钢铁、石化、水泥、炼焦、有色、化工等行业废气超标1倍以上，不足3倍/含有毒有害物质的废气超标0.5倍以上，不足1倍/林格曼黑度3级</w:t>
            </w:r>
          </w:p>
          <w:p w14:paraId="33FE3C0E">
            <w:pPr>
              <w:adjustRightInd w:val="0"/>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2.废水：一般废水超标5倍以上，不足30倍/医疗废水超标3倍以上，不足5倍/含其他有毒有害物质的废水、含一类污染物、重金属、病原体、放射性物质的废水超标1倍以上，不足2倍/pH值11-12.5或pH值2-4</w:t>
            </w:r>
          </w:p>
          <w:p w14:paraId="29EAEFF3">
            <w:pPr>
              <w:adjustRightInd w:val="0"/>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3.噪声：超标5分贝以上不足10分贝</w:t>
            </w:r>
          </w:p>
          <w:p w14:paraId="1C915E2F">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4.超排放量3倍以上，不足5倍</w:t>
            </w:r>
          </w:p>
        </w:tc>
        <w:tc>
          <w:tcPr>
            <w:tcW w:w="1548" w:type="dxa"/>
            <w:noWrap w:val="0"/>
            <w:vAlign w:val="center"/>
          </w:tcPr>
          <w:p w14:paraId="2CE33D7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p>
        </w:tc>
      </w:tr>
      <w:tr w14:paraId="1A91E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7" w:type="dxa"/>
            <w:vMerge w:val="continue"/>
            <w:noWrap w:val="0"/>
            <w:vAlign w:val="center"/>
          </w:tcPr>
          <w:p w14:paraId="0F0CD33D">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p>
        </w:tc>
        <w:tc>
          <w:tcPr>
            <w:tcW w:w="5783" w:type="dxa"/>
            <w:noWrap w:val="0"/>
            <w:vAlign w:val="center"/>
          </w:tcPr>
          <w:p w14:paraId="2F0B44EC">
            <w:pPr>
              <w:adjustRightInd w:val="0"/>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废气：一般废气超标5倍以上，不足10倍/有机废气超标30倍以上，不足50倍/火电、钢铁、石化、水泥、炼焦、有色、化工等行业废气超标3倍以上，不足5倍/含有毒有害物质的废气超标1倍以上，不足3倍/林格曼黑度4级</w:t>
            </w:r>
          </w:p>
          <w:p w14:paraId="75719FB3">
            <w:pPr>
              <w:adjustRightInd w:val="0"/>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2.废水：一般废水超标30倍以上，不足100倍/医疗废水超标5倍以上，不足10倍/含其他有毒有害物质的废水、含一类污染物、重金属、病原体、放射性物质的废水超标2倍以上，不足3倍</w:t>
            </w:r>
          </w:p>
          <w:p w14:paraId="3BBEF04C">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3.超排放量5倍以上，不足10倍</w:t>
            </w:r>
          </w:p>
        </w:tc>
        <w:tc>
          <w:tcPr>
            <w:tcW w:w="1548" w:type="dxa"/>
            <w:noWrap w:val="0"/>
            <w:vAlign w:val="center"/>
          </w:tcPr>
          <w:p w14:paraId="39330C1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p>
        </w:tc>
      </w:tr>
      <w:tr w14:paraId="1E0B3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7" w:type="dxa"/>
            <w:vMerge w:val="continue"/>
            <w:noWrap w:val="0"/>
            <w:vAlign w:val="center"/>
          </w:tcPr>
          <w:p w14:paraId="21A49FF6">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p>
        </w:tc>
        <w:tc>
          <w:tcPr>
            <w:tcW w:w="5783" w:type="dxa"/>
            <w:noWrap w:val="0"/>
            <w:vAlign w:val="center"/>
          </w:tcPr>
          <w:p w14:paraId="54A9914F">
            <w:pPr>
              <w:adjustRightInd w:val="0"/>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1.废气：一般废气超标10倍以上/有机废气超标50倍以上/火电、钢铁、石化、水泥、炼焦、有色、化工等行业废气超标5倍以上/含有毒有害物质的废气超标3倍以上/林格曼黑度5级</w:t>
            </w:r>
          </w:p>
          <w:p w14:paraId="68122F89">
            <w:pPr>
              <w:adjustRightInd w:val="0"/>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2.废水：一般废水超标100倍以上/医疗废水超标10倍以上/含其他有毒有害物质的废水、含一类污染物、重金属、病原体、放射性物质的废水超标3倍以上/pH值12.5以上或pH值不足2</w:t>
            </w:r>
          </w:p>
          <w:p w14:paraId="35274C0F">
            <w:pPr>
              <w:adjustRightInd w:val="0"/>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3.超标10分贝以上</w:t>
            </w:r>
          </w:p>
          <w:p w14:paraId="63072352">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4.超排放量10倍以上</w:t>
            </w:r>
          </w:p>
        </w:tc>
        <w:tc>
          <w:tcPr>
            <w:tcW w:w="1548" w:type="dxa"/>
            <w:noWrap w:val="0"/>
            <w:vAlign w:val="center"/>
          </w:tcPr>
          <w:p w14:paraId="6FFEE29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p>
        </w:tc>
      </w:tr>
      <w:tr w14:paraId="7960C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7" w:type="dxa"/>
            <w:vMerge w:val="restart"/>
            <w:noWrap w:val="0"/>
            <w:vAlign w:val="center"/>
          </w:tcPr>
          <w:p w14:paraId="3B115145">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超标或超排</w:t>
            </w:r>
          </w:p>
          <w:p w14:paraId="3AE7F1FA">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放总量因子</w:t>
            </w:r>
          </w:p>
          <w:p w14:paraId="254971C2">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个数</w:t>
            </w:r>
          </w:p>
        </w:tc>
        <w:tc>
          <w:tcPr>
            <w:tcW w:w="5783" w:type="dxa"/>
            <w:noWrap w:val="0"/>
            <w:vAlign w:val="center"/>
          </w:tcPr>
          <w:p w14:paraId="3780E460">
            <w:pPr>
              <w:adjustRightInd w:val="0"/>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1个</w:t>
            </w:r>
          </w:p>
        </w:tc>
        <w:tc>
          <w:tcPr>
            <w:tcW w:w="1548" w:type="dxa"/>
            <w:noWrap w:val="0"/>
            <w:vAlign w:val="center"/>
          </w:tcPr>
          <w:p w14:paraId="4BAB200D">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r>
      <w:tr w14:paraId="23700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7" w:type="dxa"/>
            <w:vMerge w:val="continue"/>
            <w:noWrap w:val="0"/>
            <w:vAlign w:val="center"/>
          </w:tcPr>
          <w:p w14:paraId="3D943147">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p>
        </w:tc>
        <w:tc>
          <w:tcPr>
            <w:tcW w:w="5783" w:type="dxa"/>
            <w:noWrap w:val="0"/>
            <w:vAlign w:val="center"/>
          </w:tcPr>
          <w:p w14:paraId="1762A0B8">
            <w:pPr>
              <w:adjustRightInd w:val="0"/>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2个</w:t>
            </w:r>
          </w:p>
        </w:tc>
        <w:tc>
          <w:tcPr>
            <w:tcW w:w="1548" w:type="dxa"/>
            <w:noWrap w:val="0"/>
            <w:vAlign w:val="center"/>
          </w:tcPr>
          <w:p w14:paraId="273D1806">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r>
      <w:tr w14:paraId="3AF3F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7" w:type="dxa"/>
            <w:vMerge w:val="continue"/>
            <w:noWrap w:val="0"/>
            <w:vAlign w:val="center"/>
          </w:tcPr>
          <w:p w14:paraId="29EA436D">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p>
        </w:tc>
        <w:tc>
          <w:tcPr>
            <w:tcW w:w="5783" w:type="dxa"/>
            <w:noWrap w:val="0"/>
            <w:vAlign w:val="center"/>
          </w:tcPr>
          <w:p w14:paraId="0B3F3172">
            <w:pPr>
              <w:adjustRightInd w:val="0"/>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3个及以上</w:t>
            </w:r>
          </w:p>
        </w:tc>
        <w:tc>
          <w:tcPr>
            <w:tcW w:w="1548" w:type="dxa"/>
            <w:noWrap w:val="0"/>
            <w:vAlign w:val="center"/>
          </w:tcPr>
          <w:p w14:paraId="319A92BC">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r>
      <w:tr w14:paraId="3213E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7" w:type="dxa"/>
            <w:vMerge w:val="restart"/>
            <w:noWrap w:val="0"/>
            <w:vAlign w:val="center"/>
          </w:tcPr>
          <w:p w14:paraId="20E3C12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排放去向或</w:t>
            </w:r>
          </w:p>
          <w:p w14:paraId="246050C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区域</w:t>
            </w:r>
          </w:p>
        </w:tc>
        <w:tc>
          <w:tcPr>
            <w:tcW w:w="5783" w:type="dxa"/>
            <w:noWrap w:val="0"/>
            <w:vAlign w:val="top"/>
          </w:tcPr>
          <w:p w14:paraId="133FC315">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二类环境空气功能区</w:t>
            </w:r>
            <w:r>
              <w:rPr>
                <w:rFonts w:hint="eastAsia" w:ascii="宋体" w:hAnsi="宋体" w:eastAsia="宋体" w:cs="宋体"/>
                <w:color w:val="auto"/>
                <w:sz w:val="21"/>
                <w:szCs w:val="21"/>
                <w:highlight w:val="none"/>
              </w:rPr>
              <w:t>（工业区和农村地区）</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V类水体</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或者</w:t>
            </w:r>
            <w:r>
              <w:rPr>
                <w:rFonts w:hint="eastAsia" w:ascii="宋体" w:hAnsi="宋体" w:cs="宋体"/>
                <w:color w:val="auto"/>
                <w:szCs w:val="21"/>
                <w:highlight w:val="none"/>
              </w:rPr>
              <w:t>污水集中处理设施</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4类声环境功能区</w:t>
            </w:r>
            <w:r>
              <w:rPr>
                <w:rFonts w:hint="eastAsia" w:ascii="宋体" w:hAnsi="宋体" w:eastAsia="宋体" w:cs="宋体"/>
                <w:color w:val="auto"/>
                <w:sz w:val="21"/>
                <w:szCs w:val="21"/>
                <w:highlight w:val="none"/>
                <w:lang w:val="en-US" w:eastAsia="zh-CN"/>
              </w:rPr>
              <w:t>/第四类海水水质的区域</w:t>
            </w:r>
          </w:p>
        </w:tc>
        <w:tc>
          <w:tcPr>
            <w:tcW w:w="1548" w:type="dxa"/>
            <w:noWrap w:val="0"/>
            <w:vAlign w:val="center"/>
          </w:tcPr>
          <w:p w14:paraId="1387E0C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1D88D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7" w:type="dxa"/>
            <w:vMerge w:val="continue"/>
            <w:noWrap w:val="0"/>
            <w:vAlign w:val="center"/>
          </w:tcPr>
          <w:p w14:paraId="19A39B14">
            <w:pPr>
              <w:jc w:val="center"/>
              <w:rPr>
                <w:rFonts w:hint="eastAsia" w:ascii="宋体" w:hAnsi="宋体" w:eastAsia="宋体" w:cs="宋体"/>
                <w:color w:val="auto"/>
                <w:sz w:val="21"/>
                <w:szCs w:val="21"/>
                <w:highlight w:val="none"/>
              </w:rPr>
            </w:pPr>
          </w:p>
        </w:tc>
        <w:tc>
          <w:tcPr>
            <w:tcW w:w="5783" w:type="dxa"/>
            <w:noWrap w:val="0"/>
            <w:vAlign w:val="top"/>
          </w:tcPr>
          <w:p w14:paraId="7B4C08B6">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Ⅳ类</w:t>
            </w:r>
            <w:r>
              <w:rPr>
                <w:rFonts w:hint="eastAsia" w:ascii="宋体" w:hAnsi="宋体" w:eastAsia="宋体" w:cs="宋体"/>
                <w:color w:val="auto"/>
                <w:sz w:val="21"/>
                <w:szCs w:val="21"/>
                <w:highlight w:val="none"/>
              </w:rPr>
              <w:t>水体</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3类声环境功能区</w:t>
            </w:r>
            <w:r>
              <w:rPr>
                <w:rFonts w:hint="eastAsia" w:ascii="宋体" w:hAnsi="宋体" w:eastAsia="宋体" w:cs="宋体"/>
                <w:color w:val="auto"/>
                <w:sz w:val="21"/>
                <w:szCs w:val="21"/>
                <w:highlight w:val="none"/>
                <w:lang w:val="en-US" w:eastAsia="zh-CN"/>
              </w:rPr>
              <w:t>/第三类海水水质的区域</w:t>
            </w:r>
          </w:p>
        </w:tc>
        <w:tc>
          <w:tcPr>
            <w:tcW w:w="1548" w:type="dxa"/>
            <w:noWrap w:val="0"/>
            <w:vAlign w:val="center"/>
          </w:tcPr>
          <w:p w14:paraId="3E6A7F5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p>
        </w:tc>
      </w:tr>
      <w:tr w14:paraId="3C6FB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7" w:type="dxa"/>
            <w:vMerge w:val="continue"/>
            <w:noWrap w:val="0"/>
            <w:vAlign w:val="center"/>
          </w:tcPr>
          <w:p w14:paraId="26923970">
            <w:pPr>
              <w:jc w:val="center"/>
              <w:rPr>
                <w:rFonts w:hint="eastAsia" w:ascii="宋体" w:hAnsi="宋体" w:eastAsia="宋体" w:cs="宋体"/>
                <w:color w:val="auto"/>
                <w:sz w:val="21"/>
                <w:szCs w:val="21"/>
                <w:highlight w:val="none"/>
              </w:rPr>
            </w:pPr>
          </w:p>
        </w:tc>
        <w:tc>
          <w:tcPr>
            <w:tcW w:w="5783" w:type="dxa"/>
            <w:noWrap w:val="0"/>
            <w:vAlign w:val="top"/>
          </w:tcPr>
          <w:p w14:paraId="4E58C14C">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二类环境空气功能区</w:t>
            </w:r>
            <w:r>
              <w:rPr>
                <w:rFonts w:hint="eastAsia" w:ascii="宋体" w:hAnsi="宋体" w:eastAsia="宋体" w:cs="宋体"/>
                <w:color w:val="auto"/>
                <w:sz w:val="21"/>
                <w:szCs w:val="21"/>
                <w:highlight w:val="none"/>
                <w:lang w:eastAsia="zh-CN"/>
              </w:rPr>
              <w:t>（居民区、商业交通居民混合区、文化区）/</w:t>
            </w:r>
            <w:r>
              <w:rPr>
                <w:rFonts w:hint="eastAsia" w:ascii="宋体" w:hAnsi="宋体" w:cs="宋体"/>
                <w:color w:val="auto"/>
                <w:sz w:val="21"/>
                <w:szCs w:val="21"/>
                <w:highlight w:val="none"/>
                <w:lang w:eastAsia="zh-CN"/>
              </w:rPr>
              <w:t>Ⅲ类</w:t>
            </w:r>
            <w:r>
              <w:rPr>
                <w:rFonts w:hint="eastAsia" w:ascii="宋体" w:hAnsi="宋体" w:eastAsia="宋体" w:cs="宋体"/>
                <w:color w:val="auto"/>
                <w:sz w:val="21"/>
                <w:szCs w:val="21"/>
                <w:highlight w:val="none"/>
                <w:lang w:eastAsia="zh-CN"/>
              </w:rPr>
              <w:t>水体/2类声环境功能区/饮用水水源准保护区/自然保护地外的生态保护红线区域</w:t>
            </w:r>
          </w:p>
        </w:tc>
        <w:tc>
          <w:tcPr>
            <w:tcW w:w="1548" w:type="dxa"/>
            <w:noWrap w:val="0"/>
            <w:vAlign w:val="center"/>
          </w:tcPr>
          <w:p w14:paraId="7554AF6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0A04E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7" w:type="dxa"/>
            <w:vMerge w:val="continue"/>
            <w:noWrap w:val="0"/>
            <w:vAlign w:val="center"/>
          </w:tcPr>
          <w:p w14:paraId="049B3B6F">
            <w:pPr>
              <w:jc w:val="center"/>
              <w:rPr>
                <w:rFonts w:hint="eastAsia" w:ascii="宋体" w:hAnsi="宋体" w:eastAsia="宋体" w:cs="宋体"/>
                <w:color w:val="auto"/>
                <w:sz w:val="21"/>
                <w:szCs w:val="21"/>
                <w:highlight w:val="none"/>
              </w:rPr>
            </w:pPr>
          </w:p>
        </w:tc>
        <w:tc>
          <w:tcPr>
            <w:tcW w:w="5783" w:type="dxa"/>
            <w:noWrap w:val="0"/>
            <w:vAlign w:val="top"/>
          </w:tcPr>
          <w:p w14:paraId="3F90F458">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Ⅱ类</w:t>
            </w:r>
            <w:r>
              <w:rPr>
                <w:rFonts w:hint="eastAsia" w:ascii="宋体" w:hAnsi="宋体" w:eastAsia="宋体" w:cs="宋体"/>
                <w:color w:val="auto"/>
                <w:sz w:val="21"/>
                <w:szCs w:val="21"/>
                <w:highlight w:val="none"/>
              </w:rPr>
              <w:t>水体</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1类声环境功能区／自然保护地一般控制区</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饮用水水源二级保护区</w:t>
            </w:r>
            <w:r>
              <w:rPr>
                <w:rFonts w:hint="eastAsia" w:ascii="宋体" w:hAnsi="宋体" w:eastAsia="宋体" w:cs="宋体"/>
                <w:color w:val="auto"/>
                <w:sz w:val="21"/>
                <w:szCs w:val="21"/>
                <w:highlight w:val="none"/>
                <w:lang w:val="en-US" w:eastAsia="zh-CN"/>
              </w:rPr>
              <w:t>/第二类海水水质的区域</w:t>
            </w:r>
          </w:p>
        </w:tc>
        <w:tc>
          <w:tcPr>
            <w:tcW w:w="1548" w:type="dxa"/>
            <w:noWrap w:val="0"/>
            <w:vAlign w:val="center"/>
          </w:tcPr>
          <w:p w14:paraId="00F938D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p>
        </w:tc>
      </w:tr>
      <w:tr w14:paraId="307B8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7" w:type="dxa"/>
            <w:vMerge w:val="continue"/>
            <w:noWrap w:val="0"/>
            <w:vAlign w:val="center"/>
          </w:tcPr>
          <w:p w14:paraId="0CDDB401">
            <w:pPr>
              <w:jc w:val="center"/>
              <w:rPr>
                <w:rFonts w:hint="eastAsia" w:ascii="宋体" w:hAnsi="宋体" w:eastAsia="宋体" w:cs="宋体"/>
                <w:color w:val="auto"/>
                <w:sz w:val="21"/>
                <w:szCs w:val="21"/>
                <w:highlight w:val="none"/>
              </w:rPr>
            </w:pPr>
          </w:p>
        </w:tc>
        <w:tc>
          <w:tcPr>
            <w:tcW w:w="5783" w:type="dxa"/>
            <w:noWrap w:val="0"/>
            <w:vAlign w:val="top"/>
          </w:tcPr>
          <w:p w14:paraId="47AA32EA">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一类环境空气功能区</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I类水体</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0类声环境功能区／自然保护地核心保护区</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饮用水水源一级保护区</w:t>
            </w:r>
            <w:r>
              <w:rPr>
                <w:rFonts w:hint="eastAsia" w:ascii="宋体" w:hAnsi="宋体" w:eastAsia="宋体" w:cs="宋体"/>
                <w:color w:val="auto"/>
                <w:sz w:val="21"/>
                <w:szCs w:val="21"/>
                <w:highlight w:val="none"/>
                <w:lang w:val="en-US" w:eastAsia="zh-CN"/>
              </w:rPr>
              <w:t>/第一类海水水质的区域</w:t>
            </w:r>
          </w:p>
        </w:tc>
        <w:tc>
          <w:tcPr>
            <w:tcW w:w="1548" w:type="dxa"/>
            <w:noWrap w:val="0"/>
            <w:vAlign w:val="center"/>
          </w:tcPr>
          <w:p w14:paraId="5949F09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51ABD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17" w:type="dxa"/>
            <w:vMerge w:val="restart"/>
            <w:noWrap w:val="0"/>
            <w:vAlign w:val="center"/>
          </w:tcPr>
          <w:p w14:paraId="035200F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污染物</w:t>
            </w:r>
            <w:r>
              <w:rPr>
                <w:rFonts w:hint="eastAsia" w:ascii="宋体" w:hAnsi="宋体" w:eastAsia="宋体" w:cs="宋体"/>
                <w:color w:val="auto"/>
                <w:sz w:val="21"/>
                <w:szCs w:val="21"/>
                <w:highlight w:val="none"/>
              </w:rPr>
              <w:t>类别</w:t>
            </w:r>
          </w:p>
        </w:tc>
        <w:tc>
          <w:tcPr>
            <w:tcW w:w="5783" w:type="dxa"/>
            <w:noWrap w:val="0"/>
            <w:vAlign w:val="top"/>
          </w:tcPr>
          <w:p w14:paraId="268002BB">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一般废气、废水、固体废物、噪声、畜禽养殖废水</w:t>
            </w:r>
          </w:p>
        </w:tc>
        <w:tc>
          <w:tcPr>
            <w:tcW w:w="1548" w:type="dxa"/>
            <w:noWrap w:val="0"/>
            <w:vAlign w:val="center"/>
          </w:tcPr>
          <w:p w14:paraId="30B2E89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42C42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7" w:type="dxa"/>
            <w:vMerge w:val="continue"/>
            <w:noWrap w:val="0"/>
            <w:vAlign w:val="center"/>
          </w:tcPr>
          <w:p w14:paraId="2E705AE6">
            <w:pPr>
              <w:jc w:val="center"/>
              <w:rPr>
                <w:rFonts w:hint="eastAsia" w:ascii="宋体" w:hAnsi="宋体" w:eastAsia="宋体" w:cs="宋体"/>
                <w:color w:val="auto"/>
                <w:sz w:val="21"/>
                <w:szCs w:val="21"/>
                <w:highlight w:val="none"/>
              </w:rPr>
            </w:pPr>
          </w:p>
        </w:tc>
        <w:tc>
          <w:tcPr>
            <w:tcW w:w="5783" w:type="dxa"/>
            <w:noWrap w:val="0"/>
            <w:vAlign w:val="top"/>
          </w:tcPr>
          <w:p w14:paraId="0B48E437">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火电、钢铁、石化、水泥、炼焦、有色、化工废气/医疗废水</w:t>
            </w:r>
          </w:p>
        </w:tc>
        <w:tc>
          <w:tcPr>
            <w:tcW w:w="1548" w:type="dxa"/>
            <w:noWrap w:val="0"/>
            <w:vAlign w:val="center"/>
          </w:tcPr>
          <w:p w14:paraId="2F1D800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p>
        </w:tc>
      </w:tr>
      <w:tr w14:paraId="26FF8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7" w:type="dxa"/>
            <w:vMerge w:val="continue"/>
            <w:noWrap w:val="0"/>
            <w:vAlign w:val="center"/>
          </w:tcPr>
          <w:p w14:paraId="76727D80">
            <w:pPr>
              <w:jc w:val="center"/>
              <w:rPr>
                <w:rFonts w:hint="eastAsia" w:ascii="宋体" w:hAnsi="宋体" w:eastAsia="宋体" w:cs="宋体"/>
                <w:color w:val="auto"/>
                <w:sz w:val="21"/>
                <w:szCs w:val="21"/>
                <w:highlight w:val="none"/>
              </w:rPr>
            </w:pPr>
          </w:p>
        </w:tc>
        <w:tc>
          <w:tcPr>
            <w:tcW w:w="5783" w:type="dxa"/>
            <w:noWrap w:val="0"/>
            <w:vAlign w:val="top"/>
          </w:tcPr>
          <w:p w14:paraId="3C72B1C9">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含有毒有害物质的废气、废水／含一类污染物或重金属、病原体、放射性物质的废水／危险废物</w:t>
            </w:r>
          </w:p>
        </w:tc>
        <w:tc>
          <w:tcPr>
            <w:tcW w:w="1548" w:type="dxa"/>
            <w:noWrap w:val="0"/>
            <w:vAlign w:val="center"/>
          </w:tcPr>
          <w:p w14:paraId="5F51628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p>
        </w:tc>
      </w:tr>
      <w:tr w14:paraId="003DF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7" w:type="dxa"/>
            <w:noWrap w:val="0"/>
            <w:vAlign w:val="center"/>
          </w:tcPr>
          <w:p w14:paraId="0AB672F8">
            <w:pPr>
              <w:keepNext w:val="0"/>
              <w:keepLines w:val="0"/>
              <w:pageBreakBefore w:val="0"/>
              <w:widowControl w:val="0"/>
              <w:shd w:val="clear" w:color="auto" w:fill="auto"/>
              <w:kinsoku/>
              <w:wordWrap/>
              <w:overflowPunct/>
              <w:topLinePunct w:val="0"/>
              <w:autoSpaceDE w:val="0"/>
              <w:autoSpaceDN w:val="0"/>
              <w:bidi w:val="0"/>
              <w:adjustRightInd w:val="0"/>
              <w:snapToGrid w:val="0"/>
              <w:spacing w:line="310" w:lineRule="atLeast"/>
              <w:ind w:left="0" w:leftChars="0" w:right="0" w:rightChars="0" w:firstLine="0" w:firstLine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备注</w:t>
            </w:r>
          </w:p>
        </w:tc>
        <w:tc>
          <w:tcPr>
            <w:tcW w:w="7331" w:type="dxa"/>
            <w:gridSpan w:val="2"/>
            <w:noWrap w:val="0"/>
            <w:vAlign w:val="center"/>
          </w:tcPr>
          <w:p w14:paraId="48CB54A5">
            <w:pPr>
              <w:keepNext w:val="0"/>
              <w:keepLines w:val="0"/>
              <w:pageBreakBefore w:val="0"/>
              <w:widowControl w:val="0"/>
              <w:shd w:val="clear" w:color="auto" w:fill="auto"/>
              <w:kinsoku/>
              <w:wordWrap/>
              <w:overflowPunct/>
              <w:topLinePunct w:val="0"/>
              <w:autoSpaceDE w:val="0"/>
              <w:autoSpaceDN w:val="0"/>
              <w:bidi w:val="0"/>
              <w:adjustRightInd w:val="0"/>
              <w:snapToGrid w:val="0"/>
              <w:spacing w:line="310" w:lineRule="atLeast"/>
              <w:ind w:left="0" w:leftChars="0" w:right="0" w:rightChars="0" w:firstLine="420" w:firstLineChars="200"/>
              <w:jc w:val="both"/>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同时存在2个以上超标因子时，</w:t>
            </w:r>
            <w:r>
              <w:rPr>
                <w:rFonts w:hint="eastAsia" w:ascii="宋体" w:hAnsi="宋体" w:cs="宋体"/>
                <w:color w:val="auto"/>
                <w:sz w:val="21"/>
                <w:szCs w:val="21"/>
                <w:highlight w:val="none"/>
                <w:lang w:eastAsia="zh-CN"/>
              </w:rPr>
              <w:t>裁量</w:t>
            </w:r>
            <w:r>
              <w:rPr>
                <w:rFonts w:hint="eastAsia" w:ascii="宋体" w:hAnsi="宋体" w:eastAsia="宋体" w:cs="宋体"/>
                <w:color w:val="auto"/>
                <w:sz w:val="21"/>
                <w:szCs w:val="21"/>
                <w:highlight w:val="none"/>
              </w:rPr>
              <w:t>标准以裁量等级最高为准</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涉及多种污染物类别时，</w:t>
            </w:r>
            <w:r>
              <w:rPr>
                <w:rFonts w:hint="eastAsia" w:ascii="宋体" w:hAnsi="宋体" w:cs="宋体"/>
                <w:color w:val="auto"/>
                <w:sz w:val="21"/>
                <w:szCs w:val="21"/>
                <w:highlight w:val="none"/>
                <w:lang w:eastAsia="zh-CN"/>
              </w:rPr>
              <w:t>裁量</w:t>
            </w:r>
            <w:r>
              <w:rPr>
                <w:rFonts w:hint="eastAsia" w:ascii="宋体" w:hAnsi="宋体" w:eastAsia="宋体" w:cs="宋体"/>
                <w:color w:val="auto"/>
                <w:sz w:val="21"/>
                <w:szCs w:val="21"/>
                <w:highlight w:val="none"/>
              </w:rPr>
              <w:t>标准以裁量等级最高为准</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同时涉及超</w:t>
            </w:r>
            <w:r>
              <w:rPr>
                <w:rFonts w:hint="eastAsia" w:ascii="宋体" w:hAnsi="宋体" w:eastAsia="宋体" w:cs="宋体"/>
                <w:color w:val="auto"/>
                <w:sz w:val="21"/>
                <w:szCs w:val="21"/>
                <w:highlight w:val="none"/>
              </w:rPr>
              <w:t>许可排放浓度、许可排放量</w:t>
            </w:r>
            <w:r>
              <w:rPr>
                <w:rFonts w:hint="eastAsia" w:ascii="宋体" w:hAnsi="宋体" w:eastAsia="宋体" w:cs="宋体"/>
                <w:color w:val="auto"/>
                <w:sz w:val="21"/>
                <w:szCs w:val="21"/>
                <w:highlight w:val="none"/>
                <w:lang w:val="en-US" w:eastAsia="zh-CN"/>
              </w:rPr>
              <w:t>的，</w:t>
            </w:r>
            <w:r>
              <w:rPr>
                <w:rFonts w:hint="eastAsia" w:ascii="宋体" w:hAnsi="宋体" w:cs="宋体"/>
                <w:color w:val="auto"/>
                <w:sz w:val="21"/>
                <w:szCs w:val="21"/>
                <w:highlight w:val="none"/>
                <w:lang w:eastAsia="zh-CN"/>
              </w:rPr>
              <w:t>裁量</w:t>
            </w:r>
            <w:r>
              <w:rPr>
                <w:rFonts w:hint="eastAsia" w:ascii="宋体" w:hAnsi="宋体" w:eastAsia="宋体" w:cs="宋体"/>
                <w:color w:val="auto"/>
                <w:sz w:val="21"/>
                <w:szCs w:val="21"/>
                <w:highlight w:val="none"/>
              </w:rPr>
              <w:t>标准以裁量等级最高为准</w:t>
            </w:r>
            <w:r>
              <w:rPr>
                <w:rFonts w:hint="eastAsia" w:ascii="宋体" w:hAnsi="宋体" w:eastAsia="宋体" w:cs="宋体"/>
                <w:color w:val="auto"/>
                <w:sz w:val="21"/>
                <w:szCs w:val="21"/>
                <w:highlight w:val="none"/>
                <w:lang w:eastAsia="zh-CN"/>
              </w:rPr>
              <w:t>；</w:t>
            </w:r>
          </w:p>
        </w:tc>
      </w:tr>
    </w:tbl>
    <w:p w14:paraId="41EDDCF2">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23"/>
        <w:gridCol w:w="5587"/>
        <w:gridCol w:w="1538"/>
      </w:tblGrid>
      <w:tr w14:paraId="60E52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3"/>
            <w:noWrap w:val="0"/>
            <w:vAlign w:val="top"/>
          </w:tcPr>
          <w:p w14:paraId="2B4F797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三</w:t>
            </w:r>
            <w:r>
              <w:rPr>
                <w:rFonts w:hint="eastAsia" w:ascii="宋体" w:hAnsi="宋体" w:eastAsia="宋体" w:cs="宋体"/>
                <w:color w:val="auto"/>
                <w:sz w:val="21"/>
                <w:szCs w:val="21"/>
                <w:highlight w:val="none"/>
              </w:rPr>
              <w:t>）排污许可管理类</w:t>
            </w:r>
          </w:p>
        </w:tc>
      </w:tr>
      <w:tr w14:paraId="6FBC7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6" w:type="dxa"/>
            <w:noWrap w:val="0"/>
            <w:vAlign w:val="top"/>
          </w:tcPr>
          <w:p w14:paraId="1B6D45D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786" w:type="dxa"/>
            <w:gridSpan w:val="2"/>
            <w:noWrap w:val="0"/>
            <w:vAlign w:val="top"/>
          </w:tcPr>
          <w:p w14:paraId="3F1B074F">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w:t>
            </w:r>
          </w:p>
        </w:tc>
      </w:tr>
      <w:tr w14:paraId="4E7FA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6" w:type="dxa"/>
            <w:noWrap w:val="0"/>
            <w:vAlign w:val="center"/>
          </w:tcPr>
          <w:p w14:paraId="569FC50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6786" w:type="dxa"/>
            <w:gridSpan w:val="2"/>
            <w:noWrap w:val="0"/>
            <w:vAlign w:val="center"/>
          </w:tcPr>
          <w:p w14:paraId="2C9680EB">
            <w:pPr>
              <w:keepNext w:val="0"/>
              <w:keepLines w:val="0"/>
              <w:pageBreakBefore w:val="0"/>
              <w:widowControl w:val="0"/>
              <w:kinsoku/>
              <w:wordWrap/>
              <w:overflowPunct/>
              <w:topLinePunct w:val="0"/>
              <w:autoSpaceDE/>
              <w:autoSpaceDN/>
              <w:bidi w:val="0"/>
              <w:adjustRightInd w:val="0"/>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通过暗管、渗井、渗坑、灌注、裂隙、溶洞、篡改或者伪造监测数据，以逃避现场检查为目的的临时停产，非紧急情况下开启应急排放通道，不正常运行污染防治设施等逃避监管的方式排放污染物的</w:t>
            </w:r>
          </w:p>
        </w:tc>
      </w:tr>
      <w:tr w14:paraId="178E2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6" w:type="dxa"/>
            <w:noWrap w:val="0"/>
            <w:vAlign w:val="center"/>
          </w:tcPr>
          <w:p w14:paraId="39891F1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6786" w:type="dxa"/>
            <w:gridSpan w:val="2"/>
            <w:noWrap w:val="0"/>
            <w:vAlign w:val="top"/>
          </w:tcPr>
          <w:p w14:paraId="1A634FEA">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《中华人民共和国生态环境法典》第一百六十四条</w:t>
            </w:r>
            <w:r>
              <w:rPr>
                <w:rFonts w:hint="eastAsia" w:ascii="宋体" w:hAnsi="宋体" w:eastAsia="宋体" w:cs="宋体"/>
                <w:color w:val="auto"/>
                <w:sz w:val="21"/>
                <w:szCs w:val="21"/>
                <w:highlight w:val="none"/>
                <w:lang w:val="en-US" w:eastAsia="zh-CN"/>
              </w:rPr>
              <w:t>第一款</w:t>
            </w:r>
            <w:r>
              <w:rPr>
                <w:rFonts w:hint="eastAsia" w:ascii="宋体" w:hAnsi="宋体" w:eastAsia="宋体" w:cs="宋体"/>
                <w:color w:val="auto"/>
                <w:sz w:val="21"/>
                <w:szCs w:val="21"/>
                <w:highlight w:val="none"/>
              </w:rPr>
              <w:t xml:space="preserve">  禁止通过暗管、渗井、渗坑、灌注、裂隙、溶洞、篡改或者伪造监测数据、以逃避现场检查为目的的临时停产、非紧急情况下开启应急排放通道、不正常运行污染防治设施等逃避监管的方式排放污染物。</w:t>
            </w:r>
          </w:p>
        </w:tc>
      </w:tr>
      <w:tr w14:paraId="7FA67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6" w:type="dxa"/>
            <w:noWrap w:val="0"/>
            <w:vAlign w:val="center"/>
          </w:tcPr>
          <w:p w14:paraId="5CBDF2A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6786" w:type="dxa"/>
            <w:gridSpan w:val="2"/>
            <w:noWrap w:val="0"/>
            <w:vAlign w:val="top"/>
          </w:tcPr>
          <w:p w14:paraId="03DF4309">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《中华人民共和国生态环境法典》第一千一百零八条  违反本法规定，通过暗管、渗井、渗坑、灌注、裂隙、溶洞、篡改或者伪造监测数据、以逃避现场检查为目的的临时停产、非紧急情况下开启应急排放通道、不正常运行污染防治设施等逃避监管的方式排放污染物的，由生态环境主管部门责令改正，处十万元以上一百万元以下的罚款，责令限制生产、停产整治，并将案件移送公安机关，由公安机关对其直接负责的主管人员和其他直接责任人员，处五日以上十日以下拘留</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w:t>
            </w:r>
          </w:p>
        </w:tc>
      </w:tr>
      <w:tr w14:paraId="3C356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6" w:type="dxa"/>
            <w:noWrap w:val="0"/>
            <w:vAlign w:val="center"/>
          </w:tcPr>
          <w:p w14:paraId="3FFB66D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321" w:type="dxa"/>
            <w:noWrap w:val="0"/>
            <w:vAlign w:val="top"/>
          </w:tcPr>
          <w:p w14:paraId="6AD0832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465" w:type="dxa"/>
            <w:noWrap w:val="0"/>
            <w:vAlign w:val="top"/>
          </w:tcPr>
          <w:p w14:paraId="77D677D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1D8D5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6" w:type="dxa"/>
            <w:vMerge w:val="restart"/>
            <w:noWrap w:val="0"/>
            <w:vAlign w:val="center"/>
          </w:tcPr>
          <w:p w14:paraId="493A368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排放去向或</w:t>
            </w:r>
          </w:p>
          <w:p w14:paraId="6CCF7E4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区域</w:t>
            </w:r>
          </w:p>
        </w:tc>
        <w:tc>
          <w:tcPr>
            <w:tcW w:w="5321" w:type="dxa"/>
            <w:noWrap w:val="0"/>
            <w:vAlign w:val="top"/>
          </w:tcPr>
          <w:p w14:paraId="5F52F9CE">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 w:val="21"/>
                <w:szCs w:val="21"/>
                <w:highlight w:val="none"/>
                <w:lang w:eastAsia="zh-CN"/>
              </w:rPr>
              <w:t>二类环境空气功能区</w:t>
            </w:r>
            <w:r>
              <w:rPr>
                <w:rFonts w:hint="eastAsia" w:ascii="宋体" w:hAnsi="宋体" w:eastAsia="宋体" w:cs="宋体"/>
                <w:color w:val="auto"/>
                <w:sz w:val="21"/>
                <w:szCs w:val="21"/>
                <w:highlight w:val="none"/>
              </w:rPr>
              <w:t>（工业区和农村地区）</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V类水体</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或者</w:t>
            </w:r>
            <w:r>
              <w:rPr>
                <w:rFonts w:hint="eastAsia" w:ascii="宋体" w:hAnsi="宋体" w:cs="宋体"/>
                <w:color w:val="auto"/>
                <w:szCs w:val="21"/>
                <w:highlight w:val="none"/>
              </w:rPr>
              <w:t>污水集中处理设施</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4类声环境功能区</w:t>
            </w:r>
            <w:r>
              <w:rPr>
                <w:rFonts w:hint="eastAsia" w:ascii="宋体" w:hAnsi="宋体" w:eastAsia="宋体" w:cs="宋体"/>
                <w:color w:val="auto"/>
                <w:sz w:val="21"/>
                <w:szCs w:val="21"/>
                <w:highlight w:val="none"/>
                <w:lang w:val="en-US" w:eastAsia="zh-CN"/>
              </w:rPr>
              <w:t>/第四类海水水质的区域</w:t>
            </w:r>
          </w:p>
        </w:tc>
        <w:tc>
          <w:tcPr>
            <w:tcW w:w="1465" w:type="dxa"/>
            <w:noWrap w:val="0"/>
            <w:vAlign w:val="center"/>
          </w:tcPr>
          <w:p w14:paraId="3F3D320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4F680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6" w:type="dxa"/>
            <w:vMerge w:val="continue"/>
            <w:noWrap w:val="0"/>
            <w:vAlign w:val="center"/>
          </w:tcPr>
          <w:p w14:paraId="4F8C4590">
            <w:pPr>
              <w:jc w:val="center"/>
              <w:rPr>
                <w:rFonts w:hint="eastAsia" w:ascii="宋体" w:hAnsi="宋体" w:eastAsia="宋体" w:cs="宋体"/>
                <w:color w:val="auto"/>
                <w:sz w:val="21"/>
                <w:szCs w:val="21"/>
                <w:highlight w:val="none"/>
              </w:rPr>
            </w:pPr>
          </w:p>
        </w:tc>
        <w:tc>
          <w:tcPr>
            <w:tcW w:w="5321" w:type="dxa"/>
            <w:noWrap w:val="0"/>
            <w:vAlign w:val="top"/>
          </w:tcPr>
          <w:p w14:paraId="038E60F5">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 w:val="21"/>
                <w:szCs w:val="21"/>
                <w:highlight w:val="none"/>
                <w:lang w:eastAsia="zh-CN"/>
              </w:rPr>
              <w:t>Ⅳ类</w:t>
            </w:r>
            <w:r>
              <w:rPr>
                <w:rFonts w:hint="eastAsia" w:ascii="宋体" w:hAnsi="宋体" w:eastAsia="宋体" w:cs="宋体"/>
                <w:color w:val="auto"/>
                <w:sz w:val="21"/>
                <w:szCs w:val="21"/>
                <w:highlight w:val="none"/>
              </w:rPr>
              <w:t>水体</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3类声环境功能区</w:t>
            </w:r>
            <w:r>
              <w:rPr>
                <w:rFonts w:hint="eastAsia" w:ascii="宋体" w:hAnsi="宋体" w:eastAsia="宋体" w:cs="宋体"/>
                <w:color w:val="auto"/>
                <w:sz w:val="21"/>
                <w:szCs w:val="21"/>
                <w:highlight w:val="none"/>
                <w:lang w:val="en-US" w:eastAsia="zh-CN"/>
              </w:rPr>
              <w:t>/第三类海水水质的区域</w:t>
            </w:r>
          </w:p>
        </w:tc>
        <w:tc>
          <w:tcPr>
            <w:tcW w:w="1465" w:type="dxa"/>
            <w:noWrap w:val="0"/>
            <w:vAlign w:val="center"/>
          </w:tcPr>
          <w:p w14:paraId="17E7E5E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p>
        </w:tc>
      </w:tr>
      <w:tr w14:paraId="0D219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6" w:type="dxa"/>
            <w:vMerge w:val="continue"/>
            <w:noWrap w:val="0"/>
            <w:vAlign w:val="center"/>
          </w:tcPr>
          <w:p w14:paraId="7913AF08">
            <w:pPr>
              <w:jc w:val="center"/>
              <w:rPr>
                <w:rFonts w:hint="eastAsia" w:ascii="宋体" w:hAnsi="宋体" w:eastAsia="宋体" w:cs="宋体"/>
                <w:color w:val="auto"/>
                <w:sz w:val="21"/>
                <w:szCs w:val="21"/>
                <w:highlight w:val="none"/>
              </w:rPr>
            </w:pPr>
          </w:p>
        </w:tc>
        <w:tc>
          <w:tcPr>
            <w:tcW w:w="5321" w:type="dxa"/>
            <w:noWrap w:val="0"/>
            <w:vAlign w:val="top"/>
          </w:tcPr>
          <w:p w14:paraId="78AC7A8A">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 w:val="21"/>
                <w:szCs w:val="21"/>
                <w:highlight w:val="none"/>
                <w:lang w:eastAsia="zh-CN"/>
              </w:rPr>
              <w:t>二类环境空气功能区</w:t>
            </w:r>
            <w:r>
              <w:rPr>
                <w:rFonts w:hint="eastAsia" w:ascii="宋体" w:hAnsi="宋体" w:eastAsia="宋体" w:cs="宋体"/>
                <w:color w:val="auto"/>
                <w:sz w:val="21"/>
                <w:szCs w:val="21"/>
                <w:highlight w:val="none"/>
                <w:lang w:eastAsia="zh-CN"/>
              </w:rPr>
              <w:t>（居民区、商业交通居民混合区、文化区）/</w:t>
            </w:r>
            <w:r>
              <w:rPr>
                <w:rFonts w:hint="eastAsia" w:ascii="宋体" w:hAnsi="宋体" w:cs="宋体"/>
                <w:color w:val="auto"/>
                <w:sz w:val="21"/>
                <w:szCs w:val="21"/>
                <w:highlight w:val="none"/>
                <w:lang w:eastAsia="zh-CN"/>
              </w:rPr>
              <w:t>Ⅲ类</w:t>
            </w:r>
            <w:r>
              <w:rPr>
                <w:rFonts w:hint="eastAsia" w:ascii="宋体" w:hAnsi="宋体" w:eastAsia="宋体" w:cs="宋体"/>
                <w:color w:val="auto"/>
                <w:sz w:val="21"/>
                <w:szCs w:val="21"/>
                <w:highlight w:val="none"/>
                <w:lang w:eastAsia="zh-CN"/>
              </w:rPr>
              <w:t>水体/2类声环境功能区/饮用水水源准保护区/自然保护地外的生态保护红线区域</w:t>
            </w:r>
          </w:p>
        </w:tc>
        <w:tc>
          <w:tcPr>
            <w:tcW w:w="1465" w:type="dxa"/>
            <w:noWrap w:val="0"/>
            <w:vAlign w:val="center"/>
          </w:tcPr>
          <w:p w14:paraId="53629C7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4F7FE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6" w:type="dxa"/>
            <w:vMerge w:val="continue"/>
            <w:noWrap w:val="0"/>
            <w:vAlign w:val="center"/>
          </w:tcPr>
          <w:p w14:paraId="6ECB1797">
            <w:pPr>
              <w:jc w:val="center"/>
              <w:rPr>
                <w:rFonts w:hint="eastAsia" w:ascii="宋体" w:hAnsi="宋体" w:eastAsia="宋体" w:cs="宋体"/>
                <w:color w:val="auto"/>
                <w:sz w:val="21"/>
                <w:szCs w:val="21"/>
                <w:highlight w:val="none"/>
              </w:rPr>
            </w:pPr>
          </w:p>
        </w:tc>
        <w:tc>
          <w:tcPr>
            <w:tcW w:w="5321" w:type="dxa"/>
            <w:noWrap w:val="0"/>
            <w:vAlign w:val="top"/>
          </w:tcPr>
          <w:p w14:paraId="66069F30">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 w:val="21"/>
                <w:szCs w:val="21"/>
                <w:highlight w:val="none"/>
                <w:lang w:eastAsia="zh-CN"/>
              </w:rPr>
              <w:t>Ⅱ类</w:t>
            </w:r>
            <w:r>
              <w:rPr>
                <w:rFonts w:hint="eastAsia" w:ascii="宋体" w:hAnsi="宋体" w:eastAsia="宋体" w:cs="宋体"/>
                <w:color w:val="auto"/>
                <w:sz w:val="21"/>
                <w:szCs w:val="21"/>
                <w:highlight w:val="none"/>
              </w:rPr>
              <w:t>水体</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1类声环境功能区／自然保护地一般控制区</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饮用水水源二级保护区</w:t>
            </w:r>
            <w:r>
              <w:rPr>
                <w:rFonts w:hint="eastAsia" w:ascii="宋体" w:hAnsi="宋体" w:eastAsia="宋体" w:cs="宋体"/>
                <w:color w:val="auto"/>
                <w:sz w:val="21"/>
                <w:szCs w:val="21"/>
                <w:highlight w:val="none"/>
                <w:lang w:val="en-US" w:eastAsia="zh-CN"/>
              </w:rPr>
              <w:t>/第二类海水水质的区域</w:t>
            </w:r>
          </w:p>
        </w:tc>
        <w:tc>
          <w:tcPr>
            <w:tcW w:w="1465" w:type="dxa"/>
            <w:noWrap w:val="0"/>
            <w:vAlign w:val="center"/>
          </w:tcPr>
          <w:p w14:paraId="5D36567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p>
        </w:tc>
      </w:tr>
      <w:tr w14:paraId="309A2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6" w:type="dxa"/>
            <w:vMerge w:val="continue"/>
            <w:noWrap w:val="0"/>
            <w:vAlign w:val="center"/>
          </w:tcPr>
          <w:p w14:paraId="11ED6069">
            <w:pPr>
              <w:jc w:val="center"/>
              <w:rPr>
                <w:rFonts w:hint="eastAsia" w:ascii="宋体" w:hAnsi="宋体" w:eastAsia="宋体" w:cs="宋体"/>
                <w:color w:val="auto"/>
                <w:sz w:val="21"/>
                <w:szCs w:val="21"/>
                <w:highlight w:val="none"/>
              </w:rPr>
            </w:pPr>
          </w:p>
        </w:tc>
        <w:tc>
          <w:tcPr>
            <w:tcW w:w="5321" w:type="dxa"/>
            <w:noWrap w:val="0"/>
            <w:vAlign w:val="top"/>
          </w:tcPr>
          <w:p w14:paraId="37554285">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 w:val="21"/>
                <w:szCs w:val="21"/>
                <w:highlight w:val="none"/>
                <w:lang w:eastAsia="zh-CN"/>
              </w:rPr>
              <w:t>一类环境空气功能区</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I类水体</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0类声环境功能区／自然保护地核心保护区</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饮用水水源一级保护区</w:t>
            </w:r>
            <w:r>
              <w:rPr>
                <w:rFonts w:hint="eastAsia" w:ascii="宋体" w:hAnsi="宋体" w:eastAsia="宋体" w:cs="宋体"/>
                <w:color w:val="auto"/>
                <w:sz w:val="21"/>
                <w:szCs w:val="21"/>
                <w:highlight w:val="none"/>
                <w:lang w:val="en-US" w:eastAsia="zh-CN"/>
              </w:rPr>
              <w:t>/第一类海水水质的区域</w:t>
            </w:r>
          </w:p>
        </w:tc>
        <w:tc>
          <w:tcPr>
            <w:tcW w:w="1465" w:type="dxa"/>
            <w:noWrap w:val="0"/>
            <w:vAlign w:val="center"/>
          </w:tcPr>
          <w:p w14:paraId="1AEC90D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7C0F8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6" w:type="dxa"/>
            <w:vMerge w:val="restart"/>
            <w:noWrap w:val="0"/>
            <w:vAlign w:val="center"/>
          </w:tcPr>
          <w:p w14:paraId="22F7C9B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污染物</w:t>
            </w:r>
            <w:r>
              <w:rPr>
                <w:rFonts w:hint="eastAsia" w:ascii="宋体" w:hAnsi="宋体" w:eastAsia="宋体" w:cs="宋体"/>
                <w:color w:val="auto"/>
                <w:sz w:val="21"/>
                <w:szCs w:val="21"/>
                <w:highlight w:val="none"/>
              </w:rPr>
              <w:t>类别</w:t>
            </w:r>
          </w:p>
        </w:tc>
        <w:tc>
          <w:tcPr>
            <w:tcW w:w="5321" w:type="dxa"/>
            <w:noWrap w:val="0"/>
            <w:vAlign w:val="top"/>
          </w:tcPr>
          <w:p w14:paraId="0AE8A67F">
            <w:pPr>
              <w:adjustRightInd w:val="0"/>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一般废气、废水、固体废物、噪声、畜禽养殖废水</w:t>
            </w:r>
          </w:p>
        </w:tc>
        <w:tc>
          <w:tcPr>
            <w:tcW w:w="1465" w:type="dxa"/>
            <w:noWrap w:val="0"/>
            <w:vAlign w:val="center"/>
          </w:tcPr>
          <w:p w14:paraId="56F9F18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5ECB7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6" w:type="dxa"/>
            <w:vMerge w:val="continue"/>
            <w:noWrap w:val="0"/>
            <w:vAlign w:val="center"/>
          </w:tcPr>
          <w:p w14:paraId="7D130621">
            <w:pPr>
              <w:jc w:val="center"/>
              <w:rPr>
                <w:rFonts w:hint="eastAsia" w:ascii="宋体" w:hAnsi="宋体" w:eastAsia="宋体" w:cs="宋体"/>
                <w:color w:val="auto"/>
                <w:sz w:val="21"/>
                <w:szCs w:val="21"/>
                <w:highlight w:val="none"/>
              </w:rPr>
            </w:pPr>
          </w:p>
        </w:tc>
        <w:tc>
          <w:tcPr>
            <w:tcW w:w="5321" w:type="dxa"/>
            <w:noWrap w:val="0"/>
            <w:vAlign w:val="top"/>
          </w:tcPr>
          <w:p w14:paraId="11AE7AB8">
            <w:pPr>
              <w:adjustRightInd w:val="0"/>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火电、钢铁、石化、水泥、炼焦、有色、化工废气/医疗废水</w:t>
            </w:r>
          </w:p>
        </w:tc>
        <w:tc>
          <w:tcPr>
            <w:tcW w:w="1465" w:type="dxa"/>
            <w:noWrap w:val="0"/>
            <w:vAlign w:val="center"/>
          </w:tcPr>
          <w:p w14:paraId="693B35B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p>
        </w:tc>
      </w:tr>
      <w:tr w14:paraId="7596E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6" w:type="dxa"/>
            <w:vMerge w:val="continue"/>
            <w:noWrap w:val="0"/>
            <w:vAlign w:val="center"/>
          </w:tcPr>
          <w:p w14:paraId="17E24CD9">
            <w:pPr>
              <w:jc w:val="center"/>
              <w:rPr>
                <w:rFonts w:hint="eastAsia" w:ascii="宋体" w:hAnsi="宋体" w:eastAsia="宋体" w:cs="宋体"/>
                <w:color w:val="auto"/>
                <w:sz w:val="21"/>
                <w:szCs w:val="21"/>
                <w:highlight w:val="none"/>
              </w:rPr>
            </w:pPr>
          </w:p>
        </w:tc>
        <w:tc>
          <w:tcPr>
            <w:tcW w:w="5321" w:type="dxa"/>
            <w:noWrap w:val="0"/>
            <w:vAlign w:val="top"/>
          </w:tcPr>
          <w:p w14:paraId="4690C20A">
            <w:pPr>
              <w:adjustRightInd w:val="0"/>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含有毒有害物质的废气、废水／含一类污染物或重金属、病原体、放射性物质的废水／危险废物</w:t>
            </w:r>
          </w:p>
        </w:tc>
        <w:tc>
          <w:tcPr>
            <w:tcW w:w="1465" w:type="dxa"/>
            <w:noWrap w:val="0"/>
            <w:vAlign w:val="center"/>
          </w:tcPr>
          <w:p w14:paraId="2B4E35E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p>
        </w:tc>
      </w:tr>
      <w:tr w14:paraId="6A66B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6" w:type="dxa"/>
            <w:shd w:val="clear" w:color="auto" w:fill="auto"/>
            <w:noWrap w:val="0"/>
            <w:vAlign w:val="center"/>
          </w:tcPr>
          <w:p w14:paraId="6AF003A5">
            <w:pPr>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备注</w:t>
            </w:r>
          </w:p>
        </w:tc>
        <w:tc>
          <w:tcPr>
            <w:tcW w:w="6786" w:type="dxa"/>
            <w:gridSpan w:val="2"/>
            <w:shd w:val="clear" w:color="auto" w:fill="auto"/>
            <w:noWrap w:val="0"/>
            <w:vAlign w:val="top"/>
          </w:tcPr>
          <w:p w14:paraId="4B2145A9">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涉及多种污染物类别时，</w:t>
            </w:r>
            <w:r>
              <w:rPr>
                <w:rFonts w:hint="eastAsia" w:ascii="宋体" w:hAnsi="宋体" w:cs="宋体"/>
                <w:color w:val="auto"/>
                <w:sz w:val="21"/>
                <w:szCs w:val="21"/>
                <w:highlight w:val="none"/>
                <w:lang w:eastAsia="zh-CN"/>
              </w:rPr>
              <w:t>裁量</w:t>
            </w:r>
            <w:r>
              <w:rPr>
                <w:rFonts w:hint="eastAsia" w:ascii="宋体" w:hAnsi="宋体" w:eastAsia="宋体" w:cs="宋体"/>
                <w:color w:val="auto"/>
                <w:sz w:val="21"/>
                <w:szCs w:val="21"/>
                <w:highlight w:val="none"/>
              </w:rPr>
              <w:t>标准以裁量等级最高为准</w:t>
            </w:r>
          </w:p>
        </w:tc>
      </w:tr>
    </w:tbl>
    <w:p w14:paraId="1DA006D0">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13"/>
        <w:gridCol w:w="5873"/>
        <w:gridCol w:w="1262"/>
      </w:tblGrid>
      <w:tr w14:paraId="3814A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3"/>
            <w:noWrap w:val="0"/>
            <w:vAlign w:val="top"/>
          </w:tcPr>
          <w:p w14:paraId="3B94D30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三</w:t>
            </w:r>
            <w:r>
              <w:rPr>
                <w:rFonts w:hint="eastAsia" w:ascii="宋体" w:hAnsi="宋体" w:eastAsia="宋体" w:cs="宋体"/>
                <w:color w:val="auto"/>
                <w:sz w:val="21"/>
                <w:szCs w:val="21"/>
                <w:highlight w:val="none"/>
              </w:rPr>
              <w:t>）排污许可管理类</w:t>
            </w:r>
          </w:p>
        </w:tc>
      </w:tr>
      <w:tr w14:paraId="31A5D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7" w:type="dxa"/>
            <w:noWrap w:val="0"/>
            <w:vAlign w:val="center"/>
          </w:tcPr>
          <w:p w14:paraId="2AAAC1A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795" w:type="dxa"/>
            <w:gridSpan w:val="2"/>
            <w:noWrap w:val="0"/>
            <w:vAlign w:val="top"/>
          </w:tcPr>
          <w:p w14:paraId="180479BA">
            <w:pPr>
              <w:keepNext w:val="0"/>
              <w:keepLines w:val="0"/>
              <w:pageBreakBefore w:val="0"/>
              <w:kinsoku/>
              <w:wordWrap/>
              <w:overflowPunct/>
              <w:topLinePunct w:val="0"/>
              <w:autoSpaceDE/>
              <w:autoSpaceDN/>
              <w:bidi w:val="0"/>
              <w:snapToGrid w:val="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w:t>
            </w:r>
          </w:p>
        </w:tc>
      </w:tr>
      <w:tr w14:paraId="0542E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7" w:type="dxa"/>
            <w:noWrap w:val="0"/>
            <w:vAlign w:val="center"/>
          </w:tcPr>
          <w:p w14:paraId="336284B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6795" w:type="dxa"/>
            <w:gridSpan w:val="2"/>
            <w:noWrap w:val="0"/>
            <w:vAlign w:val="center"/>
          </w:tcPr>
          <w:p w14:paraId="2F68776D">
            <w:pPr>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违反法律法规、国务院生态环境主管部门的规定、排污许可证规定设置排污口，逾期不拆除的</w:t>
            </w:r>
          </w:p>
        </w:tc>
      </w:tr>
      <w:tr w14:paraId="7C0C0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7" w:type="dxa"/>
            <w:noWrap w:val="0"/>
            <w:vAlign w:val="center"/>
          </w:tcPr>
          <w:p w14:paraId="4CA993C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6795" w:type="dxa"/>
            <w:gridSpan w:val="2"/>
            <w:noWrap w:val="0"/>
            <w:vAlign w:val="top"/>
          </w:tcPr>
          <w:p w14:paraId="29C7CBBE">
            <w:pPr>
              <w:keepNext w:val="0"/>
              <w:keepLines w:val="0"/>
              <w:pageBreakBefore w:val="0"/>
              <w:kinsoku/>
              <w:wordWrap/>
              <w:overflowPunct/>
              <w:topLinePunct w:val="0"/>
              <w:autoSpaceDE/>
              <w:autoSpaceDN/>
              <w:bidi w:val="0"/>
              <w:snapToGrid w:val="0"/>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《中华人民共和国生态环境法典》第一百六十三条  企业事业单位和其他生产经营者排放污染物的，应当依照法律法规和国务院生态环境主管部门的规定设置、使用污染物排放口（以下简称排污口）。</w:t>
            </w:r>
          </w:p>
          <w:p w14:paraId="184239E8">
            <w:pPr>
              <w:keepNext w:val="0"/>
              <w:keepLines w:val="0"/>
              <w:pageBreakBefore w:val="0"/>
              <w:kinsoku/>
              <w:wordWrap/>
              <w:overflowPunct/>
              <w:topLinePunct w:val="0"/>
              <w:autoSpaceDE/>
              <w:autoSpaceDN/>
              <w:bidi w:val="0"/>
              <w:snapToGrid w:val="0"/>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《中华人民共和国生态环境法典》第一百八十一条　排污许可证应当记载下列信息：</w:t>
            </w:r>
          </w:p>
          <w:p w14:paraId="6D950031">
            <w:pPr>
              <w:keepNext w:val="0"/>
              <w:keepLines w:val="0"/>
              <w:pageBreakBefore w:val="0"/>
              <w:kinsoku/>
              <w:wordWrap/>
              <w:overflowPunct/>
              <w:topLinePunct w:val="0"/>
              <w:autoSpaceDE/>
              <w:autoSpaceDN/>
              <w:bidi w:val="0"/>
              <w:snapToGrid w:val="0"/>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（一）排污口位置和数量、污染物排放方式和排放去向等；</w:t>
            </w:r>
          </w:p>
          <w:p w14:paraId="281E6E6F">
            <w:pPr>
              <w:keepNext w:val="0"/>
              <w:keepLines w:val="0"/>
              <w:pageBreakBefore w:val="0"/>
              <w:kinsoku/>
              <w:wordWrap/>
              <w:overflowPunct/>
              <w:topLinePunct w:val="0"/>
              <w:autoSpaceDE/>
              <w:autoSpaceDN/>
              <w:bidi w:val="0"/>
              <w:snapToGrid w:val="0"/>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（二）污染物排放种类、许可排放浓度、许可排放量，或者许可排放限值等；</w:t>
            </w:r>
          </w:p>
          <w:p w14:paraId="747A8382">
            <w:pPr>
              <w:keepNext w:val="0"/>
              <w:keepLines w:val="0"/>
              <w:pageBreakBefore w:val="0"/>
              <w:kinsoku/>
              <w:wordWrap/>
              <w:overflowPunct/>
              <w:topLinePunct w:val="0"/>
              <w:autoSpaceDE/>
              <w:autoSpaceDN/>
              <w:bidi w:val="0"/>
              <w:snapToGrid w:val="0"/>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（三）产生和排放污染物环节、污染防治设施及其运行和维护要求、排污口规范化建设要求等；</w:t>
            </w:r>
          </w:p>
          <w:p w14:paraId="2E3FC8F5">
            <w:pPr>
              <w:keepNext w:val="0"/>
              <w:keepLines w:val="0"/>
              <w:pageBreakBefore w:val="0"/>
              <w:kinsoku/>
              <w:wordWrap/>
              <w:overflowPunct/>
              <w:topLinePunct w:val="0"/>
              <w:autoSpaceDE/>
              <w:autoSpaceDN/>
              <w:bidi w:val="0"/>
              <w:snapToGrid w:val="0"/>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（四）特殊时段禁止或者限制污染物排放的要求；</w:t>
            </w:r>
          </w:p>
          <w:p w14:paraId="7509112E">
            <w:pPr>
              <w:keepNext w:val="0"/>
              <w:keepLines w:val="0"/>
              <w:pageBreakBefore w:val="0"/>
              <w:kinsoku/>
              <w:wordWrap/>
              <w:overflowPunct/>
              <w:topLinePunct w:val="0"/>
              <w:autoSpaceDE/>
              <w:autoSpaceDN/>
              <w:bidi w:val="0"/>
              <w:snapToGrid w:val="0"/>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（五）法律、行政法规规定的其他信息。</w:t>
            </w:r>
          </w:p>
          <w:p w14:paraId="5B985BE9">
            <w:pPr>
              <w:keepNext w:val="0"/>
              <w:keepLines w:val="0"/>
              <w:pageBreakBefore w:val="0"/>
              <w:kinsoku/>
              <w:wordWrap/>
              <w:overflowPunct/>
              <w:topLinePunct w:val="0"/>
              <w:autoSpaceDE/>
              <w:autoSpaceDN/>
              <w:bidi w:val="0"/>
              <w:snapToGrid w:val="0"/>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《中华人民共和国生态环境法典》第二百七十五条　新设、改设、扩大入河排污口，应当按照规定报经有管辖权的生态环境主管部门或者国务院生态环境主管部门流域生态环境监督管理机构同意。新设、改设、扩大可能影响防洪、供水、堤防安全、河势稳定的入河排污口的，审批时应当征求地方人民政府水行政主管部门或者有关流域管理机构的意见。入河排污口设置和管理的具体办法由国务院生态环境主管部门制定。</w:t>
            </w:r>
          </w:p>
          <w:p w14:paraId="2C2AA372">
            <w:pPr>
              <w:keepNext w:val="0"/>
              <w:keepLines w:val="0"/>
              <w:pageBreakBefore w:val="0"/>
              <w:kinsoku/>
              <w:wordWrap/>
              <w:overflowPunct/>
              <w:topLinePunct w:val="0"/>
              <w:autoSpaceDE/>
              <w:autoSpaceDN/>
              <w:bidi w:val="0"/>
              <w:snapToGrid w:val="0"/>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本法所称入河排污口，是指直接或者通过管道、沟、渠等排污通道向江河湖泊、运河、水库等水体排放污水的口门。</w:t>
            </w:r>
          </w:p>
        </w:tc>
      </w:tr>
      <w:tr w14:paraId="4DDA0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7" w:type="dxa"/>
            <w:noWrap w:val="0"/>
            <w:vAlign w:val="center"/>
          </w:tcPr>
          <w:p w14:paraId="57E384C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6795" w:type="dxa"/>
            <w:gridSpan w:val="2"/>
            <w:noWrap w:val="0"/>
            <w:vAlign w:val="top"/>
          </w:tcPr>
          <w:p w14:paraId="6986FC15">
            <w:pPr>
              <w:keepNext w:val="0"/>
              <w:keepLines w:val="0"/>
              <w:pageBreakBefore w:val="0"/>
              <w:kinsoku/>
              <w:wordWrap/>
              <w:overflowPunct/>
              <w:topLinePunct w:val="0"/>
              <w:autoSpaceDE/>
              <w:autoSpaceDN/>
              <w:bidi w:val="0"/>
              <w:snapToGrid w:val="0"/>
              <w:ind w:firstLine="412" w:firstLineChars="200"/>
              <w:textAlignment w:val="auto"/>
              <w:rPr>
                <w:rFonts w:hint="eastAsia" w:ascii="宋体" w:hAnsi="宋体" w:eastAsia="宋体" w:cs="宋体"/>
                <w:b w:val="0"/>
                <w:bCs w:val="0"/>
                <w:color w:val="000000" w:themeColor="text1"/>
                <w:spacing w:val="-2"/>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pacing w:val="-2"/>
                <w:sz w:val="21"/>
                <w:szCs w:val="21"/>
                <w:highlight w:val="none"/>
                <w:lang w:val="en-US" w:eastAsia="zh-CN"/>
                <w14:textFill>
                  <w14:solidFill>
                    <w14:schemeClr w14:val="tx1"/>
                  </w14:solidFill>
                </w14:textFill>
              </w:rPr>
              <w:t>《中华人民共和国生态环境法典》第一千一百零九条第一款  违反本法和其他法律法规、国务院生态环境主管部门的规定、排污许可证规定设置排污口的，除本条第二款规定外，由生态环境主管部门责令限期拆除，逾期不拆除的，强制拆除，所需费用由违法者承担，处二万元以上十万元以下的罚款</w:t>
            </w:r>
            <w:r>
              <w:rPr>
                <w:rFonts w:hint="eastAsia" w:ascii="宋体" w:hAnsi="宋体" w:cs="宋体"/>
                <w:color w:val="auto"/>
                <w:sz w:val="21"/>
                <w:szCs w:val="21"/>
                <w:highlight w:val="none"/>
                <w:lang w:eastAsia="zh-CN"/>
              </w:rPr>
              <w:t>；……</w:t>
            </w:r>
            <w:r>
              <w:rPr>
                <w:rFonts w:hint="eastAsia" w:ascii="宋体" w:hAnsi="宋体" w:eastAsia="宋体" w:cs="宋体"/>
                <w:b w:val="0"/>
                <w:bCs w:val="0"/>
                <w:color w:val="000000" w:themeColor="text1"/>
                <w:spacing w:val="-2"/>
                <w:sz w:val="21"/>
                <w:szCs w:val="21"/>
                <w:highlight w:val="none"/>
                <w:lang w:val="en-US" w:eastAsia="zh-CN"/>
                <w14:textFill>
                  <w14:solidFill>
                    <w14:schemeClr w14:val="tx1"/>
                  </w14:solidFill>
                </w14:textFill>
              </w:rPr>
              <w:t>。</w:t>
            </w:r>
          </w:p>
        </w:tc>
      </w:tr>
      <w:tr w14:paraId="42FFF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7" w:type="dxa"/>
            <w:noWrap w:val="0"/>
            <w:vAlign w:val="center"/>
          </w:tcPr>
          <w:p w14:paraId="23D2E7C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593" w:type="dxa"/>
            <w:noWrap w:val="0"/>
            <w:vAlign w:val="top"/>
          </w:tcPr>
          <w:p w14:paraId="3B7BC725">
            <w:pPr>
              <w:keepNext w:val="0"/>
              <w:keepLines w:val="0"/>
              <w:pageBreakBefore w:val="0"/>
              <w:kinsoku/>
              <w:wordWrap/>
              <w:overflowPunct/>
              <w:topLinePunct w:val="0"/>
              <w:autoSpaceDE/>
              <w:autoSpaceDN/>
              <w:bidi w:val="0"/>
              <w:snapToGrid w:val="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202" w:type="dxa"/>
            <w:noWrap w:val="0"/>
            <w:vAlign w:val="top"/>
          </w:tcPr>
          <w:p w14:paraId="4A641A63">
            <w:pPr>
              <w:keepNext w:val="0"/>
              <w:keepLines w:val="0"/>
              <w:pageBreakBefore w:val="0"/>
              <w:kinsoku/>
              <w:wordWrap/>
              <w:overflowPunct/>
              <w:topLinePunct w:val="0"/>
              <w:autoSpaceDE/>
              <w:autoSpaceDN/>
              <w:bidi w:val="0"/>
              <w:snapToGrid w:val="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1B5EC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7" w:type="dxa"/>
            <w:vMerge w:val="restart"/>
            <w:noWrap w:val="0"/>
            <w:vAlign w:val="center"/>
          </w:tcPr>
          <w:p w14:paraId="1CAB75E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违法事实</w:t>
            </w:r>
          </w:p>
        </w:tc>
        <w:tc>
          <w:tcPr>
            <w:tcW w:w="5593" w:type="dxa"/>
            <w:noWrap w:val="0"/>
            <w:vAlign w:val="top"/>
          </w:tcPr>
          <w:p w14:paraId="3F546296">
            <w:pPr>
              <w:keepNext w:val="0"/>
              <w:keepLines w:val="0"/>
              <w:pageBreakBefore w:val="0"/>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排污口正在建设</w:t>
            </w:r>
          </w:p>
        </w:tc>
        <w:tc>
          <w:tcPr>
            <w:tcW w:w="1202" w:type="dxa"/>
            <w:noWrap w:val="0"/>
            <w:vAlign w:val="center"/>
          </w:tcPr>
          <w:p w14:paraId="0A895E46">
            <w:pPr>
              <w:keepNext w:val="0"/>
              <w:keepLines w:val="0"/>
              <w:pageBreakBefore w:val="0"/>
              <w:kinsoku/>
              <w:wordWrap/>
              <w:overflowPunct/>
              <w:topLinePunct w:val="0"/>
              <w:autoSpaceDE/>
              <w:autoSpaceDN/>
              <w:bidi w:val="0"/>
              <w:snapToGrid w:val="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60EB4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7" w:type="dxa"/>
            <w:vMerge w:val="continue"/>
            <w:noWrap w:val="0"/>
            <w:vAlign w:val="center"/>
          </w:tcPr>
          <w:p w14:paraId="672E9419">
            <w:pPr>
              <w:jc w:val="center"/>
              <w:rPr>
                <w:rFonts w:hint="eastAsia" w:ascii="宋体" w:hAnsi="宋体" w:eastAsia="宋体" w:cs="宋体"/>
                <w:color w:val="auto"/>
                <w:sz w:val="21"/>
                <w:szCs w:val="21"/>
                <w:highlight w:val="none"/>
              </w:rPr>
            </w:pPr>
          </w:p>
        </w:tc>
        <w:tc>
          <w:tcPr>
            <w:tcW w:w="5593" w:type="dxa"/>
            <w:noWrap w:val="0"/>
            <w:vAlign w:val="top"/>
          </w:tcPr>
          <w:p w14:paraId="659BCB62">
            <w:pPr>
              <w:keepNext w:val="0"/>
              <w:keepLines w:val="0"/>
              <w:pageBreakBefore w:val="0"/>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排污口已建成，尚未投入使用</w:t>
            </w:r>
          </w:p>
        </w:tc>
        <w:tc>
          <w:tcPr>
            <w:tcW w:w="1202" w:type="dxa"/>
            <w:noWrap w:val="0"/>
            <w:vAlign w:val="center"/>
          </w:tcPr>
          <w:p w14:paraId="5DD1572B">
            <w:pPr>
              <w:keepNext w:val="0"/>
              <w:keepLines w:val="0"/>
              <w:pageBreakBefore w:val="0"/>
              <w:kinsoku/>
              <w:wordWrap/>
              <w:overflowPunct/>
              <w:topLinePunct w:val="0"/>
              <w:autoSpaceDE/>
              <w:autoSpaceDN/>
              <w:bidi w:val="0"/>
              <w:snapToGrid w:val="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66007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7" w:type="dxa"/>
            <w:vMerge w:val="continue"/>
            <w:noWrap w:val="0"/>
            <w:vAlign w:val="center"/>
          </w:tcPr>
          <w:p w14:paraId="6856882A">
            <w:pPr>
              <w:jc w:val="center"/>
              <w:rPr>
                <w:rFonts w:hint="eastAsia" w:ascii="宋体" w:hAnsi="宋体" w:eastAsia="宋体" w:cs="宋体"/>
                <w:color w:val="auto"/>
                <w:sz w:val="21"/>
                <w:szCs w:val="21"/>
                <w:highlight w:val="none"/>
              </w:rPr>
            </w:pPr>
          </w:p>
        </w:tc>
        <w:tc>
          <w:tcPr>
            <w:tcW w:w="5593" w:type="dxa"/>
            <w:noWrap w:val="0"/>
            <w:vAlign w:val="top"/>
          </w:tcPr>
          <w:p w14:paraId="4B2F6E07">
            <w:pPr>
              <w:keepNext w:val="0"/>
              <w:keepLines w:val="0"/>
              <w:pageBreakBefore w:val="0"/>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排污口已正常使用</w:t>
            </w:r>
          </w:p>
        </w:tc>
        <w:tc>
          <w:tcPr>
            <w:tcW w:w="1202" w:type="dxa"/>
            <w:noWrap w:val="0"/>
            <w:vAlign w:val="center"/>
          </w:tcPr>
          <w:p w14:paraId="32415A2F">
            <w:pPr>
              <w:keepNext w:val="0"/>
              <w:keepLines w:val="0"/>
              <w:pageBreakBefore w:val="0"/>
              <w:kinsoku/>
              <w:wordWrap/>
              <w:overflowPunct/>
              <w:topLinePunct w:val="0"/>
              <w:autoSpaceDE/>
              <w:autoSpaceDN/>
              <w:bidi w:val="0"/>
              <w:snapToGrid w:val="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204E7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7" w:type="dxa"/>
            <w:vMerge w:val="restart"/>
            <w:noWrap w:val="0"/>
            <w:vAlign w:val="center"/>
          </w:tcPr>
          <w:p w14:paraId="3291FEA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未按照规定设置的排污口数量</w:t>
            </w:r>
          </w:p>
        </w:tc>
        <w:tc>
          <w:tcPr>
            <w:tcW w:w="5593" w:type="dxa"/>
            <w:noWrap w:val="0"/>
            <w:vAlign w:val="center"/>
          </w:tcPr>
          <w:p w14:paraId="6F2A1346">
            <w:pPr>
              <w:keepNext w:val="0"/>
              <w:keepLines w:val="0"/>
              <w:pageBreakBefore w:val="0"/>
              <w:widowControl w:val="0"/>
              <w:kinsoku/>
              <w:wordWrap/>
              <w:overflowPunct/>
              <w:topLinePunct w:val="0"/>
              <w:autoSpaceDE/>
              <w:autoSpaceDN/>
              <w:bidi w:val="0"/>
              <w:adjustRightInd/>
              <w:snapToGrid w:val="0"/>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个</w:t>
            </w:r>
          </w:p>
        </w:tc>
        <w:tc>
          <w:tcPr>
            <w:tcW w:w="1202" w:type="dxa"/>
            <w:noWrap w:val="0"/>
            <w:vAlign w:val="top"/>
          </w:tcPr>
          <w:p w14:paraId="1671F0E4">
            <w:pPr>
              <w:keepNext w:val="0"/>
              <w:keepLines w:val="0"/>
              <w:pageBreakBefore w:val="0"/>
              <w:kinsoku/>
              <w:wordWrap/>
              <w:overflowPunct/>
              <w:topLinePunct w:val="0"/>
              <w:autoSpaceDE/>
              <w:autoSpaceDN/>
              <w:bidi w:val="0"/>
              <w:snapToGrid w:val="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p>
        </w:tc>
      </w:tr>
      <w:tr w14:paraId="37860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7" w:type="dxa"/>
            <w:vMerge w:val="continue"/>
            <w:noWrap w:val="0"/>
            <w:vAlign w:val="center"/>
          </w:tcPr>
          <w:p w14:paraId="42B67688">
            <w:pPr>
              <w:jc w:val="center"/>
              <w:rPr>
                <w:rFonts w:hint="eastAsia" w:ascii="宋体" w:hAnsi="宋体" w:eastAsia="宋体" w:cs="宋体"/>
                <w:color w:val="auto"/>
                <w:sz w:val="21"/>
                <w:szCs w:val="21"/>
                <w:highlight w:val="none"/>
              </w:rPr>
            </w:pPr>
          </w:p>
        </w:tc>
        <w:tc>
          <w:tcPr>
            <w:tcW w:w="5593" w:type="dxa"/>
            <w:noWrap w:val="0"/>
            <w:vAlign w:val="center"/>
          </w:tcPr>
          <w:p w14:paraId="0DA5386C">
            <w:pPr>
              <w:keepNext w:val="0"/>
              <w:keepLines w:val="0"/>
              <w:pageBreakBefore w:val="0"/>
              <w:widowControl w:val="0"/>
              <w:kinsoku/>
              <w:wordWrap/>
              <w:overflowPunct/>
              <w:topLinePunct w:val="0"/>
              <w:autoSpaceDE/>
              <w:autoSpaceDN/>
              <w:bidi w:val="0"/>
              <w:adjustRightInd/>
              <w:snapToGrid w:val="0"/>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个</w:t>
            </w:r>
            <w:r>
              <w:rPr>
                <w:rFonts w:hint="eastAsia" w:ascii="宋体" w:hAnsi="宋体" w:eastAsia="宋体" w:cs="宋体"/>
                <w:color w:val="auto"/>
                <w:sz w:val="21"/>
                <w:szCs w:val="21"/>
                <w:highlight w:val="none"/>
              </w:rPr>
              <w:t>以上不足5</w:t>
            </w:r>
            <w:r>
              <w:rPr>
                <w:rFonts w:hint="eastAsia" w:ascii="宋体" w:hAnsi="宋体" w:eastAsia="宋体" w:cs="宋体"/>
                <w:color w:val="auto"/>
                <w:sz w:val="21"/>
                <w:szCs w:val="21"/>
                <w:highlight w:val="none"/>
                <w:lang w:val="en-US" w:eastAsia="zh-CN"/>
              </w:rPr>
              <w:t>个</w:t>
            </w:r>
          </w:p>
        </w:tc>
        <w:tc>
          <w:tcPr>
            <w:tcW w:w="1202" w:type="dxa"/>
            <w:noWrap w:val="0"/>
            <w:vAlign w:val="top"/>
          </w:tcPr>
          <w:p w14:paraId="20198469">
            <w:pPr>
              <w:keepNext w:val="0"/>
              <w:keepLines w:val="0"/>
              <w:pageBreakBefore w:val="0"/>
              <w:kinsoku/>
              <w:wordWrap/>
              <w:overflowPunct/>
              <w:topLinePunct w:val="0"/>
              <w:autoSpaceDE/>
              <w:autoSpaceDN/>
              <w:bidi w:val="0"/>
              <w:snapToGrid w:val="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r>
      <w:tr w14:paraId="21388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7" w:type="dxa"/>
            <w:vMerge w:val="continue"/>
            <w:noWrap w:val="0"/>
            <w:vAlign w:val="center"/>
          </w:tcPr>
          <w:p w14:paraId="2B40BD54">
            <w:pPr>
              <w:jc w:val="center"/>
              <w:rPr>
                <w:rFonts w:hint="eastAsia" w:ascii="宋体" w:hAnsi="宋体" w:eastAsia="宋体" w:cs="宋体"/>
                <w:color w:val="auto"/>
                <w:sz w:val="21"/>
                <w:szCs w:val="21"/>
                <w:highlight w:val="none"/>
              </w:rPr>
            </w:pPr>
          </w:p>
        </w:tc>
        <w:tc>
          <w:tcPr>
            <w:tcW w:w="5593" w:type="dxa"/>
            <w:noWrap w:val="0"/>
            <w:vAlign w:val="center"/>
          </w:tcPr>
          <w:p w14:paraId="72192109">
            <w:pPr>
              <w:keepNext w:val="0"/>
              <w:keepLines w:val="0"/>
              <w:pageBreakBefore w:val="0"/>
              <w:widowControl w:val="0"/>
              <w:kinsoku/>
              <w:wordWrap/>
              <w:overflowPunct/>
              <w:topLinePunct w:val="0"/>
              <w:autoSpaceDE/>
              <w:autoSpaceDN/>
              <w:bidi w:val="0"/>
              <w:adjustRightInd/>
              <w:snapToGrid w:val="0"/>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r>
              <w:rPr>
                <w:rFonts w:hint="eastAsia" w:ascii="宋体" w:hAnsi="宋体" w:eastAsia="宋体" w:cs="宋体"/>
                <w:color w:val="auto"/>
                <w:sz w:val="21"/>
                <w:szCs w:val="21"/>
                <w:highlight w:val="none"/>
                <w:lang w:val="en-US" w:eastAsia="zh-CN"/>
              </w:rPr>
              <w:t>个</w:t>
            </w:r>
            <w:r>
              <w:rPr>
                <w:rFonts w:hint="eastAsia" w:ascii="宋体" w:hAnsi="宋体" w:eastAsia="宋体" w:cs="宋体"/>
                <w:color w:val="auto"/>
                <w:sz w:val="21"/>
                <w:szCs w:val="21"/>
                <w:highlight w:val="none"/>
              </w:rPr>
              <w:t>以上不足</w:t>
            </w:r>
            <w:r>
              <w:rPr>
                <w:rFonts w:hint="eastAsia" w:ascii="宋体" w:hAnsi="宋体" w:eastAsia="宋体" w:cs="宋体"/>
                <w:color w:val="auto"/>
                <w:sz w:val="21"/>
                <w:szCs w:val="21"/>
                <w:highlight w:val="none"/>
                <w:lang w:val="en-US" w:eastAsia="zh-CN"/>
              </w:rPr>
              <w:t>10个</w:t>
            </w:r>
          </w:p>
        </w:tc>
        <w:tc>
          <w:tcPr>
            <w:tcW w:w="1202" w:type="dxa"/>
            <w:noWrap w:val="0"/>
            <w:vAlign w:val="top"/>
          </w:tcPr>
          <w:p w14:paraId="0C0A3D31">
            <w:pPr>
              <w:keepNext w:val="0"/>
              <w:keepLines w:val="0"/>
              <w:pageBreakBefore w:val="0"/>
              <w:kinsoku/>
              <w:wordWrap/>
              <w:overflowPunct/>
              <w:topLinePunct w:val="0"/>
              <w:autoSpaceDE/>
              <w:autoSpaceDN/>
              <w:bidi w:val="0"/>
              <w:snapToGrid w:val="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r>
      <w:tr w14:paraId="7A828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7" w:type="dxa"/>
            <w:vMerge w:val="continue"/>
            <w:noWrap w:val="0"/>
            <w:vAlign w:val="center"/>
          </w:tcPr>
          <w:p w14:paraId="4A781CA7">
            <w:pPr>
              <w:jc w:val="center"/>
              <w:rPr>
                <w:rFonts w:hint="eastAsia" w:ascii="宋体" w:hAnsi="宋体" w:eastAsia="宋体" w:cs="宋体"/>
                <w:color w:val="auto"/>
                <w:sz w:val="21"/>
                <w:szCs w:val="21"/>
                <w:highlight w:val="none"/>
              </w:rPr>
            </w:pPr>
          </w:p>
        </w:tc>
        <w:tc>
          <w:tcPr>
            <w:tcW w:w="5593" w:type="dxa"/>
            <w:noWrap w:val="0"/>
            <w:vAlign w:val="center"/>
          </w:tcPr>
          <w:p w14:paraId="185335A1">
            <w:pPr>
              <w:keepNext w:val="0"/>
              <w:keepLines w:val="0"/>
              <w:pageBreakBefore w:val="0"/>
              <w:widowControl w:val="0"/>
              <w:kinsoku/>
              <w:wordWrap/>
              <w:overflowPunct/>
              <w:topLinePunct w:val="0"/>
              <w:autoSpaceDE/>
              <w:autoSpaceDN/>
              <w:bidi w:val="0"/>
              <w:adjustRightInd/>
              <w:snapToGrid w:val="0"/>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10个</w:t>
            </w:r>
            <w:r>
              <w:rPr>
                <w:rFonts w:hint="eastAsia" w:ascii="宋体" w:hAnsi="宋体" w:eastAsia="宋体" w:cs="宋体"/>
                <w:color w:val="auto"/>
                <w:sz w:val="21"/>
                <w:szCs w:val="21"/>
                <w:highlight w:val="none"/>
              </w:rPr>
              <w:t>以上</w:t>
            </w:r>
          </w:p>
        </w:tc>
        <w:tc>
          <w:tcPr>
            <w:tcW w:w="1202" w:type="dxa"/>
            <w:noWrap w:val="0"/>
            <w:vAlign w:val="top"/>
          </w:tcPr>
          <w:p w14:paraId="5ED5CABC">
            <w:pPr>
              <w:keepNext w:val="0"/>
              <w:keepLines w:val="0"/>
              <w:pageBreakBefore w:val="0"/>
              <w:kinsoku/>
              <w:wordWrap/>
              <w:overflowPunct/>
              <w:topLinePunct w:val="0"/>
              <w:autoSpaceDE/>
              <w:autoSpaceDN/>
              <w:bidi w:val="0"/>
              <w:snapToGrid w:val="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p>
        </w:tc>
      </w:tr>
      <w:tr w14:paraId="7643A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7" w:type="dxa"/>
            <w:vMerge w:val="restart"/>
            <w:noWrap w:val="0"/>
            <w:vAlign w:val="center"/>
          </w:tcPr>
          <w:p w14:paraId="591A8A6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排放去向或</w:t>
            </w:r>
          </w:p>
          <w:p w14:paraId="66FD8AF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区域</w:t>
            </w:r>
          </w:p>
        </w:tc>
        <w:tc>
          <w:tcPr>
            <w:tcW w:w="5593" w:type="dxa"/>
            <w:noWrap w:val="0"/>
            <w:vAlign w:val="top"/>
          </w:tcPr>
          <w:p w14:paraId="4AFC86C8">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二类环境空气功能区</w:t>
            </w:r>
            <w:r>
              <w:rPr>
                <w:rFonts w:hint="eastAsia" w:ascii="宋体" w:hAnsi="宋体" w:eastAsia="宋体" w:cs="宋体"/>
                <w:color w:val="auto"/>
                <w:sz w:val="21"/>
                <w:szCs w:val="21"/>
                <w:highlight w:val="none"/>
              </w:rPr>
              <w:t>（工业区和农村地区）</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V类水体</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或者</w:t>
            </w:r>
            <w:r>
              <w:rPr>
                <w:rFonts w:hint="eastAsia" w:ascii="宋体" w:hAnsi="宋体" w:cs="宋体"/>
                <w:color w:val="auto"/>
                <w:szCs w:val="21"/>
                <w:highlight w:val="none"/>
              </w:rPr>
              <w:t>污水集中处理设施</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4类声环境功能区</w:t>
            </w:r>
            <w:r>
              <w:rPr>
                <w:rFonts w:hint="eastAsia" w:ascii="宋体" w:hAnsi="宋体" w:eastAsia="宋体" w:cs="宋体"/>
                <w:color w:val="auto"/>
                <w:sz w:val="21"/>
                <w:szCs w:val="21"/>
                <w:highlight w:val="none"/>
                <w:lang w:val="en-US" w:eastAsia="zh-CN"/>
              </w:rPr>
              <w:t>/第四类海水水质的区域</w:t>
            </w:r>
          </w:p>
        </w:tc>
        <w:tc>
          <w:tcPr>
            <w:tcW w:w="1202" w:type="dxa"/>
            <w:noWrap w:val="0"/>
            <w:vAlign w:val="center"/>
          </w:tcPr>
          <w:p w14:paraId="6DD708F3">
            <w:pPr>
              <w:keepNext w:val="0"/>
              <w:keepLines w:val="0"/>
              <w:pageBreakBefore w:val="0"/>
              <w:kinsoku/>
              <w:wordWrap/>
              <w:overflowPunct/>
              <w:topLinePunct w:val="0"/>
              <w:autoSpaceDE/>
              <w:autoSpaceDN/>
              <w:bidi w:val="0"/>
              <w:snapToGrid w:val="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602FB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7" w:type="dxa"/>
            <w:vMerge w:val="continue"/>
            <w:noWrap w:val="0"/>
            <w:vAlign w:val="center"/>
          </w:tcPr>
          <w:p w14:paraId="3B113275">
            <w:pPr>
              <w:jc w:val="center"/>
              <w:rPr>
                <w:rFonts w:hint="eastAsia" w:ascii="宋体" w:hAnsi="宋体" w:eastAsia="宋体" w:cs="宋体"/>
                <w:color w:val="auto"/>
                <w:sz w:val="21"/>
                <w:szCs w:val="21"/>
                <w:highlight w:val="none"/>
              </w:rPr>
            </w:pPr>
          </w:p>
        </w:tc>
        <w:tc>
          <w:tcPr>
            <w:tcW w:w="5593" w:type="dxa"/>
            <w:noWrap w:val="0"/>
            <w:vAlign w:val="top"/>
          </w:tcPr>
          <w:p w14:paraId="4248DBA5">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Ⅳ类</w:t>
            </w:r>
            <w:r>
              <w:rPr>
                <w:rFonts w:hint="eastAsia" w:ascii="宋体" w:hAnsi="宋体" w:eastAsia="宋体" w:cs="宋体"/>
                <w:color w:val="auto"/>
                <w:sz w:val="21"/>
                <w:szCs w:val="21"/>
                <w:highlight w:val="none"/>
              </w:rPr>
              <w:t>水体</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3类声环境功能区</w:t>
            </w:r>
            <w:r>
              <w:rPr>
                <w:rFonts w:hint="eastAsia" w:ascii="宋体" w:hAnsi="宋体" w:eastAsia="宋体" w:cs="宋体"/>
                <w:color w:val="auto"/>
                <w:sz w:val="21"/>
                <w:szCs w:val="21"/>
                <w:highlight w:val="none"/>
                <w:lang w:val="en-US" w:eastAsia="zh-CN"/>
              </w:rPr>
              <w:t>/第三类海水水质的区域</w:t>
            </w:r>
          </w:p>
        </w:tc>
        <w:tc>
          <w:tcPr>
            <w:tcW w:w="1202" w:type="dxa"/>
            <w:noWrap w:val="0"/>
            <w:vAlign w:val="center"/>
          </w:tcPr>
          <w:p w14:paraId="20BF5D9B">
            <w:pPr>
              <w:keepNext w:val="0"/>
              <w:keepLines w:val="0"/>
              <w:pageBreakBefore w:val="0"/>
              <w:kinsoku/>
              <w:wordWrap/>
              <w:overflowPunct/>
              <w:topLinePunct w:val="0"/>
              <w:autoSpaceDE/>
              <w:autoSpaceDN/>
              <w:bidi w:val="0"/>
              <w:snapToGrid w:val="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p>
        </w:tc>
      </w:tr>
      <w:tr w14:paraId="06B72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7" w:type="dxa"/>
            <w:vMerge w:val="continue"/>
            <w:noWrap w:val="0"/>
            <w:vAlign w:val="center"/>
          </w:tcPr>
          <w:p w14:paraId="7DFC65FF">
            <w:pPr>
              <w:jc w:val="center"/>
              <w:rPr>
                <w:rFonts w:hint="eastAsia" w:ascii="宋体" w:hAnsi="宋体" w:eastAsia="宋体" w:cs="宋体"/>
                <w:color w:val="auto"/>
                <w:sz w:val="21"/>
                <w:szCs w:val="21"/>
                <w:highlight w:val="none"/>
              </w:rPr>
            </w:pPr>
          </w:p>
        </w:tc>
        <w:tc>
          <w:tcPr>
            <w:tcW w:w="5593" w:type="dxa"/>
            <w:noWrap w:val="0"/>
            <w:vAlign w:val="top"/>
          </w:tcPr>
          <w:p w14:paraId="57FC2647">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二类环境空气功能区</w:t>
            </w:r>
            <w:r>
              <w:rPr>
                <w:rFonts w:hint="eastAsia" w:ascii="宋体" w:hAnsi="宋体" w:eastAsia="宋体" w:cs="宋体"/>
                <w:color w:val="auto"/>
                <w:sz w:val="21"/>
                <w:szCs w:val="21"/>
                <w:highlight w:val="none"/>
                <w:lang w:eastAsia="zh-CN"/>
              </w:rPr>
              <w:t>（居民区、商业交通居民混合区、文化区）/</w:t>
            </w:r>
            <w:r>
              <w:rPr>
                <w:rFonts w:hint="eastAsia" w:ascii="宋体" w:hAnsi="宋体" w:cs="宋体"/>
                <w:color w:val="auto"/>
                <w:sz w:val="21"/>
                <w:szCs w:val="21"/>
                <w:highlight w:val="none"/>
                <w:lang w:eastAsia="zh-CN"/>
              </w:rPr>
              <w:t>Ⅲ类</w:t>
            </w:r>
            <w:r>
              <w:rPr>
                <w:rFonts w:hint="eastAsia" w:ascii="宋体" w:hAnsi="宋体" w:eastAsia="宋体" w:cs="宋体"/>
                <w:color w:val="auto"/>
                <w:sz w:val="21"/>
                <w:szCs w:val="21"/>
                <w:highlight w:val="none"/>
                <w:lang w:eastAsia="zh-CN"/>
              </w:rPr>
              <w:t>水体/2类声环境功能区/饮用水水源准保护区/自然保护地外的生态保护红线区域</w:t>
            </w:r>
          </w:p>
        </w:tc>
        <w:tc>
          <w:tcPr>
            <w:tcW w:w="1202" w:type="dxa"/>
            <w:noWrap w:val="0"/>
            <w:vAlign w:val="center"/>
          </w:tcPr>
          <w:p w14:paraId="66B2AA4C">
            <w:pPr>
              <w:keepNext w:val="0"/>
              <w:keepLines w:val="0"/>
              <w:pageBreakBefore w:val="0"/>
              <w:kinsoku/>
              <w:wordWrap/>
              <w:overflowPunct/>
              <w:topLinePunct w:val="0"/>
              <w:autoSpaceDE/>
              <w:autoSpaceDN/>
              <w:bidi w:val="0"/>
              <w:snapToGrid w:val="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151B6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7" w:type="dxa"/>
            <w:vMerge w:val="continue"/>
            <w:noWrap w:val="0"/>
            <w:vAlign w:val="center"/>
          </w:tcPr>
          <w:p w14:paraId="1647347D">
            <w:pPr>
              <w:jc w:val="center"/>
              <w:rPr>
                <w:rFonts w:hint="eastAsia" w:ascii="宋体" w:hAnsi="宋体" w:eastAsia="宋体" w:cs="宋体"/>
                <w:color w:val="auto"/>
                <w:sz w:val="21"/>
                <w:szCs w:val="21"/>
                <w:highlight w:val="none"/>
              </w:rPr>
            </w:pPr>
          </w:p>
        </w:tc>
        <w:tc>
          <w:tcPr>
            <w:tcW w:w="5593" w:type="dxa"/>
            <w:noWrap w:val="0"/>
            <w:vAlign w:val="top"/>
          </w:tcPr>
          <w:p w14:paraId="4C42F4D6">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Ⅱ类</w:t>
            </w:r>
            <w:r>
              <w:rPr>
                <w:rFonts w:hint="eastAsia" w:ascii="宋体" w:hAnsi="宋体" w:eastAsia="宋体" w:cs="宋体"/>
                <w:color w:val="auto"/>
                <w:sz w:val="21"/>
                <w:szCs w:val="21"/>
                <w:highlight w:val="none"/>
              </w:rPr>
              <w:t>水体</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1类声环境功能区／自然保护地一般控制区</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饮用水水源二级保护区</w:t>
            </w:r>
            <w:r>
              <w:rPr>
                <w:rFonts w:hint="eastAsia" w:ascii="宋体" w:hAnsi="宋体" w:eastAsia="宋体" w:cs="宋体"/>
                <w:color w:val="auto"/>
                <w:sz w:val="21"/>
                <w:szCs w:val="21"/>
                <w:highlight w:val="none"/>
                <w:lang w:val="en-US" w:eastAsia="zh-CN"/>
              </w:rPr>
              <w:t>/第二类海水水质的区域</w:t>
            </w:r>
          </w:p>
        </w:tc>
        <w:tc>
          <w:tcPr>
            <w:tcW w:w="1202" w:type="dxa"/>
            <w:noWrap w:val="0"/>
            <w:vAlign w:val="center"/>
          </w:tcPr>
          <w:p w14:paraId="49227BAB">
            <w:pPr>
              <w:keepNext w:val="0"/>
              <w:keepLines w:val="0"/>
              <w:pageBreakBefore w:val="0"/>
              <w:kinsoku/>
              <w:wordWrap/>
              <w:overflowPunct/>
              <w:topLinePunct w:val="0"/>
              <w:autoSpaceDE/>
              <w:autoSpaceDN/>
              <w:bidi w:val="0"/>
              <w:snapToGrid w:val="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p>
        </w:tc>
      </w:tr>
      <w:tr w14:paraId="2055B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7" w:type="dxa"/>
            <w:vMerge w:val="continue"/>
            <w:noWrap w:val="0"/>
            <w:vAlign w:val="center"/>
          </w:tcPr>
          <w:p w14:paraId="50207F0F">
            <w:pPr>
              <w:jc w:val="center"/>
              <w:rPr>
                <w:rFonts w:hint="eastAsia" w:ascii="宋体" w:hAnsi="宋体" w:eastAsia="宋体" w:cs="宋体"/>
                <w:color w:val="auto"/>
                <w:sz w:val="21"/>
                <w:szCs w:val="21"/>
                <w:highlight w:val="none"/>
              </w:rPr>
            </w:pPr>
          </w:p>
        </w:tc>
        <w:tc>
          <w:tcPr>
            <w:tcW w:w="5593" w:type="dxa"/>
            <w:noWrap w:val="0"/>
            <w:vAlign w:val="top"/>
          </w:tcPr>
          <w:p w14:paraId="668E4783">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一类环境空气功能区</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I类水体</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0类声环境功能区／自然保护地核心保护区</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饮用水水源一级保护区</w:t>
            </w:r>
            <w:r>
              <w:rPr>
                <w:rFonts w:hint="eastAsia" w:ascii="宋体" w:hAnsi="宋体" w:eastAsia="宋体" w:cs="宋体"/>
                <w:color w:val="auto"/>
                <w:sz w:val="21"/>
                <w:szCs w:val="21"/>
                <w:highlight w:val="none"/>
                <w:lang w:val="en-US" w:eastAsia="zh-CN"/>
              </w:rPr>
              <w:t>/第一类海水水质的区域</w:t>
            </w:r>
          </w:p>
        </w:tc>
        <w:tc>
          <w:tcPr>
            <w:tcW w:w="1202" w:type="dxa"/>
            <w:noWrap w:val="0"/>
            <w:vAlign w:val="center"/>
          </w:tcPr>
          <w:p w14:paraId="73D33FA2">
            <w:pPr>
              <w:keepNext w:val="0"/>
              <w:keepLines w:val="0"/>
              <w:pageBreakBefore w:val="0"/>
              <w:kinsoku/>
              <w:wordWrap/>
              <w:overflowPunct/>
              <w:topLinePunct w:val="0"/>
              <w:autoSpaceDE/>
              <w:autoSpaceDN/>
              <w:bidi w:val="0"/>
              <w:snapToGrid w:val="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368AF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7" w:type="dxa"/>
            <w:vMerge w:val="restart"/>
            <w:noWrap w:val="0"/>
            <w:vAlign w:val="center"/>
          </w:tcPr>
          <w:p w14:paraId="376A5D4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污染物</w:t>
            </w:r>
            <w:r>
              <w:rPr>
                <w:rFonts w:hint="eastAsia" w:ascii="宋体" w:hAnsi="宋体" w:eastAsia="宋体" w:cs="宋体"/>
                <w:color w:val="auto"/>
                <w:sz w:val="21"/>
                <w:szCs w:val="21"/>
                <w:highlight w:val="none"/>
              </w:rPr>
              <w:t>类别</w:t>
            </w:r>
          </w:p>
        </w:tc>
        <w:tc>
          <w:tcPr>
            <w:tcW w:w="5593" w:type="dxa"/>
            <w:noWrap w:val="0"/>
            <w:vAlign w:val="top"/>
          </w:tcPr>
          <w:p w14:paraId="33E7CAE9">
            <w:pPr>
              <w:keepNext w:val="0"/>
              <w:keepLines w:val="0"/>
              <w:pageBreakBefore w:val="0"/>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一般废气、废水、固体废物、噪声、畜禽养殖废水</w:t>
            </w:r>
          </w:p>
        </w:tc>
        <w:tc>
          <w:tcPr>
            <w:tcW w:w="1202" w:type="dxa"/>
            <w:noWrap w:val="0"/>
            <w:vAlign w:val="center"/>
          </w:tcPr>
          <w:p w14:paraId="158CC307">
            <w:pPr>
              <w:keepNext w:val="0"/>
              <w:keepLines w:val="0"/>
              <w:pageBreakBefore w:val="0"/>
              <w:kinsoku/>
              <w:wordWrap/>
              <w:overflowPunct/>
              <w:topLinePunct w:val="0"/>
              <w:autoSpaceDE/>
              <w:autoSpaceDN/>
              <w:bidi w:val="0"/>
              <w:snapToGrid w:val="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239FA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7" w:type="dxa"/>
            <w:vMerge w:val="continue"/>
            <w:noWrap w:val="0"/>
            <w:vAlign w:val="center"/>
          </w:tcPr>
          <w:p w14:paraId="27E10B21">
            <w:pPr>
              <w:jc w:val="center"/>
              <w:rPr>
                <w:rFonts w:hint="eastAsia" w:ascii="宋体" w:hAnsi="宋体" w:eastAsia="宋体" w:cs="宋体"/>
                <w:color w:val="auto"/>
                <w:sz w:val="21"/>
                <w:szCs w:val="21"/>
                <w:highlight w:val="none"/>
              </w:rPr>
            </w:pPr>
          </w:p>
        </w:tc>
        <w:tc>
          <w:tcPr>
            <w:tcW w:w="5593" w:type="dxa"/>
            <w:noWrap w:val="0"/>
            <w:vAlign w:val="top"/>
          </w:tcPr>
          <w:p w14:paraId="7A983276">
            <w:pPr>
              <w:keepNext w:val="0"/>
              <w:keepLines w:val="0"/>
              <w:pageBreakBefore w:val="0"/>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火电、钢铁、石化、水泥、炼焦、有色、化工废气/医疗废水</w:t>
            </w:r>
          </w:p>
        </w:tc>
        <w:tc>
          <w:tcPr>
            <w:tcW w:w="1202" w:type="dxa"/>
            <w:noWrap w:val="0"/>
            <w:vAlign w:val="center"/>
          </w:tcPr>
          <w:p w14:paraId="286F57D3">
            <w:pPr>
              <w:keepNext w:val="0"/>
              <w:keepLines w:val="0"/>
              <w:pageBreakBefore w:val="0"/>
              <w:kinsoku/>
              <w:wordWrap/>
              <w:overflowPunct/>
              <w:topLinePunct w:val="0"/>
              <w:autoSpaceDE/>
              <w:autoSpaceDN/>
              <w:bidi w:val="0"/>
              <w:snapToGrid w:val="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p>
        </w:tc>
      </w:tr>
      <w:tr w14:paraId="77D98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7" w:type="dxa"/>
            <w:vMerge w:val="continue"/>
            <w:noWrap w:val="0"/>
            <w:vAlign w:val="center"/>
          </w:tcPr>
          <w:p w14:paraId="3C4605EC">
            <w:pPr>
              <w:jc w:val="center"/>
              <w:rPr>
                <w:rFonts w:hint="eastAsia" w:ascii="宋体" w:hAnsi="宋体" w:eastAsia="宋体" w:cs="宋体"/>
                <w:color w:val="auto"/>
                <w:sz w:val="21"/>
                <w:szCs w:val="21"/>
                <w:highlight w:val="none"/>
              </w:rPr>
            </w:pPr>
          </w:p>
        </w:tc>
        <w:tc>
          <w:tcPr>
            <w:tcW w:w="5593" w:type="dxa"/>
            <w:noWrap w:val="0"/>
            <w:vAlign w:val="top"/>
          </w:tcPr>
          <w:p w14:paraId="24A51225">
            <w:pPr>
              <w:keepNext w:val="0"/>
              <w:keepLines w:val="0"/>
              <w:pageBreakBefore w:val="0"/>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含有毒有害物质的废气、废水／含一类污染物或重金属、病原体、放射性物质的废水／危险废物</w:t>
            </w:r>
          </w:p>
        </w:tc>
        <w:tc>
          <w:tcPr>
            <w:tcW w:w="1202" w:type="dxa"/>
            <w:noWrap w:val="0"/>
            <w:vAlign w:val="center"/>
          </w:tcPr>
          <w:p w14:paraId="551AA609">
            <w:pPr>
              <w:keepNext w:val="0"/>
              <w:keepLines w:val="0"/>
              <w:pageBreakBefore w:val="0"/>
              <w:kinsoku/>
              <w:wordWrap/>
              <w:overflowPunct/>
              <w:topLinePunct w:val="0"/>
              <w:autoSpaceDE/>
              <w:autoSpaceDN/>
              <w:bidi w:val="0"/>
              <w:snapToGrid w:val="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p>
        </w:tc>
      </w:tr>
      <w:tr w14:paraId="20BD9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7" w:type="dxa"/>
            <w:noWrap w:val="0"/>
            <w:vAlign w:val="center"/>
          </w:tcPr>
          <w:p w14:paraId="70ED0C5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备注</w:t>
            </w:r>
          </w:p>
        </w:tc>
        <w:tc>
          <w:tcPr>
            <w:tcW w:w="6795" w:type="dxa"/>
            <w:gridSpan w:val="2"/>
            <w:noWrap w:val="0"/>
            <w:vAlign w:val="top"/>
          </w:tcPr>
          <w:p w14:paraId="5EC9141C">
            <w:pPr>
              <w:keepNext w:val="0"/>
              <w:keepLines w:val="0"/>
              <w:pageBreakBefore w:val="0"/>
              <w:widowControl w:val="0"/>
              <w:kinsoku/>
              <w:wordWrap/>
              <w:overflowPunct/>
              <w:topLinePunct w:val="0"/>
              <w:autoSpaceDE/>
              <w:autoSpaceDN/>
              <w:bidi w:val="0"/>
              <w:adjustRightInd/>
              <w:snapToGrid w:val="0"/>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涉及多种污染物类别时，</w:t>
            </w:r>
            <w:r>
              <w:rPr>
                <w:rFonts w:hint="eastAsia" w:ascii="宋体" w:hAnsi="宋体" w:cs="宋体"/>
                <w:color w:val="auto"/>
                <w:sz w:val="21"/>
                <w:szCs w:val="21"/>
                <w:highlight w:val="none"/>
                <w:lang w:eastAsia="zh-CN"/>
              </w:rPr>
              <w:t>裁量</w:t>
            </w:r>
            <w:r>
              <w:rPr>
                <w:rFonts w:hint="eastAsia" w:ascii="宋体" w:hAnsi="宋体" w:eastAsia="宋体" w:cs="宋体"/>
                <w:color w:val="auto"/>
                <w:sz w:val="21"/>
                <w:szCs w:val="21"/>
                <w:highlight w:val="none"/>
              </w:rPr>
              <w:t>标准以裁量等级最高为准</w:t>
            </w:r>
          </w:p>
        </w:tc>
      </w:tr>
    </w:tbl>
    <w:p w14:paraId="1850FB7E">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6"/>
        <w:gridCol w:w="5505"/>
        <w:gridCol w:w="1637"/>
      </w:tblGrid>
      <w:tr w14:paraId="4EB70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3"/>
            <w:noWrap w:val="0"/>
            <w:vAlign w:val="top"/>
          </w:tcPr>
          <w:p w14:paraId="72201BB3">
            <w:pPr>
              <w:jc w:val="center"/>
              <w:rPr>
                <w:rFonts w:hint="eastAsia" w:ascii="宋体" w:hAnsi="宋体" w:eastAsia="宋体" w:cs="宋体"/>
                <w:bCs/>
                <w:color w:val="auto"/>
                <w:sz w:val="21"/>
                <w:szCs w:val="21"/>
                <w:highlight w:val="none"/>
              </w:rPr>
            </w:pPr>
            <w:r>
              <w:rPr>
                <w:rFonts w:hint="eastAsia" w:ascii="宋体" w:hAnsi="宋体" w:eastAsia="宋体" w:cs="宋体"/>
                <w:strike w:val="0"/>
                <w:dstrike w:val="0"/>
                <w:color w:val="auto"/>
                <w:sz w:val="21"/>
                <w:szCs w:val="21"/>
                <w:highlight w:val="none"/>
              </w:rPr>
              <w:t>（</w:t>
            </w:r>
            <w:r>
              <w:rPr>
                <w:rFonts w:hint="eastAsia" w:ascii="宋体" w:hAnsi="宋体" w:eastAsia="宋体" w:cs="宋体"/>
                <w:strike w:val="0"/>
                <w:dstrike w:val="0"/>
                <w:color w:val="auto"/>
                <w:sz w:val="21"/>
                <w:szCs w:val="21"/>
                <w:highlight w:val="none"/>
                <w:lang w:val="en-US" w:eastAsia="zh-CN"/>
              </w:rPr>
              <w:t>三</w:t>
            </w:r>
            <w:r>
              <w:rPr>
                <w:rFonts w:hint="eastAsia" w:ascii="宋体" w:hAnsi="宋体" w:eastAsia="宋体" w:cs="宋体"/>
                <w:strike w:val="0"/>
                <w:dstrike w:val="0"/>
                <w:color w:val="auto"/>
                <w:sz w:val="21"/>
                <w:szCs w:val="21"/>
                <w:highlight w:val="none"/>
              </w:rPr>
              <w:t>）排污许可管理类</w:t>
            </w:r>
          </w:p>
        </w:tc>
      </w:tr>
      <w:tr w14:paraId="6D2E9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0" w:type="dxa"/>
            <w:noWrap w:val="0"/>
            <w:vAlign w:val="center"/>
          </w:tcPr>
          <w:p w14:paraId="5AB2740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802" w:type="dxa"/>
            <w:gridSpan w:val="2"/>
            <w:noWrap w:val="0"/>
            <w:vAlign w:val="top"/>
          </w:tcPr>
          <w:p w14:paraId="1E984584">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w:t>
            </w:r>
          </w:p>
        </w:tc>
      </w:tr>
      <w:tr w14:paraId="37076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0" w:type="dxa"/>
            <w:noWrap w:val="0"/>
            <w:vAlign w:val="center"/>
          </w:tcPr>
          <w:p w14:paraId="2D62EF0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6802" w:type="dxa"/>
            <w:gridSpan w:val="2"/>
            <w:noWrap w:val="0"/>
            <w:vAlign w:val="center"/>
          </w:tcPr>
          <w:p w14:paraId="18037823">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strike w:val="0"/>
                <w:dstrike w:val="0"/>
                <w:color w:val="auto"/>
                <w:sz w:val="21"/>
                <w:szCs w:val="21"/>
                <w:highlight w:val="none"/>
              </w:rPr>
              <w:t>在饮用水水源保护区内设置排污口的，或者在自然保护地水体等具有特殊经济文化价值的水体、生态保护红线区域及其他需要特别保护的区域新设排污口，逾期不拆除的</w:t>
            </w:r>
          </w:p>
        </w:tc>
      </w:tr>
      <w:tr w14:paraId="30EB9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0" w:type="dxa"/>
            <w:noWrap w:val="0"/>
            <w:vAlign w:val="center"/>
          </w:tcPr>
          <w:p w14:paraId="242FCD7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6802" w:type="dxa"/>
            <w:gridSpan w:val="2"/>
            <w:noWrap w:val="0"/>
            <w:vAlign w:val="top"/>
          </w:tcPr>
          <w:p w14:paraId="02B1F1F1">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《中华人民共和国生态环境法典》第一百六十三条  企业事业单位和其他生产经营者排放污染物的，应当依照法律法规和国务院生态环境主管部门的规定设置、使用污染物排放口（以下简称排污口）。</w:t>
            </w:r>
          </w:p>
          <w:p w14:paraId="1FCCE3F2">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《中华人民共和国生态环境法典》第二百七十五条　新设、改设、扩大入河排污口，应当按照规定报经有管辖权的生态环境主管部门或者国务院生态环境主管部门流域生态环境监督管理机构同意。新设、改设、扩大可能影响防洪、供水、堤防安全、河势稳定的入河排污口的，审批时应当征求地方人民政府水行政主管部门或者有关流域管理机构的意见。入河排污口设置和管理的具体办法由国务院生态环境主管部门制定。</w:t>
            </w:r>
          </w:p>
          <w:p w14:paraId="38F70C45">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本法所称入河排污口，是指直接或者通过管道、沟、渠等排污通道向江河湖泊、运河、水库等水体排放污水的口门。</w:t>
            </w:r>
          </w:p>
          <w:p w14:paraId="7004D9B4">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《中华人民共和国生态环境法典》第三百一十八条  在饮用水水源保护区内，禁止设置排污口。</w:t>
            </w:r>
          </w:p>
          <w:p w14:paraId="38672792">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《中华人民共和国生态环境法典》第三百二十九条  在自然保护地水体、重要渔业水体和其他具有特殊经济文化价值的水体的保护区内，禁止新设排污口；法律、行政法规另有规定的除外。在保护区附近新设排污口，应当科学论证，制定水污染防治方案，采取有效措施保证保护区水体不受污染。</w:t>
            </w:r>
          </w:p>
          <w:p w14:paraId="016CD56C">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《中华人民共和国生态环境法典》第三百四十九条</w:t>
            </w:r>
            <w:r>
              <w:rPr>
                <w:rFonts w:hint="eastAsia" w:ascii="宋体" w:hAnsi="宋体" w:eastAsia="宋体" w:cs="宋体"/>
                <w:color w:val="auto"/>
                <w:sz w:val="21"/>
                <w:szCs w:val="21"/>
                <w:highlight w:val="none"/>
                <w:lang w:val="en-US" w:eastAsia="zh-CN"/>
              </w:rPr>
              <w:t>第一款</w:t>
            </w:r>
            <w:r>
              <w:rPr>
                <w:rFonts w:hint="eastAsia" w:ascii="宋体" w:hAnsi="宋体" w:eastAsia="宋体" w:cs="宋体"/>
                <w:color w:val="auto"/>
                <w:sz w:val="21"/>
                <w:szCs w:val="21"/>
                <w:highlight w:val="none"/>
              </w:rPr>
              <w:t xml:space="preserve">  在自然保护地、重要渔业水域、海水浴场、生态保护红线区域及其他需要特别保护的区域，禁止新设工业排污口和城镇污水集中处理设施排污口；法律、行政法规另有规定的除外。</w:t>
            </w:r>
          </w:p>
        </w:tc>
      </w:tr>
      <w:tr w14:paraId="43329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0" w:type="dxa"/>
            <w:noWrap w:val="0"/>
            <w:vAlign w:val="center"/>
          </w:tcPr>
          <w:p w14:paraId="002C34F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6802" w:type="dxa"/>
            <w:gridSpan w:val="2"/>
            <w:noWrap w:val="0"/>
            <w:vAlign w:val="top"/>
          </w:tcPr>
          <w:p w14:paraId="2BDB2749">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《中华人民共和国生态环境法典》第一千一百零九条第二款  违反本法规定，在饮用水水源保护区内设置排污口的，或者在自然保护地水体等具有特殊经济文化价值的水体、生态保护红线区域及其他需要特别保护的区域新设排污口的，由县级以上地方人民政府责令限期拆除，逾期不拆除的，强制拆除，所需费用由违法者承担，由生态环境主管部门处十万元以上五十万元以下的罚款</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w:t>
            </w:r>
          </w:p>
        </w:tc>
      </w:tr>
      <w:tr w14:paraId="1E07E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0" w:type="dxa"/>
            <w:noWrap w:val="0"/>
            <w:vAlign w:val="center"/>
          </w:tcPr>
          <w:p w14:paraId="5EC581C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243" w:type="dxa"/>
            <w:noWrap w:val="0"/>
            <w:vAlign w:val="top"/>
          </w:tcPr>
          <w:p w14:paraId="10B650F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559" w:type="dxa"/>
            <w:noWrap w:val="0"/>
            <w:vAlign w:val="top"/>
          </w:tcPr>
          <w:p w14:paraId="20E7EA6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359A1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0" w:type="dxa"/>
            <w:vMerge w:val="restart"/>
            <w:noWrap w:val="0"/>
            <w:vAlign w:val="center"/>
          </w:tcPr>
          <w:p w14:paraId="1B9C382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违法事实</w:t>
            </w:r>
          </w:p>
        </w:tc>
        <w:tc>
          <w:tcPr>
            <w:tcW w:w="5243" w:type="dxa"/>
            <w:noWrap w:val="0"/>
            <w:vAlign w:val="top"/>
          </w:tcPr>
          <w:p w14:paraId="2DDDDDBA">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排污口在建设中</w:t>
            </w:r>
          </w:p>
        </w:tc>
        <w:tc>
          <w:tcPr>
            <w:tcW w:w="1559" w:type="dxa"/>
            <w:noWrap w:val="0"/>
            <w:vAlign w:val="top"/>
          </w:tcPr>
          <w:p w14:paraId="6BF48E3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39FFD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0" w:type="dxa"/>
            <w:vMerge w:val="continue"/>
            <w:noWrap w:val="0"/>
            <w:vAlign w:val="center"/>
          </w:tcPr>
          <w:p w14:paraId="0AF5EDD1">
            <w:pPr>
              <w:jc w:val="center"/>
              <w:rPr>
                <w:rFonts w:hint="eastAsia" w:ascii="宋体" w:hAnsi="宋体" w:eastAsia="宋体" w:cs="宋体"/>
                <w:color w:val="auto"/>
                <w:sz w:val="21"/>
                <w:szCs w:val="21"/>
                <w:highlight w:val="none"/>
              </w:rPr>
            </w:pPr>
          </w:p>
        </w:tc>
        <w:tc>
          <w:tcPr>
            <w:tcW w:w="5243" w:type="dxa"/>
            <w:noWrap w:val="0"/>
            <w:vAlign w:val="top"/>
          </w:tcPr>
          <w:p w14:paraId="1E491570">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排污口已建成，尚未投入使用</w:t>
            </w:r>
          </w:p>
        </w:tc>
        <w:tc>
          <w:tcPr>
            <w:tcW w:w="1559" w:type="dxa"/>
            <w:noWrap w:val="0"/>
            <w:vAlign w:val="top"/>
          </w:tcPr>
          <w:p w14:paraId="25FF3EC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7DC7B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0" w:type="dxa"/>
            <w:vMerge w:val="continue"/>
            <w:noWrap w:val="0"/>
            <w:vAlign w:val="center"/>
          </w:tcPr>
          <w:p w14:paraId="2347D2F5">
            <w:pPr>
              <w:jc w:val="center"/>
              <w:rPr>
                <w:rFonts w:hint="eastAsia" w:ascii="宋体" w:hAnsi="宋体" w:eastAsia="宋体" w:cs="宋体"/>
                <w:color w:val="auto"/>
                <w:sz w:val="21"/>
                <w:szCs w:val="21"/>
                <w:highlight w:val="none"/>
              </w:rPr>
            </w:pPr>
          </w:p>
        </w:tc>
        <w:tc>
          <w:tcPr>
            <w:tcW w:w="5243" w:type="dxa"/>
            <w:noWrap w:val="0"/>
            <w:vAlign w:val="top"/>
          </w:tcPr>
          <w:p w14:paraId="745C501A">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排污口已投入使用</w:t>
            </w:r>
          </w:p>
        </w:tc>
        <w:tc>
          <w:tcPr>
            <w:tcW w:w="1559" w:type="dxa"/>
            <w:noWrap w:val="0"/>
            <w:vAlign w:val="top"/>
          </w:tcPr>
          <w:p w14:paraId="5D8F501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568E0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0" w:type="dxa"/>
            <w:vMerge w:val="restart"/>
            <w:noWrap w:val="0"/>
            <w:vAlign w:val="center"/>
          </w:tcPr>
          <w:p w14:paraId="7426E7E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未按照规定设置的排污口数量</w:t>
            </w:r>
          </w:p>
        </w:tc>
        <w:tc>
          <w:tcPr>
            <w:tcW w:w="5243" w:type="dxa"/>
            <w:noWrap w:val="0"/>
            <w:vAlign w:val="center"/>
          </w:tcPr>
          <w:p w14:paraId="5FC16DAB">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个</w:t>
            </w:r>
          </w:p>
        </w:tc>
        <w:tc>
          <w:tcPr>
            <w:tcW w:w="1559" w:type="dxa"/>
            <w:noWrap w:val="0"/>
            <w:vAlign w:val="center"/>
          </w:tcPr>
          <w:p w14:paraId="6392FB26">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r>
      <w:tr w14:paraId="338B2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0" w:type="dxa"/>
            <w:vMerge w:val="continue"/>
            <w:noWrap w:val="0"/>
            <w:vAlign w:val="center"/>
          </w:tcPr>
          <w:p w14:paraId="2F5A4E5F">
            <w:pPr>
              <w:jc w:val="center"/>
              <w:rPr>
                <w:rFonts w:hint="eastAsia" w:ascii="宋体" w:hAnsi="宋体" w:eastAsia="宋体" w:cs="宋体"/>
                <w:color w:val="auto"/>
                <w:sz w:val="21"/>
                <w:szCs w:val="21"/>
                <w:highlight w:val="none"/>
              </w:rPr>
            </w:pPr>
          </w:p>
        </w:tc>
        <w:tc>
          <w:tcPr>
            <w:tcW w:w="5243" w:type="dxa"/>
            <w:noWrap w:val="0"/>
            <w:vAlign w:val="center"/>
          </w:tcPr>
          <w:p w14:paraId="2DC27812">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个</w:t>
            </w:r>
            <w:r>
              <w:rPr>
                <w:rFonts w:hint="eastAsia" w:ascii="宋体" w:hAnsi="宋体" w:eastAsia="宋体" w:cs="宋体"/>
                <w:color w:val="auto"/>
                <w:sz w:val="21"/>
                <w:szCs w:val="21"/>
                <w:highlight w:val="none"/>
              </w:rPr>
              <w:t>以上不足5</w:t>
            </w:r>
            <w:r>
              <w:rPr>
                <w:rFonts w:hint="eastAsia" w:ascii="宋体" w:hAnsi="宋体" w:eastAsia="宋体" w:cs="宋体"/>
                <w:color w:val="auto"/>
                <w:sz w:val="21"/>
                <w:szCs w:val="21"/>
                <w:highlight w:val="none"/>
                <w:lang w:val="en-US" w:eastAsia="zh-CN"/>
              </w:rPr>
              <w:t>个</w:t>
            </w:r>
          </w:p>
        </w:tc>
        <w:tc>
          <w:tcPr>
            <w:tcW w:w="1559" w:type="dxa"/>
            <w:noWrap w:val="0"/>
            <w:vAlign w:val="center"/>
          </w:tcPr>
          <w:p w14:paraId="256322E3">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r>
      <w:tr w14:paraId="57E9C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0" w:type="dxa"/>
            <w:vMerge w:val="continue"/>
            <w:noWrap w:val="0"/>
            <w:vAlign w:val="center"/>
          </w:tcPr>
          <w:p w14:paraId="76B9E67E">
            <w:pPr>
              <w:jc w:val="center"/>
              <w:rPr>
                <w:rFonts w:hint="eastAsia" w:ascii="宋体" w:hAnsi="宋体" w:eastAsia="宋体" w:cs="宋体"/>
                <w:color w:val="auto"/>
                <w:sz w:val="21"/>
                <w:szCs w:val="21"/>
                <w:highlight w:val="none"/>
              </w:rPr>
            </w:pPr>
          </w:p>
        </w:tc>
        <w:tc>
          <w:tcPr>
            <w:tcW w:w="5243" w:type="dxa"/>
            <w:noWrap w:val="0"/>
            <w:vAlign w:val="center"/>
          </w:tcPr>
          <w:p w14:paraId="09FB0322">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5</w:t>
            </w:r>
            <w:r>
              <w:rPr>
                <w:rFonts w:hint="eastAsia" w:ascii="宋体" w:hAnsi="宋体" w:eastAsia="宋体" w:cs="宋体"/>
                <w:color w:val="auto"/>
                <w:sz w:val="21"/>
                <w:szCs w:val="21"/>
                <w:highlight w:val="none"/>
                <w:lang w:val="en-US" w:eastAsia="zh-CN"/>
              </w:rPr>
              <w:t>个</w:t>
            </w:r>
            <w:r>
              <w:rPr>
                <w:rFonts w:hint="eastAsia" w:ascii="宋体" w:hAnsi="宋体" w:eastAsia="宋体" w:cs="宋体"/>
                <w:color w:val="auto"/>
                <w:sz w:val="21"/>
                <w:szCs w:val="21"/>
                <w:highlight w:val="none"/>
              </w:rPr>
              <w:t>以上不足</w:t>
            </w:r>
            <w:r>
              <w:rPr>
                <w:rFonts w:hint="eastAsia" w:ascii="宋体" w:hAnsi="宋体" w:eastAsia="宋体" w:cs="宋体"/>
                <w:color w:val="auto"/>
                <w:sz w:val="21"/>
                <w:szCs w:val="21"/>
                <w:highlight w:val="none"/>
                <w:lang w:val="en-US" w:eastAsia="zh-CN"/>
              </w:rPr>
              <w:t>10个</w:t>
            </w:r>
          </w:p>
        </w:tc>
        <w:tc>
          <w:tcPr>
            <w:tcW w:w="1559" w:type="dxa"/>
            <w:noWrap w:val="0"/>
            <w:vAlign w:val="center"/>
          </w:tcPr>
          <w:p w14:paraId="2FC8E653">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r>
      <w:tr w14:paraId="6DD23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0" w:type="dxa"/>
            <w:vMerge w:val="continue"/>
            <w:noWrap w:val="0"/>
            <w:vAlign w:val="center"/>
          </w:tcPr>
          <w:p w14:paraId="3D193447">
            <w:pPr>
              <w:jc w:val="center"/>
              <w:rPr>
                <w:rFonts w:hint="eastAsia" w:ascii="宋体" w:hAnsi="宋体" w:eastAsia="宋体" w:cs="宋体"/>
                <w:color w:val="auto"/>
                <w:sz w:val="21"/>
                <w:szCs w:val="21"/>
                <w:highlight w:val="none"/>
              </w:rPr>
            </w:pPr>
          </w:p>
        </w:tc>
        <w:tc>
          <w:tcPr>
            <w:tcW w:w="5243" w:type="dxa"/>
            <w:noWrap w:val="0"/>
            <w:vAlign w:val="center"/>
          </w:tcPr>
          <w:p w14:paraId="0E23A6AF">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10个</w:t>
            </w:r>
            <w:r>
              <w:rPr>
                <w:rFonts w:hint="eastAsia" w:ascii="宋体" w:hAnsi="宋体" w:eastAsia="宋体" w:cs="宋体"/>
                <w:color w:val="auto"/>
                <w:sz w:val="21"/>
                <w:szCs w:val="21"/>
                <w:highlight w:val="none"/>
              </w:rPr>
              <w:t>以上</w:t>
            </w:r>
          </w:p>
        </w:tc>
        <w:tc>
          <w:tcPr>
            <w:tcW w:w="1559" w:type="dxa"/>
            <w:noWrap w:val="0"/>
            <w:vAlign w:val="center"/>
          </w:tcPr>
          <w:p w14:paraId="1A5E2342">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r>
      <w:tr w14:paraId="0D35B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0" w:type="dxa"/>
            <w:vMerge w:val="restart"/>
            <w:noWrap w:val="0"/>
            <w:vAlign w:val="center"/>
          </w:tcPr>
          <w:p w14:paraId="4C26D32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排放去向或</w:t>
            </w:r>
          </w:p>
          <w:p w14:paraId="6205227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区域</w:t>
            </w:r>
          </w:p>
        </w:tc>
        <w:tc>
          <w:tcPr>
            <w:tcW w:w="5243" w:type="dxa"/>
            <w:noWrap w:val="0"/>
            <w:vAlign w:val="top"/>
          </w:tcPr>
          <w:p w14:paraId="24437A77">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饮用水水源准保护区/</w:t>
            </w:r>
            <w:r>
              <w:rPr>
                <w:rFonts w:hint="eastAsia" w:ascii="宋体" w:hAnsi="宋体" w:eastAsia="宋体" w:cs="宋体"/>
                <w:color w:val="auto"/>
                <w:sz w:val="21"/>
                <w:szCs w:val="21"/>
                <w:highlight w:val="none"/>
              </w:rPr>
              <w:t>饮用水水源保护区</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eastAsia="zh-CN"/>
              </w:rPr>
              <w:t>自然保护地外的生态保护红线区域</w:t>
            </w:r>
          </w:p>
        </w:tc>
        <w:tc>
          <w:tcPr>
            <w:tcW w:w="1559" w:type="dxa"/>
            <w:noWrap w:val="0"/>
            <w:vAlign w:val="center"/>
          </w:tcPr>
          <w:p w14:paraId="584DDB6E">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r>
      <w:tr w14:paraId="0122F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720" w:type="dxa"/>
            <w:vMerge w:val="continue"/>
            <w:noWrap w:val="0"/>
            <w:vAlign w:val="center"/>
          </w:tcPr>
          <w:p w14:paraId="4FA030ED">
            <w:pPr>
              <w:jc w:val="center"/>
              <w:rPr>
                <w:rFonts w:hint="eastAsia" w:ascii="宋体" w:hAnsi="宋体" w:eastAsia="宋体" w:cs="宋体"/>
                <w:color w:val="auto"/>
                <w:sz w:val="21"/>
                <w:szCs w:val="21"/>
                <w:highlight w:val="none"/>
              </w:rPr>
            </w:pPr>
          </w:p>
        </w:tc>
        <w:tc>
          <w:tcPr>
            <w:tcW w:w="5243" w:type="dxa"/>
            <w:noWrap w:val="0"/>
            <w:vAlign w:val="top"/>
          </w:tcPr>
          <w:p w14:paraId="1754A91D">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饮用水水源二级保护区</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自然保护地一般控制区</w:t>
            </w:r>
          </w:p>
        </w:tc>
        <w:tc>
          <w:tcPr>
            <w:tcW w:w="1559" w:type="dxa"/>
            <w:noWrap w:val="0"/>
            <w:vAlign w:val="center"/>
          </w:tcPr>
          <w:p w14:paraId="2F9E3601">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3</w:t>
            </w:r>
          </w:p>
        </w:tc>
      </w:tr>
      <w:tr w14:paraId="21CFB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720" w:type="dxa"/>
            <w:vMerge w:val="continue"/>
            <w:noWrap w:val="0"/>
            <w:vAlign w:val="center"/>
          </w:tcPr>
          <w:p w14:paraId="3246E90C">
            <w:pPr>
              <w:jc w:val="center"/>
              <w:rPr>
                <w:rFonts w:hint="eastAsia" w:ascii="宋体" w:hAnsi="宋体" w:eastAsia="宋体" w:cs="宋体"/>
                <w:color w:val="auto"/>
                <w:sz w:val="21"/>
                <w:szCs w:val="21"/>
                <w:highlight w:val="none"/>
              </w:rPr>
            </w:pPr>
          </w:p>
        </w:tc>
        <w:tc>
          <w:tcPr>
            <w:tcW w:w="5243" w:type="dxa"/>
            <w:noWrap w:val="0"/>
            <w:vAlign w:val="top"/>
          </w:tcPr>
          <w:p w14:paraId="08F9A265">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饮用水水源一级保护区</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自然保护地核心保护区</w:t>
            </w:r>
          </w:p>
        </w:tc>
        <w:tc>
          <w:tcPr>
            <w:tcW w:w="1559" w:type="dxa"/>
            <w:noWrap w:val="0"/>
            <w:vAlign w:val="center"/>
          </w:tcPr>
          <w:p w14:paraId="5C5CBB3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p>
        </w:tc>
      </w:tr>
      <w:tr w14:paraId="7FA5C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720" w:type="dxa"/>
            <w:vMerge w:val="restart"/>
            <w:noWrap w:val="0"/>
            <w:vAlign w:val="center"/>
          </w:tcPr>
          <w:p w14:paraId="6811CE1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污染物</w:t>
            </w:r>
            <w:r>
              <w:rPr>
                <w:rFonts w:hint="eastAsia" w:ascii="宋体" w:hAnsi="宋体" w:eastAsia="宋体" w:cs="宋体"/>
                <w:color w:val="auto"/>
                <w:sz w:val="21"/>
                <w:szCs w:val="21"/>
                <w:highlight w:val="none"/>
              </w:rPr>
              <w:t>类别</w:t>
            </w:r>
          </w:p>
        </w:tc>
        <w:tc>
          <w:tcPr>
            <w:tcW w:w="5243" w:type="dxa"/>
            <w:noWrap w:val="0"/>
            <w:vAlign w:val="top"/>
          </w:tcPr>
          <w:p w14:paraId="41803BB0">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一般废气、废水、固体废物、噪声、畜禽养殖废水</w:t>
            </w:r>
          </w:p>
        </w:tc>
        <w:tc>
          <w:tcPr>
            <w:tcW w:w="1559" w:type="dxa"/>
            <w:noWrap w:val="0"/>
            <w:vAlign w:val="center"/>
          </w:tcPr>
          <w:p w14:paraId="22ABE74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032FD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720" w:type="dxa"/>
            <w:vMerge w:val="continue"/>
            <w:noWrap w:val="0"/>
            <w:vAlign w:val="center"/>
          </w:tcPr>
          <w:p w14:paraId="0D043DF0">
            <w:pPr>
              <w:jc w:val="center"/>
              <w:rPr>
                <w:rFonts w:hint="eastAsia" w:ascii="宋体" w:hAnsi="宋体" w:eastAsia="宋体" w:cs="宋体"/>
                <w:color w:val="auto"/>
                <w:sz w:val="21"/>
                <w:szCs w:val="21"/>
                <w:highlight w:val="none"/>
              </w:rPr>
            </w:pPr>
          </w:p>
        </w:tc>
        <w:tc>
          <w:tcPr>
            <w:tcW w:w="5243" w:type="dxa"/>
            <w:noWrap w:val="0"/>
            <w:vAlign w:val="top"/>
          </w:tcPr>
          <w:p w14:paraId="34A8CB10">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火电、钢铁、石化、水泥、炼焦、有色、化工废气/医疗废水</w:t>
            </w:r>
          </w:p>
        </w:tc>
        <w:tc>
          <w:tcPr>
            <w:tcW w:w="1559" w:type="dxa"/>
            <w:noWrap w:val="0"/>
            <w:vAlign w:val="center"/>
          </w:tcPr>
          <w:p w14:paraId="3921203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p>
        </w:tc>
      </w:tr>
      <w:tr w14:paraId="3100B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720" w:type="dxa"/>
            <w:vMerge w:val="continue"/>
            <w:noWrap w:val="0"/>
            <w:vAlign w:val="center"/>
          </w:tcPr>
          <w:p w14:paraId="454FEC7A">
            <w:pPr>
              <w:jc w:val="center"/>
              <w:rPr>
                <w:rFonts w:hint="eastAsia" w:ascii="宋体" w:hAnsi="宋体" w:eastAsia="宋体" w:cs="宋体"/>
                <w:color w:val="auto"/>
                <w:sz w:val="21"/>
                <w:szCs w:val="21"/>
                <w:highlight w:val="none"/>
              </w:rPr>
            </w:pPr>
          </w:p>
        </w:tc>
        <w:tc>
          <w:tcPr>
            <w:tcW w:w="5243" w:type="dxa"/>
            <w:noWrap w:val="0"/>
            <w:vAlign w:val="top"/>
          </w:tcPr>
          <w:p w14:paraId="7B72D93E">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含有毒有害物质的废气、废水／含一类污染物或重金属、病原体、放射性物质的废水／危险废物</w:t>
            </w:r>
          </w:p>
        </w:tc>
        <w:tc>
          <w:tcPr>
            <w:tcW w:w="1559" w:type="dxa"/>
            <w:noWrap w:val="0"/>
            <w:vAlign w:val="center"/>
          </w:tcPr>
          <w:p w14:paraId="5193BF3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p>
        </w:tc>
      </w:tr>
      <w:tr w14:paraId="4D2B0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0" w:type="dxa"/>
            <w:noWrap w:val="0"/>
            <w:vAlign w:val="center"/>
          </w:tcPr>
          <w:p w14:paraId="008E496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备注</w:t>
            </w:r>
          </w:p>
        </w:tc>
        <w:tc>
          <w:tcPr>
            <w:tcW w:w="6802" w:type="dxa"/>
            <w:gridSpan w:val="2"/>
            <w:noWrap w:val="0"/>
            <w:vAlign w:val="top"/>
          </w:tcPr>
          <w:p w14:paraId="3EB1DAD7">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涉及多种污染物类别时，</w:t>
            </w:r>
            <w:r>
              <w:rPr>
                <w:rFonts w:hint="eastAsia" w:ascii="宋体" w:hAnsi="宋体" w:cs="宋体"/>
                <w:color w:val="auto"/>
                <w:sz w:val="21"/>
                <w:szCs w:val="21"/>
                <w:highlight w:val="none"/>
                <w:lang w:eastAsia="zh-CN"/>
              </w:rPr>
              <w:t>裁量</w:t>
            </w:r>
            <w:r>
              <w:rPr>
                <w:rFonts w:hint="eastAsia" w:ascii="宋体" w:hAnsi="宋体" w:eastAsia="宋体" w:cs="宋体"/>
                <w:color w:val="auto"/>
                <w:sz w:val="21"/>
                <w:szCs w:val="21"/>
                <w:highlight w:val="none"/>
              </w:rPr>
              <w:t>标准以裁量等级最高为准</w:t>
            </w:r>
          </w:p>
        </w:tc>
      </w:tr>
    </w:tbl>
    <w:p w14:paraId="68F25DE2">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6"/>
        <w:gridCol w:w="5505"/>
        <w:gridCol w:w="1637"/>
      </w:tblGrid>
      <w:tr w14:paraId="58F8D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3"/>
            <w:noWrap w:val="0"/>
            <w:vAlign w:val="top"/>
          </w:tcPr>
          <w:p w14:paraId="4FE9C939">
            <w:pPr>
              <w:jc w:val="center"/>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三</w:t>
            </w:r>
            <w:r>
              <w:rPr>
                <w:rFonts w:hint="eastAsia" w:ascii="宋体" w:hAnsi="宋体" w:eastAsia="宋体" w:cs="宋体"/>
                <w:color w:val="auto"/>
                <w:sz w:val="21"/>
                <w:szCs w:val="21"/>
                <w:highlight w:val="none"/>
              </w:rPr>
              <w:t>）排污许可管理类</w:t>
            </w:r>
          </w:p>
        </w:tc>
      </w:tr>
      <w:tr w14:paraId="2AEBF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0" w:type="dxa"/>
            <w:noWrap w:val="0"/>
            <w:vAlign w:val="center"/>
          </w:tcPr>
          <w:p w14:paraId="1259497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802" w:type="dxa"/>
            <w:gridSpan w:val="2"/>
            <w:noWrap w:val="0"/>
            <w:vAlign w:val="top"/>
          </w:tcPr>
          <w:p w14:paraId="66EB0CAB">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w:t>
            </w:r>
          </w:p>
        </w:tc>
      </w:tr>
      <w:tr w14:paraId="6C660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0" w:type="dxa"/>
            <w:noWrap w:val="0"/>
            <w:vAlign w:val="center"/>
          </w:tcPr>
          <w:p w14:paraId="558BDB1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6802" w:type="dxa"/>
            <w:gridSpan w:val="2"/>
            <w:noWrap w:val="0"/>
            <w:vAlign w:val="center"/>
          </w:tcPr>
          <w:p w14:paraId="72E19CDC">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设置入海排污口未备案的</w:t>
            </w:r>
          </w:p>
        </w:tc>
      </w:tr>
      <w:tr w14:paraId="0C12E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0" w:type="dxa"/>
            <w:noWrap w:val="0"/>
            <w:vAlign w:val="center"/>
          </w:tcPr>
          <w:p w14:paraId="5BE9ACF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6802" w:type="dxa"/>
            <w:gridSpan w:val="2"/>
            <w:noWrap w:val="0"/>
            <w:vAlign w:val="top"/>
          </w:tcPr>
          <w:p w14:paraId="1F4EC0FA">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《中华人民共和国生态环境法典》第三百四十八条</w:t>
            </w:r>
            <w:r>
              <w:rPr>
                <w:rFonts w:hint="eastAsia" w:ascii="宋体" w:hAnsi="宋体" w:eastAsia="宋体" w:cs="宋体"/>
                <w:color w:val="auto"/>
                <w:sz w:val="21"/>
                <w:szCs w:val="21"/>
                <w:highlight w:val="none"/>
                <w:lang w:val="en-US" w:eastAsia="zh-CN"/>
              </w:rPr>
              <w:t xml:space="preserve">第一款 </w:t>
            </w:r>
            <w:r>
              <w:rPr>
                <w:rFonts w:hint="eastAsia" w:ascii="宋体" w:hAnsi="宋体" w:eastAsia="宋体" w:cs="宋体"/>
                <w:color w:val="auto"/>
                <w:sz w:val="21"/>
                <w:szCs w:val="21"/>
                <w:highlight w:val="none"/>
              </w:rPr>
              <w:t xml:space="preserve"> 入海排污口位置的选择，应当符合国土空间用途管制要求，根据海水动力条件和有关规定，经科学论证后，报设区的市级以上人民政府生态环境主管部门备案。入海排污口的责任主体应当加强入海排污口监测，按照规定开展监控、自动监测。</w:t>
            </w:r>
          </w:p>
        </w:tc>
      </w:tr>
      <w:tr w14:paraId="637E6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0" w:type="dxa"/>
            <w:noWrap w:val="0"/>
            <w:vAlign w:val="center"/>
          </w:tcPr>
          <w:p w14:paraId="7A2EF37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6802" w:type="dxa"/>
            <w:gridSpan w:val="2"/>
            <w:noWrap w:val="0"/>
            <w:vAlign w:val="top"/>
          </w:tcPr>
          <w:p w14:paraId="02365C59">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《中华人民共和国生态环境法典》第一千一百零九条</w:t>
            </w:r>
            <w:r>
              <w:rPr>
                <w:rFonts w:hint="eastAsia" w:ascii="宋体" w:hAnsi="宋体" w:eastAsia="宋体" w:cs="宋体"/>
                <w:color w:val="auto"/>
                <w:sz w:val="21"/>
                <w:szCs w:val="21"/>
                <w:highlight w:val="none"/>
                <w:lang w:val="en-US" w:eastAsia="zh-CN"/>
              </w:rPr>
              <w:t xml:space="preserve">第三款 </w:t>
            </w:r>
            <w:r>
              <w:rPr>
                <w:rFonts w:hint="eastAsia" w:ascii="宋体" w:hAnsi="宋体" w:eastAsia="宋体" w:cs="宋体"/>
                <w:color w:val="auto"/>
                <w:sz w:val="21"/>
                <w:szCs w:val="21"/>
                <w:highlight w:val="none"/>
              </w:rPr>
              <w:t xml:space="preserve"> 违反本法规定，设置入海排污口未备案的，由生态环境主管部门责令改正，处二万元以上十万元以下的罚款。</w:t>
            </w:r>
          </w:p>
        </w:tc>
      </w:tr>
      <w:tr w14:paraId="4DE89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0" w:type="dxa"/>
            <w:noWrap w:val="0"/>
            <w:vAlign w:val="center"/>
          </w:tcPr>
          <w:p w14:paraId="45D9836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243" w:type="dxa"/>
            <w:noWrap w:val="0"/>
            <w:vAlign w:val="top"/>
          </w:tcPr>
          <w:p w14:paraId="311F81B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559" w:type="dxa"/>
            <w:noWrap w:val="0"/>
            <w:vAlign w:val="top"/>
          </w:tcPr>
          <w:p w14:paraId="63F353A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28025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0" w:type="dxa"/>
            <w:vMerge w:val="restart"/>
            <w:noWrap w:val="0"/>
            <w:vAlign w:val="center"/>
          </w:tcPr>
          <w:p w14:paraId="2049E27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未按照规定设置的排污口数量</w:t>
            </w:r>
          </w:p>
        </w:tc>
        <w:tc>
          <w:tcPr>
            <w:tcW w:w="5243" w:type="dxa"/>
            <w:noWrap w:val="0"/>
            <w:vAlign w:val="center"/>
          </w:tcPr>
          <w:p w14:paraId="25C23DCD">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个</w:t>
            </w:r>
          </w:p>
        </w:tc>
        <w:tc>
          <w:tcPr>
            <w:tcW w:w="1559" w:type="dxa"/>
            <w:noWrap w:val="0"/>
            <w:vAlign w:val="center"/>
          </w:tcPr>
          <w:p w14:paraId="27C24B6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0E310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0" w:type="dxa"/>
            <w:vMerge w:val="continue"/>
            <w:noWrap w:val="0"/>
            <w:vAlign w:val="center"/>
          </w:tcPr>
          <w:p w14:paraId="51E3136C">
            <w:pPr>
              <w:jc w:val="center"/>
              <w:rPr>
                <w:rFonts w:hint="eastAsia" w:ascii="宋体" w:hAnsi="宋体" w:eastAsia="宋体" w:cs="宋体"/>
                <w:color w:val="auto"/>
                <w:sz w:val="21"/>
                <w:szCs w:val="21"/>
                <w:highlight w:val="none"/>
              </w:rPr>
            </w:pPr>
          </w:p>
        </w:tc>
        <w:tc>
          <w:tcPr>
            <w:tcW w:w="5243" w:type="dxa"/>
            <w:noWrap w:val="0"/>
            <w:vAlign w:val="center"/>
          </w:tcPr>
          <w:p w14:paraId="51C0ED37">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个</w:t>
            </w:r>
            <w:r>
              <w:rPr>
                <w:rFonts w:hint="eastAsia" w:ascii="宋体" w:hAnsi="宋体" w:eastAsia="宋体" w:cs="宋体"/>
                <w:color w:val="auto"/>
                <w:sz w:val="21"/>
                <w:szCs w:val="21"/>
                <w:highlight w:val="none"/>
              </w:rPr>
              <w:t>以上不足5</w:t>
            </w:r>
            <w:r>
              <w:rPr>
                <w:rFonts w:hint="eastAsia" w:ascii="宋体" w:hAnsi="宋体" w:eastAsia="宋体" w:cs="宋体"/>
                <w:color w:val="auto"/>
                <w:sz w:val="21"/>
                <w:szCs w:val="21"/>
                <w:highlight w:val="none"/>
                <w:lang w:val="en-US" w:eastAsia="zh-CN"/>
              </w:rPr>
              <w:t>个</w:t>
            </w:r>
          </w:p>
        </w:tc>
        <w:tc>
          <w:tcPr>
            <w:tcW w:w="1559" w:type="dxa"/>
            <w:noWrap w:val="0"/>
            <w:vAlign w:val="center"/>
          </w:tcPr>
          <w:p w14:paraId="2AAAF67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2C167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0" w:type="dxa"/>
            <w:vMerge w:val="continue"/>
            <w:noWrap w:val="0"/>
            <w:vAlign w:val="center"/>
          </w:tcPr>
          <w:p w14:paraId="5F052388">
            <w:pPr>
              <w:jc w:val="center"/>
              <w:rPr>
                <w:rFonts w:hint="eastAsia" w:ascii="宋体" w:hAnsi="宋体" w:eastAsia="宋体" w:cs="宋体"/>
                <w:color w:val="auto"/>
                <w:sz w:val="21"/>
                <w:szCs w:val="21"/>
                <w:highlight w:val="none"/>
              </w:rPr>
            </w:pPr>
          </w:p>
        </w:tc>
        <w:tc>
          <w:tcPr>
            <w:tcW w:w="5243" w:type="dxa"/>
            <w:noWrap w:val="0"/>
            <w:vAlign w:val="center"/>
          </w:tcPr>
          <w:p w14:paraId="6B1706E4">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r>
              <w:rPr>
                <w:rFonts w:hint="eastAsia" w:ascii="宋体" w:hAnsi="宋体" w:eastAsia="宋体" w:cs="宋体"/>
                <w:color w:val="auto"/>
                <w:sz w:val="21"/>
                <w:szCs w:val="21"/>
                <w:highlight w:val="none"/>
                <w:lang w:val="en-US" w:eastAsia="zh-CN"/>
              </w:rPr>
              <w:t>个</w:t>
            </w:r>
            <w:r>
              <w:rPr>
                <w:rFonts w:hint="eastAsia" w:ascii="宋体" w:hAnsi="宋体" w:eastAsia="宋体" w:cs="宋体"/>
                <w:color w:val="auto"/>
                <w:sz w:val="21"/>
                <w:szCs w:val="21"/>
                <w:highlight w:val="none"/>
              </w:rPr>
              <w:t>以上不足</w:t>
            </w:r>
            <w:r>
              <w:rPr>
                <w:rFonts w:hint="eastAsia" w:ascii="宋体" w:hAnsi="宋体" w:eastAsia="宋体" w:cs="宋体"/>
                <w:color w:val="auto"/>
                <w:sz w:val="21"/>
                <w:szCs w:val="21"/>
                <w:highlight w:val="none"/>
                <w:lang w:val="en-US" w:eastAsia="zh-CN"/>
              </w:rPr>
              <w:t>10个</w:t>
            </w:r>
          </w:p>
        </w:tc>
        <w:tc>
          <w:tcPr>
            <w:tcW w:w="1559" w:type="dxa"/>
            <w:noWrap w:val="0"/>
            <w:vAlign w:val="center"/>
          </w:tcPr>
          <w:p w14:paraId="2221304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p>
        </w:tc>
      </w:tr>
      <w:tr w14:paraId="0F3EA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0" w:type="dxa"/>
            <w:vMerge w:val="continue"/>
            <w:noWrap w:val="0"/>
            <w:vAlign w:val="center"/>
          </w:tcPr>
          <w:p w14:paraId="600CAEA2">
            <w:pPr>
              <w:jc w:val="center"/>
              <w:rPr>
                <w:rFonts w:hint="eastAsia" w:ascii="宋体" w:hAnsi="宋体" w:eastAsia="宋体" w:cs="宋体"/>
                <w:color w:val="auto"/>
                <w:sz w:val="21"/>
                <w:szCs w:val="21"/>
                <w:highlight w:val="none"/>
              </w:rPr>
            </w:pPr>
          </w:p>
        </w:tc>
        <w:tc>
          <w:tcPr>
            <w:tcW w:w="5243" w:type="dxa"/>
            <w:noWrap w:val="0"/>
            <w:vAlign w:val="center"/>
          </w:tcPr>
          <w:p w14:paraId="210D1B57">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10个</w:t>
            </w:r>
            <w:r>
              <w:rPr>
                <w:rFonts w:hint="eastAsia" w:ascii="宋体" w:hAnsi="宋体" w:eastAsia="宋体" w:cs="宋体"/>
                <w:color w:val="auto"/>
                <w:sz w:val="21"/>
                <w:szCs w:val="21"/>
                <w:highlight w:val="none"/>
              </w:rPr>
              <w:t>以上</w:t>
            </w:r>
          </w:p>
        </w:tc>
        <w:tc>
          <w:tcPr>
            <w:tcW w:w="1559" w:type="dxa"/>
            <w:noWrap w:val="0"/>
            <w:vAlign w:val="center"/>
          </w:tcPr>
          <w:p w14:paraId="4F64E527">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r>
      <w:tr w14:paraId="68712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0" w:type="dxa"/>
            <w:vMerge w:val="restart"/>
            <w:noWrap w:val="0"/>
            <w:vAlign w:val="center"/>
          </w:tcPr>
          <w:p w14:paraId="0CC384A0">
            <w:pPr>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污染物</w:t>
            </w:r>
            <w:r>
              <w:rPr>
                <w:rFonts w:hint="eastAsia" w:ascii="宋体" w:hAnsi="宋体" w:eastAsia="宋体" w:cs="宋体"/>
                <w:color w:val="auto"/>
                <w:sz w:val="21"/>
                <w:szCs w:val="21"/>
                <w:highlight w:val="none"/>
              </w:rPr>
              <w:t>类别</w:t>
            </w:r>
          </w:p>
        </w:tc>
        <w:tc>
          <w:tcPr>
            <w:tcW w:w="5243" w:type="dxa"/>
            <w:noWrap w:val="0"/>
            <w:vAlign w:val="top"/>
          </w:tcPr>
          <w:p w14:paraId="0C3A12D7">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生活、服务业、农业等废水</w:t>
            </w:r>
          </w:p>
        </w:tc>
        <w:tc>
          <w:tcPr>
            <w:tcW w:w="1559" w:type="dxa"/>
            <w:noWrap w:val="0"/>
            <w:vAlign w:val="center"/>
          </w:tcPr>
          <w:p w14:paraId="10CD88E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67111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0" w:type="dxa"/>
            <w:vMerge w:val="continue"/>
            <w:noWrap w:val="0"/>
            <w:vAlign w:val="center"/>
          </w:tcPr>
          <w:p w14:paraId="1BB204FE">
            <w:pPr>
              <w:jc w:val="center"/>
              <w:rPr>
                <w:rFonts w:hint="eastAsia" w:ascii="宋体" w:hAnsi="宋体" w:eastAsia="宋体" w:cs="宋体"/>
                <w:color w:val="auto"/>
                <w:sz w:val="21"/>
                <w:szCs w:val="21"/>
                <w:highlight w:val="none"/>
              </w:rPr>
            </w:pPr>
          </w:p>
        </w:tc>
        <w:tc>
          <w:tcPr>
            <w:tcW w:w="5243" w:type="dxa"/>
            <w:noWrap w:val="0"/>
            <w:vAlign w:val="top"/>
          </w:tcPr>
          <w:p w14:paraId="76CD1433">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一般工业废水、污水处理厂废水、畜禽养殖废水、医疗废水</w:t>
            </w:r>
          </w:p>
        </w:tc>
        <w:tc>
          <w:tcPr>
            <w:tcW w:w="1559" w:type="dxa"/>
            <w:noWrap w:val="0"/>
            <w:vAlign w:val="center"/>
          </w:tcPr>
          <w:p w14:paraId="1B7C5AC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7871E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0" w:type="dxa"/>
            <w:vMerge w:val="continue"/>
            <w:noWrap w:val="0"/>
            <w:vAlign w:val="center"/>
          </w:tcPr>
          <w:p w14:paraId="67E0EC36">
            <w:pPr>
              <w:jc w:val="center"/>
              <w:rPr>
                <w:rFonts w:hint="eastAsia" w:ascii="宋体" w:hAnsi="宋体" w:eastAsia="宋体" w:cs="宋体"/>
                <w:color w:val="auto"/>
                <w:sz w:val="21"/>
                <w:szCs w:val="21"/>
                <w:highlight w:val="none"/>
              </w:rPr>
            </w:pPr>
          </w:p>
        </w:tc>
        <w:tc>
          <w:tcPr>
            <w:tcW w:w="5243" w:type="dxa"/>
            <w:noWrap w:val="0"/>
            <w:vAlign w:val="top"/>
          </w:tcPr>
          <w:p w14:paraId="3559FB69">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含有毒有害物质的废水、含一类污染物或重金属、病原体、放射性物质的废水</w:t>
            </w:r>
          </w:p>
        </w:tc>
        <w:tc>
          <w:tcPr>
            <w:tcW w:w="1559" w:type="dxa"/>
            <w:noWrap w:val="0"/>
            <w:vAlign w:val="center"/>
          </w:tcPr>
          <w:p w14:paraId="130B144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37463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0" w:type="dxa"/>
            <w:vMerge w:val="restart"/>
            <w:noWrap w:val="0"/>
            <w:vAlign w:val="center"/>
          </w:tcPr>
          <w:p w14:paraId="1BD17CF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排放去向或</w:t>
            </w:r>
          </w:p>
          <w:p w14:paraId="76403C8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区域</w:t>
            </w:r>
          </w:p>
        </w:tc>
        <w:tc>
          <w:tcPr>
            <w:tcW w:w="5243" w:type="dxa"/>
            <w:noWrap w:val="0"/>
            <w:vAlign w:val="top"/>
          </w:tcPr>
          <w:p w14:paraId="391997A5">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第四类海水水质的区域</w:t>
            </w:r>
          </w:p>
        </w:tc>
        <w:tc>
          <w:tcPr>
            <w:tcW w:w="1559" w:type="dxa"/>
            <w:noWrap w:val="0"/>
            <w:vAlign w:val="center"/>
          </w:tcPr>
          <w:p w14:paraId="74F7CFF2">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r>
      <w:tr w14:paraId="5D9A2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0" w:type="dxa"/>
            <w:vMerge w:val="continue"/>
            <w:noWrap w:val="0"/>
            <w:vAlign w:val="center"/>
          </w:tcPr>
          <w:p w14:paraId="6D51BF7E">
            <w:pPr>
              <w:jc w:val="center"/>
              <w:rPr>
                <w:rFonts w:hint="eastAsia" w:ascii="宋体" w:hAnsi="宋体" w:eastAsia="宋体" w:cs="宋体"/>
                <w:color w:val="auto"/>
                <w:sz w:val="21"/>
                <w:szCs w:val="21"/>
                <w:highlight w:val="none"/>
              </w:rPr>
            </w:pPr>
          </w:p>
        </w:tc>
        <w:tc>
          <w:tcPr>
            <w:tcW w:w="5243" w:type="dxa"/>
            <w:noWrap w:val="0"/>
            <w:vAlign w:val="top"/>
          </w:tcPr>
          <w:p w14:paraId="528C53EF">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第三类海水水质的区域</w:t>
            </w:r>
          </w:p>
        </w:tc>
        <w:tc>
          <w:tcPr>
            <w:tcW w:w="1559" w:type="dxa"/>
            <w:noWrap w:val="0"/>
            <w:vAlign w:val="center"/>
          </w:tcPr>
          <w:p w14:paraId="3ADA1DEA">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r>
      <w:tr w14:paraId="467B7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0" w:type="dxa"/>
            <w:vMerge w:val="continue"/>
            <w:noWrap w:val="0"/>
            <w:vAlign w:val="center"/>
          </w:tcPr>
          <w:p w14:paraId="3DBFD662">
            <w:pPr>
              <w:jc w:val="center"/>
              <w:rPr>
                <w:rFonts w:hint="eastAsia" w:ascii="宋体" w:hAnsi="宋体" w:eastAsia="宋体" w:cs="宋体"/>
                <w:color w:val="auto"/>
                <w:sz w:val="21"/>
                <w:szCs w:val="21"/>
                <w:highlight w:val="none"/>
              </w:rPr>
            </w:pPr>
          </w:p>
        </w:tc>
        <w:tc>
          <w:tcPr>
            <w:tcW w:w="5243" w:type="dxa"/>
            <w:noWrap w:val="0"/>
            <w:vAlign w:val="top"/>
          </w:tcPr>
          <w:p w14:paraId="6A77060B">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第二类海水水质的区域</w:t>
            </w:r>
          </w:p>
        </w:tc>
        <w:tc>
          <w:tcPr>
            <w:tcW w:w="1559" w:type="dxa"/>
            <w:noWrap w:val="0"/>
            <w:vAlign w:val="center"/>
          </w:tcPr>
          <w:p w14:paraId="2EA77C99">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r>
      <w:tr w14:paraId="011D2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0" w:type="dxa"/>
            <w:vMerge w:val="continue"/>
            <w:noWrap w:val="0"/>
            <w:vAlign w:val="center"/>
          </w:tcPr>
          <w:p w14:paraId="02873798">
            <w:pPr>
              <w:jc w:val="center"/>
              <w:rPr>
                <w:rFonts w:hint="eastAsia" w:ascii="宋体" w:hAnsi="宋体" w:eastAsia="宋体" w:cs="宋体"/>
                <w:color w:val="auto"/>
                <w:sz w:val="21"/>
                <w:szCs w:val="21"/>
                <w:highlight w:val="none"/>
              </w:rPr>
            </w:pPr>
          </w:p>
        </w:tc>
        <w:tc>
          <w:tcPr>
            <w:tcW w:w="5243" w:type="dxa"/>
            <w:noWrap w:val="0"/>
            <w:vAlign w:val="top"/>
          </w:tcPr>
          <w:p w14:paraId="28AB1767">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第一类海水水质的区域</w:t>
            </w:r>
          </w:p>
        </w:tc>
        <w:tc>
          <w:tcPr>
            <w:tcW w:w="1559" w:type="dxa"/>
            <w:noWrap w:val="0"/>
            <w:vAlign w:val="center"/>
          </w:tcPr>
          <w:p w14:paraId="0B4FF921">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r>
    </w:tbl>
    <w:p w14:paraId="20C3738A">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18"/>
        <w:gridCol w:w="5505"/>
        <w:gridCol w:w="1625"/>
      </w:tblGrid>
      <w:tr w14:paraId="5F7E2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3"/>
            <w:noWrap w:val="0"/>
            <w:vAlign w:val="top"/>
          </w:tcPr>
          <w:p w14:paraId="3208463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三</w:t>
            </w:r>
            <w:r>
              <w:rPr>
                <w:rFonts w:hint="eastAsia" w:ascii="宋体" w:hAnsi="宋体" w:eastAsia="宋体" w:cs="宋体"/>
                <w:color w:val="auto"/>
                <w:sz w:val="21"/>
                <w:szCs w:val="21"/>
                <w:highlight w:val="none"/>
              </w:rPr>
              <w:t>）排污许可管理类</w:t>
            </w:r>
          </w:p>
        </w:tc>
      </w:tr>
      <w:tr w14:paraId="1BC36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1" w:type="dxa"/>
            <w:noWrap w:val="0"/>
            <w:vAlign w:val="center"/>
          </w:tcPr>
          <w:p w14:paraId="7D05829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791" w:type="dxa"/>
            <w:gridSpan w:val="2"/>
            <w:noWrap w:val="0"/>
            <w:vAlign w:val="top"/>
          </w:tcPr>
          <w:p w14:paraId="5ABA64D0">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w:t>
            </w:r>
          </w:p>
        </w:tc>
      </w:tr>
      <w:tr w14:paraId="2732D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1" w:type="dxa"/>
            <w:noWrap w:val="0"/>
            <w:vAlign w:val="center"/>
          </w:tcPr>
          <w:p w14:paraId="41592F3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6791" w:type="dxa"/>
            <w:gridSpan w:val="2"/>
            <w:noWrap w:val="0"/>
            <w:vAlign w:val="top"/>
          </w:tcPr>
          <w:p w14:paraId="1B6863B3">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未向社会公开或者不如实公开污染物排放信息、温室气体排放信息等生态环境信息的</w:t>
            </w:r>
          </w:p>
        </w:tc>
      </w:tr>
      <w:tr w14:paraId="70EFE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1" w:type="dxa"/>
            <w:noWrap w:val="0"/>
            <w:vAlign w:val="center"/>
          </w:tcPr>
          <w:p w14:paraId="1D678D2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6791" w:type="dxa"/>
            <w:gridSpan w:val="2"/>
            <w:noWrap w:val="0"/>
            <w:vAlign w:val="top"/>
          </w:tcPr>
          <w:p w14:paraId="42470C7E">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《中华人民共和国生态环境法典》第一百四十条第二款　实行排污许可重点管理和其他法定的应当披露生态环境信息的企业事业单位和其他生产经营者，应当依法及时、真实、准确、完整披露污染物排放信息、温室气体排放信息等生态环境信息。</w:t>
            </w:r>
          </w:p>
          <w:p w14:paraId="12FD9663">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《中华人民共和国生态环境法典》第一百八十五条  实行排污许可管理的企业事业单位和其他生产经营者应当按照规定向社会公开污染物排放种类、排放浓度和排放量，以及污染防治设施的建设运行情况、自行监测数据等污染物排放信息，接受社会监督。</w:t>
            </w:r>
          </w:p>
          <w:p w14:paraId="6FD3A2E9">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《中华人民共和国生态环境法典》第二百七十四条</w:t>
            </w:r>
            <w:r>
              <w:rPr>
                <w:rFonts w:hint="eastAsia" w:ascii="宋体" w:hAnsi="宋体" w:cs="宋体"/>
                <w:color w:val="auto"/>
                <w:sz w:val="21"/>
                <w:szCs w:val="21"/>
                <w:highlight w:val="none"/>
                <w:lang w:val="en-US" w:eastAsia="zh-CN"/>
              </w:rPr>
              <w:t>第二款</w:t>
            </w:r>
            <w:r>
              <w:rPr>
                <w:rFonts w:hint="eastAsia" w:ascii="宋体" w:hAnsi="宋体" w:eastAsia="宋体" w:cs="宋体"/>
                <w:color w:val="auto"/>
                <w:sz w:val="21"/>
                <w:szCs w:val="21"/>
                <w:highlight w:val="none"/>
              </w:rPr>
              <w:t xml:space="preserve"> </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排放前款规定名录中所列有毒有害水污染物的企业事业单位和其他生产经营者，应当对排污口和周边环境进行监测，评估环境风险，排查环境安全隐患，并向社会公开有毒有害水污染物信息，采取有效措施防范环境风险。</w:t>
            </w:r>
          </w:p>
          <w:p w14:paraId="67726CF6">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《中华人民共和国生态环境法典》第四百八十五条第二款 产生、收集、贮存、运输、利用、处置固体废物的单位，应当依法及时向社会公开固体废物污染防治信息，接受社会监督。</w:t>
            </w:r>
          </w:p>
        </w:tc>
      </w:tr>
      <w:tr w14:paraId="4D33A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1" w:type="dxa"/>
            <w:noWrap w:val="0"/>
            <w:vAlign w:val="center"/>
          </w:tcPr>
          <w:p w14:paraId="5977379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6791" w:type="dxa"/>
            <w:gridSpan w:val="2"/>
            <w:noWrap w:val="0"/>
            <w:vAlign w:val="top"/>
          </w:tcPr>
          <w:p w14:paraId="731E6368">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《中华人民共和国生态环境法典》第一千一百一十条  违反本法规定，未向社会公开或者不如实公开污染物排放信息、温室气体排放信息等生态环境信息的，由负有生态环境保护监督管理职责的部门、机构按照职责分工责令改正，处二万元以上二十万元以下的罚款；拒不改正的，责令限制生产、停产整治，并公告上述生态环境信息。</w:t>
            </w:r>
          </w:p>
        </w:tc>
      </w:tr>
      <w:tr w14:paraId="3D0BC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1" w:type="dxa"/>
            <w:noWrap w:val="0"/>
            <w:vAlign w:val="center"/>
          </w:tcPr>
          <w:p w14:paraId="22506C3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243" w:type="dxa"/>
            <w:noWrap w:val="0"/>
            <w:vAlign w:val="top"/>
          </w:tcPr>
          <w:p w14:paraId="63495EA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548" w:type="dxa"/>
            <w:noWrap w:val="0"/>
            <w:vAlign w:val="top"/>
          </w:tcPr>
          <w:p w14:paraId="7C1E4CB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5211C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1" w:type="dxa"/>
            <w:vMerge w:val="restart"/>
            <w:noWrap w:val="0"/>
            <w:vAlign w:val="center"/>
          </w:tcPr>
          <w:p w14:paraId="5DA94097">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290"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违法事实</w:t>
            </w:r>
          </w:p>
        </w:tc>
        <w:tc>
          <w:tcPr>
            <w:tcW w:w="5243" w:type="dxa"/>
            <w:noWrap w:val="0"/>
            <w:vAlign w:val="center"/>
          </w:tcPr>
          <w:p w14:paraId="05F95D18">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290" w:lineRule="exact"/>
              <w:ind w:left="0" w:leftChars="0" w:right="0" w:rightChars="0" w:firstLine="420" w:firstLineChars="200"/>
              <w:textAlignment w:val="baseline"/>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未公开/未如实公开部分生态环境信息</w:t>
            </w:r>
          </w:p>
        </w:tc>
        <w:tc>
          <w:tcPr>
            <w:tcW w:w="1548" w:type="dxa"/>
            <w:noWrap w:val="0"/>
            <w:vAlign w:val="center"/>
          </w:tcPr>
          <w:p w14:paraId="46303ECC">
            <w:pPr>
              <w:keepNext w:val="0"/>
              <w:keepLines w:val="0"/>
              <w:pageBreakBefore w:val="0"/>
              <w:widowControl w:val="0"/>
              <w:shd w:val="clear" w:color="auto" w:fill="auto"/>
              <w:kinsoku/>
              <w:wordWrap/>
              <w:overflowPunct/>
              <w:topLinePunct w:val="0"/>
              <w:autoSpaceDE w:val="0"/>
              <w:autoSpaceDN w:val="0"/>
              <w:bidi w:val="0"/>
              <w:adjustRightInd w:val="0"/>
              <w:snapToGrid w:val="0"/>
              <w:spacing w:line="290"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5E8EE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1" w:type="dxa"/>
            <w:vMerge w:val="continue"/>
            <w:noWrap w:val="0"/>
            <w:vAlign w:val="center"/>
          </w:tcPr>
          <w:p w14:paraId="360F646E">
            <w:pPr>
              <w:keepNext w:val="0"/>
              <w:keepLines w:val="0"/>
              <w:pageBreakBefore w:val="0"/>
              <w:widowControl w:val="0"/>
              <w:shd w:val="clear" w:color="auto" w:fill="auto"/>
              <w:kinsoku/>
              <w:wordWrap/>
              <w:overflowPunct/>
              <w:topLinePunct w:val="0"/>
              <w:autoSpaceDE w:val="0"/>
              <w:autoSpaceDN w:val="0"/>
              <w:bidi w:val="0"/>
              <w:adjustRightInd w:val="0"/>
              <w:snapToGrid w:val="0"/>
              <w:spacing w:line="290"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p>
        </w:tc>
        <w:tc>
          <w:tcPr>
            <w:tcW w:w="5243" w:type="dxa"/>
            <w:noWrap w:val="0"/>
            <w:vAlign w:val="center"/>
          </w:tcPr>
          <w:p w14:paraId="1B4D18D8">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290" w:lineRule="exact"/>
              <w:ind w:left="0" w:leftChars="0" w:right="0" w:rightChars="0" w:firstLine="420" w:firstLineChars="200"/>
              <w:textAlignment w:val="baseline"/>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未公开/未如实公开全部生态环境信息</w:t>
            </w:r>
          </w:p>
        </w:tc>
        <w:tc>
          <w:tcPr>
            <w:tcW w:w="1548" w:type="dxa"/>
            <w:noWrap w:val="0"/>
            <w:vAlign w:val="center"/>
          </w:tcPr>
          <w:p w14:paraId="01064953">
            <w:pPr>
              <w:keepNext w:val="0"/>
              <w:keepLines w:val="0"/>
              <w:pageBreakBefore w:val="0"/>
              <w:widowControl w:val="0"/>
              <w:shd w:val="clear" w:color="auto" w:fill="auto"/>
              <w:kinsoku/>
              <w:wordWrap/>
              <w:overflowPunct/>
              <w:topLinePunct w:val="0"/>
              <w:autoSpaceDE w:val="0"/>
              <w:autoSpaceDN w:val="0"/>
              <w:bidi w:val="0"/>
              <w:adjustRightInd w:val="0"/>
              <w:snapToGrid w:val="0"/>
              <w:spacing w:line="290" w:lineRule="exact"/>
              <w:ind w:left="0" w:leftChars="0" w:right="0" w:rightChars="0" w:firstLine="0" w:firstLineChars="0"/>
              <w:jc w:val="center"/>
              <w:textAlignment w:val="baseline"/>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5</w:t>
            </w:r>
          </w:p>
        </w:tc>
      </w:tr>
      <w:tr w14:paraId="46185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1" w:type="dxa"/>
            <w:vMerge w:val="restart"/>
            <w:noWrap w:val="0"/>
            <w:vAlign w:val="center"/>
          </w:tcPr>
          <w:p w14:paraId="1E54C78E">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排污</w:t>
            </w:r>
            <w:r>
              <w:rPr>
                <w:rFonts w:hint="eastAsia" w:ascii="宋体" w:hAnsi="宋体" w:eastAsia="宋体" w:cs="宋体"/>
                <w:color w:val="auto"/>
                <w:sz w:val="21"/>
                <w:szCs w:val="21"/>
                <w:highlight w:val="none"/>
                <w:lang w:val="en-US" w:eastAsia="zh-CN"/>
              </w:rPr>
              <w:t>许可</w:t>
            </w:r>
          </w:p>
          <w:p w14:paraId="25E47B7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管理类别</w:t>
            </w:r>
          </w:p>
        </w:tc>
        <w:tc>
          <w:tcPr>
            <w:tcW w:w="5243" w:type="dxa"/>
            <w:noWrap w:val="0"/>
            <w:vAlign w:val="top"/>
          </w:tcPr>
          <w:p w14:paraId="4550C083">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简化管理</w:t>
            </w:r>
          </w:p>
        </w:tc>
        <w:tc>
          <w:tcPr>
            <w:tcW w:w="1548" w:type="dxa"/>
            <w:noWrap w:val="0"/>
            <w:vAlign w:val="top"/>
          </w:tcPr>
          <w:p w14:paraId="703C72A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p>
        </w:tc>
      </w:tr>
      <w:tr w14:paraId="042B0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1" w:type="dxa"/>
            <w:vMerge w:val="continue"/>
            <w:noWrap w:val="0"/>
            <w:vAlign w:val="center"/>
          </w:tcPr>
          <w:p w14:paraId="4A2CB275">
            <w:pPr>
              <w:jc w:val="center"/>
              <w:rPr>
                <w:rFonts w:hint="eastAsia" w:ascii="宋体" w:hAnsi="宋体" w:eastAsia="宋体" w:cs="宋体"/>
                <w:color w:val="auto"/>
                <w:sz w:val="21"/>
                <w:szCs w:val="21"/>
                <w:highlight w:val="none"/>
              </w:rPr>
            </w:pPr>
          </w:p>
        </w:tc>
        <w:tc>
          <w:tcPr>
            <w:tcW w:w="5243" w:type="dxa"/>
            <w:noWrap w:val="0"/>
            <w:vAlign w:val="center"/>
          </w:tcPr>
          <w:p w14:paraId="4F07B09B">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312" w:lineRule="exact"/>
              <w:ind w:left="0" w:leftChars="0" w:right="0" w:rightChars="0" w:firstLine="420" w:firstLineChars="200"/>
              <w:textAlignment w:val="baseline"/>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重点管理</w:t>
            </w:r>
          </w:p>
        </w:tc>
        <w:tc>
          <w:tcPr>
            <w:tcW w:w="1548" w:type="dxa"/>
            <w:noWrap w:val="0"/>
            <w:vAlign w:val="center"/>
          </w:tcPr>
          <w:p w14:paraId="26B985AD">
            <w:pPr>
              <w:keepNext w:val="0"/>
              <w:keepLines w:val="0"/>
              <w:pageBreakBefore w:val="0"/>
              <w:widowControl w:val="0"/>
              <w:shd w:val="clear" w:color="auto" w:fill="auto"/>
              <w:kinsoku/>
              <w:wordWrap/>
              <w:overflowPunct/>
              <w:topLinePunct/>
              <w:autoSpaceDE w:val="0"/>
              <w:autoSpaceDN w:val="0"/>
              <w:bidi w:val="0"/>
              <w:adjustRightInd w:val="0"/>
              <w:snapToGrid w:val="0"/>
              <w:spacing w:line="312"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155F3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1" w:type="dxa"/>
            <w:vMerge w:val="continue"/>
            <w:noWrap w:val="0"/>
            <w:vAlign w:val="center"/>
          </w:tcPr>
          <w:p w14:paraId="00728003">
            <w:pPr>
              <w:keepNext w:val="0"/>
              <w:keepLines w:val="0"/>
              <w:pageBreakBefore w:val="0"/>
              <w:widowControl w:val="0"/>
              <w:shd w:val="clear" w:color="auto" w:fill="auto"/>
              <w:kinsoku/>
              <w:wordWrap/>
              <w:overflowPunct/>
              <w:topLinePunct/>
              <w:autoSpaceDE w:val="0"/>
              <w:autoSpaceDN w:val="0"/>
              <w:bidi w:val="0"/>
              <w:adjustRightInd w:val="0"/>
              <w:snapToGrid w:val="0"/>
              <w:spacing w:line="312"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p>
        </w:tc>
        <w:tc>
          <w:tcPr>
            <w:tcW w:w="5243" w:type="dxa"/>
            <w:noWrap w:val="0"/>
            <w:vAlign w:val="center"/>
          </w:tcPr>
          <w:p w14:paraId="34DB6105">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312" w:lineRule="exact"/>
              <w:ind w:left="0" w:leftChars="0" w:right="0" w:rightChars="0" w:firstLine="420" w:firstLineChars="200"/>
              <w:textAlignment w:val="baseline"/>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重点管理（钢铁、石化、化工、电镀、皮革、造纸、冶炼、印染、染料、水泥、煤电、陶瓷、采矿、放射性、危废经营、垃圾焚烧发电、平板玻璃，“两高”项目）</w:t>
            </w:r>
          </w:p>
        </w:tc>
        <w:tc>
          <w:tcPr>
            <w:tcW w:w="1548" w:type="dxa"/>
            <w:noWrap w:val="0"/>
            <w:vAlign w:val="center"/>
          </w:tcPr>
          <w:p w14:paraId="488CCC52">
            <w:pPr>
              <w:keepNext w:val="0"/>
              <w:keepLines w:val="0"/>
              <w:pageBreakBefore w:val="0"/>
              <w:widowControl w:val="0"/>
              <w:shd w:val="clear" w:color="auto" w:fill="auto"/>
              <w:kinsoku/>
              <w:wordWrap/>
              <w:overflowPunct/>
              <w:topLinePunct/>
              <w:autoSpaceDE w:val="0"/>
              <w:autoSpaceDN w:val="0"/>
              <w:bidi w:val="0"/>
              <w:adjustRightInd w:val="0"/>
              <w:snapToGrid w:val="0"/>
              <w:spacing w:line="312"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0B472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1" w:type="dxa"/>
            <w:vMerge w:val="restart"/>
            <w:noWrap w:val="0"/>
            <w:vAlign w:val="center"/>
          </w:tcPr>
          <w:p w14:paraId="167A76B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排放去向或</w:t>
            </w:r>
          </w:p>
          <w:p w14:paraId="19047A2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区域</w:t>
            </w:r>
          </w:p>
        </w:tc>
        <w:tc>
          <w:tcPr>
            <w:tcW w:w="5243" w:type="dxa"/>
            <w:noWrap w:val="0"/>
            <w:vAlign w:val="top"/>
          </w:tcPr>
          <w:p w14:paraId="3E5341BD">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二类环境空气功能区</w:t>
            </w:r>
            <w:r>
              <w:rPr>
                <w:rFonts w:hint="eastAsia" w:ascii="宋体" w:hAnsi="宋体" w:eastAsia="宋体" w:cs="宋体"/>
                <w:color w:val="auto"/>
                <w:sz w:val="21"/>
                <w:szCs w:val="21"/>
                <w:highlight w:val="none"/>
              </w:rPr>
              <w:t>（工业区和农村地区）</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V类水体</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或者</w:t>
            </w:r>
            <w:r>
              <w:rPr>
                <w:rFonts w:hint="eastAsia" w:ascii="宋体" w:hAnsi="宋体" w:cs="宋体"/>
                <w:color w:val="auto"/>
                <w:szCs w:val="21"/>
                <w:highlight w:val="none"/>
              </w:rPr>
              <w:t>污水集中处理设施</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4类声环境功能区</w:t>
            </w:r>
            <w:r>
              <w:rPr>
                <w:rFonts w:hint="eastAsia" w:ascii="宋体" w:hAnsi="宋体" w:eastAsia="宋体" w:cs="宋体"/>
                <w:color w:val="auto"/>
                <w:sz w:val="21"/>
                <w:szCs w:val="21"/>
                <w:highlight w:val="none"/>
                <w:lang w:val="en-US" w:eastAsia="zh-CN"/>
              </w:rPr>
              <w:t>/第四类海水水质的区域</w:t>
            </w:r>
          </w:p>
        </w:tc>
        <w:tc>
          <w:tcPr>
            <w:tcW w:w="1548" w:type="dxa"/>
            <w:noWrap w:val="0"/>
            <w:vAlign w:val="center"/>
          </w:tcPr>
          <w:p w14:paraId="30E7454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1548A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1" w:type="dxa"/>
            <w:vMerge w:val="continue"/>
            <w:noWrap w:val="0"/>
            <w:vAlign w:val="center"/>
          </w:tcPr>
          <w:p w14:paraId="51AB1453">
            <w:pPr>
              <w:jc w:val="center"/>
              <w:rPr>
                <w:rFonts w:hint="eastAsia" w:ascii="宋体" w:hAnsi="宋体" w:eastAsia="宋体" w:cs="宋体"/>
                <w:color w:val="auto"/>
                <w:sz w:val="21"/>
                <w:szCs w:val="21"/>
                <w:highlight w:val="none"/>
              </w:rPr>
            </w:pPr>
          </w:p>
        </w:tc>
        <w:tc>
          <w:tcPr>
            <w:tcW w:w="5243" w:type="dxa"/>
            <w:noWrap w:val="0"/>
            <w:vAlign w:val="top"/>
          </w:tcPr>
          <w:p w14:paraId="3EC9107B">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Ⅳ类</w:t>
            </w:r>
            <w:r>
              <w:rPr>
                <w:rFonts w:hint="eastAsia" w:ascii="宋体" w:hAnsi="宋体" w:eastAsia="宋体" w:cs="宋体"/>
                <w:color w:val="auto"/>
                <w:sz w:val="21"/>
                <w:szCs w:val="21"/>
                <w:highlight w:val="none"/>
              </w:rPr>
              <w:t>水体</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3类声环境功能区</w:t>
            </w:r>
            <w:r>
              <w:rPr>
                <w:rFonts w:hint="eastAsia" w:ascii="宋体" w:hAnsi="宋体" w:eastAsia="宋体" w:cs="宋体"/>
                <w:color w:val="auto"/>
                <w:sz w:val="21"/>
                <w:szCs w:val="21"/>
                <w:highlight w:val="none"/>
                <w:lang w:val="en-US" w:eastAsia="zh-CN"/>
              </w:rPr>
              <w:t>/第三类海水水质的区域</w:t>
            </w:r>
          </w:p>
        </w:tc>
        <w:tc>
          <w:tcPr>
            <w:tcW w:w="1548" w:type="dxa"/>
            <w:noWrap w:val="0"/>
            <w:vAlign w:val="center"/>
          </w:tcPr>
          <w:p w14:paraId="655ABAD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p>
        </w:tc>
      </w:tr>
      <w:tr w14:paraId="7A312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1" w:type="dxa"/>
            <w:vMerge w:val="continue"/>
            <w:noWrap w:val="0"/>
            <w:vAlign w:val="center"/>
          </w:tcPr>
          <w:p w14:paraId="1490D115">
            <w:pPr>
              <w:jc w:val="center"/>
              <w:rPr>
                <w:rFonts w:hint="eastAsia" w:ascii="宋体" w:hAnsi="宋体" w:eastAsia="宋体" w:cs="宋体"/>
                <w:color w:val="auto"/>
                <w:sz w:val="21"/>
                <w:szCs w:val="21"/>
                <w:highlight w:val="none"/>
              </w:rPr>
            </w:pPr>
          </w:p>
        </w:tc>
        <w:tc>
          <w:tcPr>
            <w:tcW w:w="5243" w:type="dxa"/>
            <w:noWrap w:val="0"/>
            <w:vAlign w:val="top"/>
          </w:tcPr>
          <w:p w14:paraId="27355ABD">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二类环境空气功能区</w:t>
            </w:r>
            <w:r>
              <w:rPr>
                <w:rFonts w:hint="eastAsia" w:ascii="宋体" w:hAnsi="宋体" w:eastAsia="宋体" w:cs="宋体"/>
                <w:color w:val="auto"/>
                <w:sz w:val="21"/>
                <w:szCs w:val="21"/>
                <w:highlight w:val="none"/>
                <w:lang w:eastAsia="zh-CN"/>
              </w:rPr>
              <w:t>（居民区、商业交通居民混合区、文化区）/</w:t>
            </w:r>
            <w:r>
              <w:rPr>
                <w:rFonts w:hint="eastAsia" w:ascii="宋体" w:hAnsi="宋体" w:cs="宋体"/>
                <w:color w:val="auto"/>
                <w:sz w:val="21"/>
                <w:szCs w:val="21"/>
                <w:highlight w:val="none"/>
                <w:lang w:eastAsia="zh-CN"/>
              </w:rPr>
              <w:t>Ⅲ类</w:t>
            </w:r>
            <w:r>
              <w:rPr>
                <w:rFonts w:hint="eastAsia" w:ascii="宋体" w:hAnsi="宋体" w:eastAsia="宋体" w:cs="宋体"/>
                <w:color w:val="auto"/>
                <w:sz w:val="21"/>
                <w:szCs w:val="21"/>
                <w:highlight w:val="none"/>
                <w:lang w:eastAsia="zh-CN"/>
              </w:rPr>
              <w:t>水体/2类声环境功能区/饮用水水源准保护区/自然保护地外的生态保护红线区域</w:t>
            </w:r>
          </w:p>
        </w:tc>
        <w:tc>
          <w:tcPr>
            <w:tcW w:w="1548" w:type="dxa"/>
            <w:noWrap w:val="0"/>
            <w:vAlign w:val="center"/>
          </w:tcPr>
          <w:p w14:paraId="7D4041E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174D2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1" w:type="dxa"/>
            <w:vMerge w:val="continue"/>
            <w:noWrap w:val="0"/>
            <w:vAlign w:val="center"/>
          </w:tcPr>
          <w:p w14:paraId="55F1F555">
            <w:pPr>
              <w:jc w:val="center"/>
              <w:rPr>
                <w:rFonts w:hint="eastAsia" w:ascii="宋体" w:hAnsi="宋体" w:eastAsia="宋体" w:cs="宋体"/>
                <w:color w:val="auto"/>
                <w:sz w:val="21"/>
                <w:szCs w:val="21"/>
                <w:highlight w:val="none"/>
              </w:rPr>
            </w:pPr>
          </w:p>
        </w:tc>
        <w:tc>
          <w:tcPr>
            <w:tcW w:w="5243" w:type="dxa"/>
            <w:noWrap w:val="0"/>
            <w:vAlign w:val="top"/>
          </w:tcPr>
          <w:p w14:paraId="4EDEF928">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Ⅱ类</w:t>
            </w:r>
            <w:r>
              <w:rPr>
                <w:rFonts w:hint="eastAsia" w:ascii="宋体" w:hAnsi="宋体" w:eastAsia="宋体" w:cs="宋体"/>
                <w:color w:val="auto"/>
                <w:sz w:val="21"/>
                <w:szCs w:val="21"/>
                <w:highlight w:val="none"/>
              </w:rPr>
              <w:t>水体</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1类声环境功能区／自然保护地一般控制区</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饮用水水源二级保护区</w:t>
            </w:r>
            <w:r>
              <w:rPr>
                <w:rFonts w:hint="eastAsia" w:ascii="宋体" w:hAnsi="宋体" w:eastAsia="宋体" w:cs="宋体"/>
                <w:color w:val="auto"/>
                <w:sz w:val="21"/>
                <w:szCs w:val="21"/>
                <w:highlight w:val="none"/>
                <w:lang w:val="en-US" w:eastAsia="zh-CN"/>
              </w:rPr>
              <w:t>/第二类海水水质的区域</w:t>
            </w:r>
          </w:p>
        </w:tc>
        <w:tc>
          <w:tcPr>
            <w:tcW w:w="1548" w:type="dxa"/>
            <w:noWrap w:val="0"/>
            <w:vAlign w:val="center"/>
          </w:tcPr>
          <w:p w14:paraId="5163488C">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r>
      <w:tr w14:paraId="2B35B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1" w:type="dxa"/>
            <w:vMerge w:val="continue"/>
            <w:noWrap w:val="0"/>
            <w:vAlign w:val="center"/>
          </w:tcPr>
          <w:p w14:paraId="4707991E">
            <w:pPr>
              <w:jc w:val="center"/>
              <w:rPr>
                <w:rFonts w:hint="eastAsia" w:ascii="宋体" w:hAnsi="宋体" w:eastAsia="宋体" w:cs="宋体"/>
                <w:color w:val="auto"/>
                <w:sz w:val="21"/>
                <w:szCs w:val="21"/>
                <w:highlight w:val="none"/>
              </w:rPr>
            </w:pPr>
          </w:p>
        </w:tc>
        <w:tc>
          <w:tcPr>
            <w:tcW w:w="5243" w:type="dxa"/>
            <w:noWrap w:val="0"/>
            <w:vAlign w:val="top"/>
          </w:tcPr>
          <w:p w14:paraId="153A9CBF">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一类环境空气功能区</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I类水体</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0类声环境功能区／自然保护地核心保护区</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饮用水水源一级保护区</w:t>
            </w:r>
            <w:r>
              <w:rPr>
                <w:rFonts w:hint="eastAsia" w:ascii="宋体" w:hAnsi="宋体" w:eastAsia="宋体" w:cs="宋体"/>
                <w:color w:val="auto"/>
                <w:sz w:val="21"/>
                <w:szCs w:val="21"/>
                <w:highlight w:val="none"/>
                <w:lang w:val="en-US" w:eastAsia="zh-CN"/>
              </w:rPr>
              <w:t>/第一类海水水质的区域</w:t>
            </w:r>
          </w:p>
        </w:tc>
        <w:tc>
          <w:tcPr>
            <w:tcW w:w="1548" w:type="dxa"/>
            <w:noWrap w:val="0"/>
            <w:vAlign w:val="center"/>
          </w:tcPr>
          <w:p w14:paraId="5DF31016">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5</w:t>
            </w:r>
          </w:p>
        </w:tc>
      </w:tr>
      <w:tr w14:paraId="77B82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1" w:type="dxa"/>
            <w:vMerge w:val="restart"/>
            <w:noWrap w:val="0"/>
            <w:vAlign w:val="center"/>
          </w:tcPr>
          <w:p w14:paraId="57D43BE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污染物</w:t>
            </w:r>
            <w:r>
              <w:rPr>
                <w:rFonts w:hint="eastAsia" w:ascii="宋体" w:hAnsi="宋体" w:eastAsia="宋体" w:cs="宋体"/>
                <w:color w:val="auto"/>
                <w:sz w:val="21"/>
                <w:szCs w:val="21"/>
                <w:highlight w:val="none"/>
              </w:rPr>
              <w:t>类别</w:t>
            </w:r>
          </w:p>
        </w:tc>
        <w:tc>
          <w:tcPr>
            <w:tcW w:w="5243" w:type="dxa"/>
            <w:noWrap w:val="0"/>
            <w:vAlign w:val="top"/>
          </w:tcPr>
          <w:p w14:paraId="011C93A7">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一般废气、废水、固体废物、噪声、畜禽养殖废水</w:t>
            </w:r>
          </w:p>
        </w:tc>
        <w:tc>
          <w:tcPr>
            <w:tcW w:w="1548" w:type="dxa"/>
            <w:noWrap w:val="0"/>
            <w:vAlign w:val="center"/>
          </w:tcPr>
          <w:p w14:paraId="0428A15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11790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1" w:type="dxa"/>
            <w:vMerge w:val="continue"/>
            <w:noWrap w:val="0"/>
            <w:vAlign w:val="center"/>
          </w:tcPr>
          <w:p w14:paraId="565430F2">
            <w:pPr>
              <w:jc w:val="center"/>
              <w:rPr>
                <w:rFonts w:hint="eastAsia" w:ascii="宋体" w:hAnsi="宋体" w:eastAsia="宋体" w:cs="宋体"/>
                <w:color w:val="auto"/>
                <w:sz w:val="21"/>
                <w:szCs w:val="21"/>
                <w:highlight w:val="none"/>
              </w:rPr>
            </w:pPr>
          </w:p>
        </w:tc>
        <w:tc>
          <w:tcPr>
            <w:tcW w:w="5243" w:type="dxa"/>
            <w:noWrap w:val="0"/>
            <w:vAlign w:val="top"/>
          </w:tcPr>
          <w:p w14:paraId="47488B3E">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火电、钢铁、石化、水泥、炼焦、有色、化工废气/医疗废水</w:t>
            </w:r>
          </w:p>
        </w:tc>
        <w:tc>
          <w:tcPr>
            <w:tcW w:w="1548" w:type="dxa"/>
            <w:noWrap w:val="0"/>
            <w:vAlign w:val="center"/>
          </w:tcPr>
          <w:p w14:paraId="1F7876D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p>
        </w:tc>
      </w:tr>
      <w:tr w14:paraId="49EAA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1" w:type="dxa"/>
            <w:vMerge w:val="continue"/>
            <w:noWrap w:val="0"/>
            <w:vAlign w:val="center"/>
          </w:tcPr>
          <w:p w14:paraId="7A4B2605">
            <w:pPr>
              <w:jc w:val="center"/>
              <w:rPr>
                <w:rFonts w:hint="eastAsia" w:ascii="宋体" w:hAnsi="宋体" w:eastAsia="宋体" w:cs="宋体"/>
                <w:color w:val="auto"/>
                <w:sz w:val="21"/>
                <w:szCs w:val="21"/>
                <w:highlight w:val="none"/>
              </w:rPr>
            </w:pPr>
          </w:p>
        </w:tc>
        <w:tc>
          <w:tcPr>
            <w:tcW w:w="5243" w:type="dxa"/>
            <w:noWrap w:val="0"/>
            <w:vAlign w:val="top"/>
          </w:tcPr>
          <w:p w14:paraId="6EFDB920">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含有毒有害物质的废气、废水／含一类污染物或重金属、病原体、放射性物质的废水／危险废物</w:t>
            </w:r>
          </w:p>
        </w:tc>
        <w:tc>
          <w:tcPr>
            <w:tcW w:w="1548" w:type="dxa"/>
            <w:noWrap w:val="0"/>
            <w:vAlign w:val="center"/>
          </w:tcPr>
          <w:p w14:paraId="5AAAEC1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p>
        </w:tc>
      </w:tr>
      <w:tr w14:paraId="41E69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1" w:type="dxa"/>
            <w:noWrap w:val="0"/>
            <w:vAlign w:val="center"/>
          </w:tcPr>
          <w:p w14:paraId="4272A39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备注</w:t>
            </w:r>
          </w:p>
        </w:tc>
        <w:tc>
          <w:tcPr>
            <w:tcW w:w="6791" w:type="dxa"/>
            <w:gridSpan w:val="2"/>
            <w:noWrap w:val="0"/>
            <w:vAlign w:val="top"/>
          </w:tcPr>
          <w:p w14:paraId="050479EF">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涉及多种污染物类别时，</w:t>
            </w:r>
            <w:r>
              <w:rPr>
                <w:rFonts w:hint="eastAsia" w:ascii="宋体" w:hAnsi="宋体" w:cs="宋体"/>
                <w:color w:val="auto"/>
                <w:sz w:val="21"/>
                <w:szCs w:val="21"/>
                <w:highlight w:val="none"/>
                <w:lang w:eastAsia="zh-CN"/>
              </w:rPr>
              <w:t>裁量</w:t>
            </w:r>
            <w:r>
              <w:rPr>
                <w:rFonts w:hint="eastAsia" w:ascii="宋体" w:hAnsi="宋体" w:eastAsia="宋体" w:cs="宋体"/>
                <w:color w:val="auto"/>
                <w:sz w:val="21"/>
                <w:szCs w:val="21"/>
                <w:highlight w:val="none"/>
              </w:rPr>
              <w:t>标准以裁量等级最高为准</w:t>
            </w:r>
          </w:p>
        </w:tc>
      </w:tr>
    </w:tbl>
    <w:p w14:paraId="2E6258C1">
      <w:pPr>
        <w:rPr>
          <w:rFonts w:hint="eastAsia" w:ascii="宋体" w:hAnsi="宋体" w:eastAsia="宋体" w:cs="宋体"/>
          <w:sz w:val="21"/>
          <w:szCs w:val="21"/>
          <w:highlight w:val="none"/>
        </w:rPr>
      </w:pPr>
    </w:p>
    <w:p w14:paraId="258CE208">
      <w:pPr>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br w:type="page"/>
      </w:r>
    </w:p>
    <w:p w14:paraId="01BEBE4D">
      <w:pPr>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楷体_GB2312" w:hAnsi="楷体_GB2312" w:eastAsia="楷体_GB2312" w:cs="楷体_GB2312"/>
          <w:b/>
          <w:bCs/>
          <w:color w:val="auto"/>
          <w:sz w:val="28"/>
          <w:szCs w:val="28"/>
          <w:highlight w:val="none"/>
          <w:lang w:val="en-US" w:eastAsia="zh-CN"/>
        </w:rPr>
      </w:pPr>
      <w:r>
        <w:rPr>
          <w:rFonts w:hint="eastAsia" w:ascii="楷体_GB2312" w:hAnsi="楷体_GB2312" w:eastAsia="楷体_GB2312" w:cs="楷体_GB2312"/>
          <w:b/>
          <w:bCs/>
          <w:color w:val="auto"/>
          <w:sz w:val="28"/>
          <w:szCs w:val="28"/>
          <w:highlight w:val="none"/>
          <w:lang w:val="en-US" w:eastAsia="zh-CN"/>
        </w:rPr>
        <w:t>（四）大气污染防治类</w:t>
      </w:r>
    </w:p>
    <w:p w14:paraId="447C0878">
      <w:pPr>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楷体_GB2312" w:hAnsi="楷体_GB2312" w:eastAsia="楷体_GB2312" w:cs="楷体_GB2312"/>
          <w:b/>
          <w:bCs/>
          <w:color w:val="auto"/>
          <w:sz w:val="28"/>
          <w:szCs w:val="28"/>
          <w:highlight w:val="none"/>
          <w:lang w:val="en-US" w:eastAsia="zh-CN"/>
        </w:rPr>
      </w:pPr>
    </w:p>
    <w:p w14:paraId="39796590">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1.</w:t>
      </w:r>
      <w:r>
        <w:rPr>
          <w:rFonts w:hint="eastAsia" w:ascii="宋体" w:hAnsi="Times New Roman" w:cs="Times New Roman"/>
          <w:color w:val="auto"/>
          <w:kern w:val="0"/>
          <w:sz w:val="24"/>
        </w:rPr>
        <w:t>单位燃用不符合质量标准的煤炭、石油焦的</w:t>
      </w:r>
      <w:r>
        <w:rPr>
          <w:rFonts w:hint="eastAsia" w:ascii="宋体" w:hAnsi="Times New Roman" w:cs="Times New Roman"/>
          <w:color w:val="auto"/>
          <w:kern w:val="0"/>
          <w:sz w:val="24"/>
          <w:lang w:eastAsia="zh-CN"/>
        </w:rPr>
        <w:t>；</w:t>
      </w:r>
    </w:p>
    <w:p w14:paraId="12072FEC">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2.在禁燃区内新建、扩建燃用高污染燃料的设施的；</w:t>
      </w:r>
    </w:p>
    <w:p w14:paraId="2105D476">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3.在禁燃区内未停止燃用高污染燃料的；</w:t>
      </w:r>
    </w:p>
    <w:p w14:paraId="0E702F01">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4.在城市集中供热管网覆盖地区新建、扩建分散燃煤供热锅炉的；</w:t>
      </w:r>
    </w:p>
    <w:p w14:paraId="4CD97996">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5.未在要求期限内拆除已建成的不能达标排放的燃煤供热锅炉的；</w:t>
      </w:r>
    </w:p>
    <w:p w14:paraId="2CCFC6E7">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6.使用不符合规定标准或者要求的锅炉的；</w:t>
      </w:r>
    </w:p>
    <w:p w14:paraId="4D4D337A">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7.工业涂装企业等未使用低挥发性有机物含量的原辅材料和产品的；</w:t>
      </w:r>
    </w:p>
    <w:p w14:paraId="068DBB4F">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8.生产和使用产生含挥发性有机物原辅材料和产品，未在密闭空间或者设备中进行并安装、使用污染防治设施或者未采取减少废气排放措施的；</w:t>
      </w:r>
    </w:p>
    <w:p w14:paraId="0376A94B">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9.石油、化工以及其他生产和使用有机溶剂的企业，未采取措施对管道、设备进行日常维护、维修，减少物料泄漏或者对泄漏的物料未及时收集处理的；</w:t>
      </w:r>
    </w:p>
    <w:p w14:paraId="4AFA955B">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10.储油库、加油站和油罐车等，未按照国家规定安装并正常使用油气回收装置的；</w:t>
      </w:r>
    </w:p>
    <w:p w14:paraId="222CDF66">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11.</w:t>
      </w:r>
      <w:r>
        <w:rPr>
          <w:rFonts w:hint="default" w:ascii="宋体" w:hAnsi="Times New Roman" w:cs="Times New Roman"/>
          <w:color w:val="auto"/>
          <w:kern w:val="0"/>
          <w:sz w:val="24"/>
          <w:lang w:val="en-US" w:eastAsia="zh-CN"/>
        </w:rPr>
        <w:t>钢铁、建材、有色金属、石油、化工、制药、矿产开采等企业，未采取集中收集处理、密闭、围挡、遮盖、清扫、洒水等措施，控制、减少粉尘和气态污染物排放的</w:t>
      </w:r>
      <w:r>
        <w:rPr>
          <w:rFonts w:hint="eastAsia" w:ascii="宋体" w:hAnsi="Times New Roman" w:cs="Times New Roman"/>
          <w:color w:val="auto"/>
          <w:kern w:val="0"/>
          <w:sz w:val="24"/>
          <w:lang w:val="en-US" w:eastAsia="zh-CN"/>
        </w:rPr>
        <w:t>；</w:t>
      </w:r>
    </w:p>
    <w:p w14:paraId="6215AB7F">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12.工业生产、垃圾填埋或者其他活动中产生的可燃性气体未回收利用，不具备回收利用条件未进行防治污染处理的；</w:t>
      </w:r>
    </w:p>
    <w:p w14:paraId="5A190B80">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13.可燃性气体回收利用装置不能正常作业，未及时修复或者更新的；</w:t>
      </w:r>
    </w:p>
    <w:p w14:paraId="288B65ED">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14.在可燃性气体回收利用装置不能正常作业期间排放可燃性气体，未采取控制大气污染物排放措施的；</w:t>
      </w:r>
    </w:p>
    <w:p w14:paraId="08AC959B">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15.生产不符合大气污染物排放标准的机动车船、非道路移动机械、发动机的；</w:t>
      </w:r>
    </w:p>
    <w:p w14:paraId="748D735E">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16.机动车、非道路移动机械生产企业对发动机、污染控制装置弄虚作假、以次充好，冒充排放检验合格产品出厂销售的；</w:t>
      </w:r>
    </w:p>
    <w:p w14:paraId="10E103A0">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17.机动车生产、进口企业未按照规定向社会公布其生产、进口机动车车型的排放检验信息或者污染控制技术信息的；</w:t>
      </w:r>
    </w:p>
    <w:p w14:paraId="41F80F66">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18.生产、进口或者销售能够篡改、屏蔽、伪造机动车、非道路移动机械、发动机排放检验数据的装置或者为虚假排放检验提供条件的检验设备的；</w:t>
      </w:r>
    </w:p>
    <w:p w14:paraId="1301D521">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19.装卸物料未采取密闭或者喷淋等方式控制扬尘排放的；</w:t>
      </w:r>
    </w:p>
    <w:p w14:paraId="222171DC">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20.未密闭煤炭、煤矸石、煤渣、煤灰、水泥、石灰、石膏、砂土等易产生扬尘的物料的；</w:t>
      </w:r>
    </w:p>
    <w:p w14:paraId="5F294A6D">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21.对不能密闭的易产生扬尘的物料，未设置不低于堆放物高度的严密围挡，或者未采取有效覆盖措施防治扬尘污染的；</w:t>
      </w:r>
    </w:p>
    <w:p w14:paraId="20D1DB21">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22.</w:t>
      </w:r>
      <w:r>
        <w:rPr>
          <w:rFonts w:hint="default" w:ascii="宋体" w:hAnsi="Times New Roman" w:cs="Times New Roman"/>
          <w:color w:val="auto"/>
          <w:kern w:val="0"/>
          <w:sz w:val="24"/>
          <w:lang w:val="en-US" w:eastAsia="zh-CN"/>
        </w:rPr>
        <w:t>单位存放煤炭、煤矸石、煤渣、煤灰等物料，未采取防燃措施的</w:t>
      </w:r>
      <w:r>
        <w:rPr>
          <w:rFonts w:hint="eastAsia" w:ascii="宋体" w:hAnsi="Times New Roman" w:cs="Times New Roman"/>
          <w:color w:val="auto"/>
          <w:kern w:val="0"/>
          <w:sz w:val="24"/>
          <w:lang w:val="en-US" w:eastAsia="zh-CN"/>
        </w:rPr>
        <w:t>；</w:t>
      </w:r>
    </w:p>
    <w:p w14:paraId="3C933078">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23.码头、矿山、填埋场和消纳场未采取有效措施防治扬尘污染的；</w:t>
      </w:r>
    </w:p>
    <w:p w14:paraId="07AFE336">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24.排放有毒有害大气污染物名录中所列有毒有害大气污染物的企业事业单位，未建设环境风险预警体系、排查环境安全隐患并采取有效措施防范环境风险的；</w:t>
      </w:r>
    </w:p>
    <w:p w14:paraId="4DEC60CC">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25.向大气排放持久性有机污染物的企业事业单位和其他生产经营者以及废弃物焚烧设施的运营单位，未按照国家有关规定采取有利于减少持久性有机污染物排放的技术方法和工艺，配备净化装置的；</w:t>
      </w:r>
    </w:p>
    <w:p w14:paraId="3C919D96">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26.未采取措施防止排放恶臭气体的；</w:t>
      </w:r>
    </w:p>
    <w:p w14:paraId="36E02F1E">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27.从事服装干洗和机动车维修等服务活动，未设置异味和废气处理装置等污染防治设施并保持正常使用，影响周边环境的；</w:t>
      </w:r>
    </w:p>
    <w:p w14:paraId="254699B4">
      <w:pPr>
        <w:widowControl w:val="0"/>
        <w:adjustRightInd w:val="0"/>
        <w:snapToGrid w:val="0"/>
        <w:spacing w:line="360" w:lineRule="auto"/>
        <w:ind w:firstLine="480" w:firstLineChars="200"/>
        <w:jc w:val="both"/>
        <w:rPr>
          <w:rFonts w:hint="default"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28.在人口集中地区从事露天喷漆、喷涂、喷砂、制作玻璃钢以及其他散发有毒有害气体的作业的；</w:t>
      </w:r>
    </w:p>
    <w:p w14:paraId="5A75E2F5">
      <w:pPr>
        <w:rPr>
          <w:rFonts w:hint="default"/>
          <w:highlight w:val="none"/>
          <w:lang w:val="en-US"/>
        </w:rPr>
      </w:pPr>
      <w:r>
        <w:rPr>
          <w:rFonts w:hint="default"/>
          <w:highlight w:val="none"/>
          <w:lang w:val="en-US"/>
        </w:rPr>
        <w:br w:type="page"/>
      </w:r>
    </w:p>
    <w:tbl>
      <w:tblPr>
        <w:tblStyle w:val="8"/>
        <w:tblW w:w="506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29"/>
        <w:gridCol w:w="5970"/>
        <w:gridCol w:w="1371"/>
      </w:tblGrid>
      <w:tr w14:paraId="1A522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71" w:type="dxa"/>
            <w:gridSpan w:val="3"/>
            <w:noWrap w:val="0"/>
            <w:vAlign w:val="center"/>
          </w:tcPr>
          <w:p w14:paraId="39AE4EA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四</w:t>
            </w:r>
            <w:r>
              <w:rPr>
                <w:rFonts w:hint="eastAsia" w:ascii="宋体" w:hAnsi="宋体" w:eastAsia="宋体" w:cs="宋体"/>
                <w:color w:val="auto"/>
                <w:sz w:val="21"/>
                <w:szCs w:val="21"/>
                <w:highlight w:val="none"/>
              </w:rPr>
              <w:t>）大气污染防治类</w:t>
            </w:r>
          </w:p>
        </w:tc>
      </w:tr>
      <w:tr w14:paraId="519AB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9" w:type="dxa"/>
            <w:noWrap w:val="0"/>
            <w:vAlign w:val="center"/>
          </w:tcPr>
          <w:p w14:paraId="6A9EC5C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7342" w:type="dxa"/>
            <w:gridSpan w:val="2"/>
            <w:noWrap w:val="0"/>
            <w:vAlign w:val="center"/>
          </w:tcPr>
          <w:p w14:paraId="3CC7F2B2">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r>
      <w:tr w14:paraId="3134C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9" w:type="dxa"/>
            <w:noWrap w:val="0"/>
            <w:vAlign w:val="center"/>
          </w:tcPr>
          <w:p w14:paraId="5D86B07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7342" w:type="dxa"/>
            <w:gridSpan w:val="2"/>
            <w:noWrap w:val="0"/>
            <w:vAlign w:val="center"/>
          </w:tcPr>
          <w:p w14:paraId="65FC45B0">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单位燃用不符合质量标准的煤炭、石油焦的</w:t>
            </w:r>
          </w:p>
        </w:tc>
      </w:tr>
      <w:tr w14:paraId="36D8C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9" w:type="dxa"/>
            <w:noWrap w:val="0"/>
            <w:vAlign w:val="center"/>
          </w:tcPr>
          <w:p w14:paraId="61B4A99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7342" w:type="dxa"/>
            <w:gridSpan w:val="2"/>
            <w:noWrap w:val="0"/>
            <w:vAlign w:val="center"/>
          </w:tcPr>
          <w:p w14:paraId="4040E074">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《中华人民共和国生态环境法典》第二百零四条第一款  禁止进口、销售或者燃用不符合质量标准的煤炭，鼓励燃用优质煤炭。</w:t>
            </w:r>
          </w:p>
          <w:p w14:paraId="54D60E13">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《中华人民共和国生态环境法典》第二百零六条第二款　禁止进口、销售或者使用不符合质量标准的石油焦。</w:t>
            </w:r>
          </w:p>
        </w:tc>
      </w:tr>
      <w:tr w14:paraId="4C7A4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9" w:type="dxa"/>
            <w:noWrap w:val="0"/>
            <w:vAlign w:val="center"/>
          </w:tcPr>
          <w:p w14:paraId="55DBF85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7342" w:type="dxa"/>
            <w:gridSpan w:val="2"/>
            <w:noWrap w:val="0"/>
            <w:vAlign w:val="center"/>
          </w:tcPr>
          <w:p w14:paraId="473781EB">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《中华人民共和国生态环境法典》第一千一百一十七条  违反本法规定，单位燃用不符合质量标准的煤炭或者使用不符合质量标准的石油焦的，由生态环境主管部门责令改正，处货值金额一倍以上五倍以下的罚款。</w:t>
            </w:r>
          </w:p>
        </w:tc>
      </w:tr>
      <w:tr w14:paraId="6A76B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9" w:type="dxa"/>
            <w:noWrap w:val="0"/>
            <w:vAlign w:val="center"/>
          </w:tcPr>
          <w:p w14:paraId="063EF47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971" w:type="dxa"/>
            <w:noWrap w:val="0"/>
            <w:vAlign w:val="center"/>
          </w:tcPr>
          <w:p w14:paraId="56DC416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371" w:type="dxa"/>
            <w:noWrap w:val="0"/>
            <w:vAlign w:val="center"/>
          </w:tcPr>
          <w:p w14:paraId="32A0EED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2B6E1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729" w:type="dxa"/>
            <w:vMerge w:val="restart"/>
            <w:noWrap w:val="0"/>
            <w:vAlign w:val="center"/>
          </w:tcPr>
          <w:p w14:paraId="3C486A1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污染防治设施建设使用情况</w:t>
            </w:r>
          </w:p>
        </w:tc>
        <w:tc>
          <w:tcPr>
            <w:tcW w:w="5971" w:type="dxa"/>
            <w:noWrap w:val="0"/>
            <w:vAlign w:val="center"/>
          </w:tcPr>
          <w:p w14:paraId="26BA828E">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安装污染防治设施，且规范使用的</w:t>
            </w:r>
          </w:p>
        </w:tc>
        <w:tc>
          <w:tcPr>
            <w:tcW w:w="1371" w:type="dxa"/>
            <w:noWrap w:val="0"/>
            <w:vAlign w:val="center"/>
          </w:tcPr>
          <w:p w14:paraId="4454924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178EF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9" w:type="dxa"/>
            <w:vMerge w:val="continue"/>
            <w:noWrap w:val="0"/>
            <w:vAlign w:val="center"/>
          </w:tcPr>
          <w:p w14:paraId="7EB56531">
            <w:pPr>
              <w:rPr>
                <w:rFonts w:hint="eastAsia" w:ascii="宋体" w:hAnsi="宋体" w:eastAsia="宋体" w:cs="宋体"/>
                <w:color w:val="auto"/>
                <w:sz w:val="21"/>
                <w:szCs w:val="21"/>
                <w:highlight w:val="none"/>
              </w:rPr>
            </w:pPr>
          </w:p>
        </w:tc>
        <w:tc>
          <w:tcPr>
            <w:tcW w:w="5971" w:type="dxa"/>
            <w:noWrap w:val="0"/>
            <w:vAlign w:val="center"/>
          </w:tcPr>
          <w:p w14:paraId="1712907F">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安装污染防治设施，但未规范使用的</w:t>
            </w:r>
          </w:p>
        </w:tc>
        <w:tc>
          <w:tcPr>
            <w:tcW w:w="1371" w:type="dxa"/>
            <w:noWrap w:val="0"/>
            <w:vAlign w:val="center"/>
          </w:tcPr>
          <w:p w14:paraId="2612EA9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r>
      <w:tr w14:paraId="758F9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9" w:type="dxa"/>
            <w:vMerge w:val="continue"/>
            <w:noWrap w:val="0"/>
            <w:vAlign w:val="center"/>
          </w:tcPr>
          <w:p w14:paraId="79BBC5E1">
            <w:pPr>
              <w:rPr>
                <w:rFonts w:hint="eastAsia" w:ascii="宋体" w:hAnsi="宋体" w:eastAsia="宋体" w:cs="宋体"/>
                <w:color w:val="auto"/>
                <w:sz w:val="21"/>
                <w:szCs w:val="21"/>
                <w:highlight w:val="none"/>
              </w:rPr>
            </w:pPr>
          </w:p>
        </w:tc>
        <w:tc>
          <w:tcPr>
            <w:tcW w:w="5971" w:type="dxa"/>
            <w:noWrap w:val="0"/>
            <w:vAlign w:val="center"/>
          </w:tcPr>
          <w:p w14:paraId="456F53E9">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安装污染防治设施，但未使用的</w:t>
            </w:r>
          </w:p>
        </w:tc>
        <w:tc>
          <w:tcPr>
            <w:tcW w:w="1371" w:type="dxa"/>
            <w:noWrap w:val="0"/>
            <w:vAlign w:val="center"/>
          </w:tcPr>
          <w:p w14:paraId="380C9C7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073FC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9" w:type="dxa"/>
            <w:vMerge w:val="continue"/>
            <w:noWrap w:val="0"/>
            <w:vAlign w:val="center"/>
          </w:tcPr>
          <w:p w14:paraId="1BD1EEE2">
            <w:pPr>
              <w:rPr>
                <w:rFonts w:hint="eastAsia" w:ascii="宋体" w:hAnsi="宋体" w:eastAsia="宋体" w:cs="宋体"/>
                <w:color w:val="auto"/>
                <w:sz w:val="21"/>
                <w:szCs w:val="21"/>
                <w:highlight w:val="none"/>
              </w:rPr>
            </w:pPr>
          </w:p>
        </w:tc>
        <w:tc>
          <w:tcPr>
            <w:tcW w:w="5971" w:type="dxa"/>
            <w:noWrap w:val="0"/>
            <w:vAlign w:val="center"/>
          </w:tcPr>
          <w:p w14:paraId="1B25254D">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未安装污染防治设施的</w:t>
            </w:r>
          </w:p>
        </w:tc>
        <w:tc>
          <w:tcPr>
            <w:tcW w:w="1371" w:type="dxa"/>
            <w:noWrap w:val="0"/>
            <w:vAlign w:val="center"/>
          </w:tcPr>
          <w:p w14:paraId="01422C9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0D5A7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9" w:type="dxa"/>
            <w:vMerge w:val="restart"/>
            <w:noWrap w:val="0"/>
            <w:vAlign w:val="center"/>
          </w:tcPr>
          <w:p w14:paraId="4F55D247">
            <w:pPr>
              <w:jc w:val="center"/>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违法行为发生地</w:t>
            </w:r>
          </w:p>
        </w:tc>
        <w:tc>
          <w:tcPr>
            <w:tcW w:w="5971" w:type="dxa"/>
            <w:noWrap w:val="0"/>
            <w:vAlign w:val="top"/>
          </w:tcPr>
          <w:p w14:paraId="709535BE">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二类环境空气功能区</w:t>
            </w:r>
            <w:r>
              <w:rPr>
                <w:rFonts w:hint="eastAsia" w:ascii="宋体" w:hAnsi="宋体" w:eastAsia="宋体" w:cs="宋体"/>
                <w:color w:val="auto"/>
                <w:sz w:val="21"/>
                <w:szCs w:val="21"/>
                <w:highlight w:val="none"/>
              </w:rPr>
              <w:t>（工业区和农村地区）</w:t>
            </w:r>
          </w:p>
        </w:tc>
        <w:tc>
          <w:tcPr>
            <w:tcW w:w="1371" w:type="dxa"/>
            <w:noWrap w:val="0"/>
            <w:vAlign w:val="center"/>
          </w:tcPr>
          <w:p w14:paraId="773183F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42A91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9" w:type="dxa"/>
            <w:vMerge w:val="continue"/>
            <w:noWrap w:val="0"/>
            <w:vAlign w:val="center"/>
          </w:tcPr>
          <w:p w14:paraId="7DFFB998">
            <w:pPr>
              <w:rPr>
                <w:rFonts w:hint="eastAsia" w:ascii="宋体" w:hAnsi="宋体" w:eastAsia="宋体" w:cs="宋体"/>
                <w:color w:val="auto"/>
                <w:sz w:val="21"/>
                <w:szCs w:val="21"/>
                <w:highlight w:val="none"/>
              </w:rPr>
            </w:pPr>
          </w:p>
        </w:tc>
        <w:tc>
          <w:tcPr>
            <w:tcW w:w="5971" w:type="dxa"/>
            <w:noWrap w:val="0"/>
            <w:vAlign w:val="top"/>
          </w:tcPr>
          <w:p w14:paraId="07A2A2DA">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二类环境空气功能区</w:t>
            </w:r>
            <w:r>
              <w:rPr>
                <w:rFonts w:hint="eastAsia" w:ascii="宋体" w:hAnsi="宋体" w:eastAsia="宋体" w:cs="宋体"/>
                <w:color w:val="auto"/>
                <w:sz w:val="21"/>
                <w:szCs w:val="21"/>
                <w:highlight w:val="none"/>
              </w:rPr>
              <w:t>（居民区、商业交通居民混合区、文化区）</w:t>
            </w:r>
          </w:p>
        </w:tc>
        <w:tc>
          <w:tcPr>
            <w:tcW w:w="1371" w:type="dxa"/>
            <w:noWrap w:val="0"/>
            <w:vAlign w:val="center"/>
          </w:tcPr>
          <w:p w14:paraId="467AF3F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09BEF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9" w:type="dxa"/>
            <w:vMerge w:val="continue"/>
            <w:noWrap w:val="0"/>
            <w:vAlign w:val="center"/>
          </w:tcPr>
          <w:p w14:paraId="17E91B39">
            <w:pPr>
              <w:rPr>
                <w:rFonts w:hint="eastAsia" w:ascii="宋体" w:hAnsi="宋体" w:eastAsia="宋体" w:cs="宋体"/>
                <w:color w:val="auto"/>
                <w:sz w:val="21"/>
                <w:szCs w:val="21"/>
                <w:highlight w:val="none"/>
              </w:rPr>
            </w:pPr>
          </w:p>
        </w:tc>
        <w:tc>
          <w:tcPr>
            <w:tcW w:w="5971" w:type="dxa"/>
            <w:noWrap w:val="0"/>
            <w:vAlign w:val="top"/>
          </w:tcPr>
          <w:p w14:paraId="68F3CE5D">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一类环境空气功能区</w:t>
            </w:r>
          </w:p>
        </w:tc>
        <w:tc>
          <w:tcPr>
            <w:tcW w:w="1371" w:type="dxa"/>
            <w:noWrap w:val="0"/>
            <w:vAlign w:val="center"/>
          </w:tcPr>
          <w:p w14:paraId="4FEFFCE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18493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9" w:type="dxa"/>
            <w:vMerge w:val="restart"/>
            <w:noWrap w:val="0"/>
            <w:vAlign w:val="center"/>
          </w:tcPr>
          <w:p w14:paraId="0D19A29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累计燃用</w:t>
            </w:r>
          </w:p>
          <w:p w14:paraId="02EDEC9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吨数</w:t>
            </w:r>
          </w:p>
        </w:tc>
        <w:tc>
          <w:tcPr>
            <w:tcW w:w="5971" w:type="dxa"/>
            <w:noWrap w:val="0"/>
            <w:vAlign w:val="top"/>
          </w:tcPr>
          <w:p w14:paraId="1FB4E35E">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燃用不符合质量标准的煤炭、石油焦不足1吨的</w:t>
            </w:r>
          </w:p>
        </w:tc>
        <w:tc>
          <w:tcPr>
            <w:tcW w:w="1371" w:type="dxa"/>
            <w:noWrap w:val="0"/>
            <w:vAlign w:val="top"/>
          </w:tcPr>
          <w:p w14:paraId="5A3AA4A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6786C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9" w:type="dxa"/>
            <w:vMerge w:val="continue"/>
            <w:noWrap w:val="0"/>
            <w:vAlign w:val="top"/>
          </w:tcPr>
          <w:p w14:paraId="5AC6C9CB">
            <w:pPr>
              <w:rPr>
                <w:rFonts w:hint="eastAsia" w:ascii="宋体" w:hAnsi="宋体" w:eastAsia="宋体" w:cs="宋体"/>
                <w:color w:val="auto"/>
                <w:sz w:val="21"/>
                <w:szCs w:val="21"/>
                <w:highlight w:val="none"/>
              </w:rPr>
            </w:pPr>
          </w:p>
        </w:tc>
        <w:tc>
          <w:tcPr>
            <w:tcW w:w="5971" w:type="dxa"/>
            <w:noWrap w:val="0"/>
            <w:vAlign w:val="top"/>
          </w:tcPr>
          <w:p w14:paraId="72D77A7D">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燃用不符合质量标准的煤炭、石油焦 1吨以上不足5吨的</w:t>
            </w:r>
          </w:p>
        </w:tc>
        <w:tc>
          <w:tcPr>
            <w:tcW w:w="1371" w:type="dxa"/>
            <w:noWrap w:val="0"/>
            <w:vAlign w:val="center"/>
          </w:tcPr>
          <w:p w14:paraId="211DE34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15BC5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9" w:type="dxa"/>
            <w:vMerge w:val="continue"/>
            <w:noWrap w:val="0"/>
            <w:vAlign w:val="top"/>
          </w:tcPr>
          <w:p w14:paraId="6E26B2E1">
            <w:pPr>
              <w:rPr>
                <w:rFonts w:hint="eastAsia" w:ascii="宋体" w:hAnsi="宋体" w:eastAsia="宋体" w:cs="宋体"/>
                <w:color w:val="auto"/>
                <w:sz w:val="21"/>
                <w:szCs w:val="21"/>
                <w:highlight w:val="none"/>
              </w:rPr>
            </w:pPr>
          </w:p>
        </w:tc>
        <w:tc>
          <w:tcPr>
            <w:tcW w:w="5971" w:type="dxa"/>
            <w:noWrap w:val="0"/>
            <w:vAlign w:val="top"/>
          </w:tcPr>
          <w:p w14:paraId="7EC37FC1">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燃用不符合质量标准的煤炭、石油焦5吨以上的</w:t>
            </w:r>
          </w:p>
        </w:tc>
        <w:tc>
          <w:tcPr>
            <w:tcW w:w="1371" w:type="dxa"/>
            <w:noWrap w:val="0"/>
            <w:vAlign w:val="top"/>
          </w:tcPr>
          <w:p w14:paraId="22F768D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6A56B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9" w:type="dxa"/>
            <w:vMerge w:val="restart"/>
            <w:noWrap w:val="0"/>
            <w:vAlign w:val="center"/>
          </w:tcPr>
          <w:p w14:paraId="6BEE6AD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煤炭、石油焦质量</w:t>
            </w:r>
          </w:p>
        </w:tc>
        <w:tc>
          <w:tcPr>
            <w:tcW w:w="5971" w:type="dxa"/>
            <w:noWrap w:val="0"/>
            <w:vAlign w:val="center"/>
          </w:tcPr>
          <w:p w14:paraId="5563F234">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1个参数不符合质量标准</w:t>
            </w:r>
          </w:p>
        </w:tc>
        <w:tc>
          <w:tcPr>
            <w:tcW w:w="1371" w:type="dxa"/>
            <w:noWrap w:val="0"/>
            <w:vAlign w:val="center"/>
          </w:tcPr>
          <w:p w14:paraId="330BE32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328BF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9" w:type="dxa"/>
            <w:vMerge w:val="continue"/>
            <w:noWrap w:val="0"/>
            <w:vAlign w:val="center"/>
          </w:tcPr>
          <w:p w14:paraId="79983C5A">
            <w:pPr>
              <w:rPr>
                <w:rFonts w:hint="eastAsia" w:ascii="宋体" w:hAnsi="宋体" w:eastAsia="宋体" w:cs="宋体"/>
                <w:color w:val="auto"/>
                <w:sz w:val="21"/>
                <w:szCs w:val="21"/>
                <w:highlight w:val="none"/>
              </w:rPr>
            </w:pPr>
          </w:p>
        </w:tc>
        <w:tc>
          <w:tcPr>
            <w:tcW w:w="5971" w:type="dxa"/>
            <w:noWrap w:val="0"/>
            <w:vAlign w:val="bottom"/>
          </w:tcPr>
          <w:p w14:paraId="7A27AFA5">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2个参数不符合质量标准</w:t>
            </w:r>
          </w:p>
        </w:tc>
        <w:tc>
          <w:tcPr>
            <w:tcW w:w="1371" w:type="dxa"/>
            <w:noWrap w:val="0"/>
            <w:vAlign w:val="bottom"/>
          </w:tcPr>
          <w:p w14:paraId="4A06874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065BF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9" w:type="dxa"/>
            <w:vMerge w:val="continue"/>
            <w:noWrap w:val="0"/>
            <w:vAlign w:val="center"/>
          </w:tcPr>
          <w:p w14:paraId="5ADFEC97">
            <w:pPr>
              <w:rPr>
                <w:rFonts w:hint="eastAsia" w:ascii="宋体" w:hAnsi="宋体" w:eastAsia="宋体" w:cs="宋体"/>
                <w:color w:val="auto"/>
                <w:sz w:val="21"/>
                <w:szCs w:val="21"/>
                <w:highlight w:val="none"/>
              </w:rPr>
            </w:pPr>
          </w:p>
        </w:tc>
        <w:tc>
          <w:tcPr>
            <w:tcW w:w="5971" w:type="dxa"/>
            <w:noWrap w:val="0"/>
            <w:vAlign w:val="bottom"/>
          </w:tcPr>
          <w:p w14:paraId="53C8D89B">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3个及以上参数不符合质量标准</w:t>
            </w:r>
          </w:p>
        </w:tc>
        <w:tc>
          <w:tcPr>
            <w:tcW w:w="1371" w:type="dxa"/>
            <w:noWrap w:val="0"/>
            <w:vAlign w:val="bottom"/>
          </w:tcPr>
          <w:p w14:paraId="663876E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bl>
    <w:p w14:paraId="18D56D4D">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98"/>
        <w:gridCol w:w="5827"/>
        <w:gridCol w:w="1323"/>
      </w:tblGrid>
      <w:tr w14:paraId="3081D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48" w:type="dxa"/>
            <w:gridSpan w:val="3"/>
            <w:noWrap w:val="0"/>
            <w:vAlign w:val="center"/>
          </w:tcPr>
          <w:p w14:paraId="691571C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四</w:t>
            </w:r>
            <w:r>
              <w:rPr>
                <w:rFonts w:hint="eastAsia" w:ascii="宋体" w:hAnsi="宋体" w:eastAsia="宋体" w:cs="宋体"/>
                <w:color w:val="auto"/>
                <w:sz w:val="21"/>
                <w:szCs w:val="21"/>
                <w:highlight w:val="none"/>
              </w:rPr>
              <w:t>）大气污染防治类</w:t>
            </w:r>
          </w:p>
        </w:tc>
      </w:tr>
      <w:tr w14:paraId="6801A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noWrap w:val="0"/>
            <w:vAlign w:val="center"/>
          </w:tcPr>
          <w:p w14:paraId="114EB25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7150" w:type="dxa"/>
            <w:gridSpan w:val="2"/>
            <w:noWrap w:val="0"/>
            <w:vAlign w:val="center"/>
          </w:tcPr>
          <w:p w14:paraId="3162455B">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r>
      <w:tr w14:paraId="40742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noWrap w:val="0"/>
            <w:vAlign w:val="center"/>
          </w:tcPr>
          <w:p w14:paraId="4D2E07B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7150" w:type="dxa"/>
            <w:gridSpan w:val="2"/>
            <w:noWrap w:val="0"/>
            <w:vAlign w:val="center"/>
          </w:tcPr>
          <w:p w14:paraId="2FE5DB6E">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在禁燃区内新建、扩建燃用高污染燃料的设施的</w:t>
            </w:r>
          </w:p>
        </w:tc>
      </w:tr>
      <w:tr w14:paraId="7F732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noWrap w:val="0"/>
            <w:vAlign w:val="center"/>
          </w:tcPr>
          <w:p w14:paraId="6A69CF1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7150" w:type="dxa"/>
            <w:gridSpan w:val="2"/>
            <w:noWrap w:val="0"/>
            <w:vAlign w:val="center"/>
          </w:tcPr>
          <w:p w14:paraId="2C142051">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《中华人民共和国生态环境法典》第二百零七条</w:t>
            </w:r>
            <w:r>
              <w:rPr>
                <w:rFonts w:hint="eastAsia" w:ascii="宋体" w:hAnsi="宋体" w:eastAsia="宋体" w:cs="宋体"/>
                <w:color w:val="auto"/>
                <w:sz w:val="21"/>
                <w:szCs w:val="21"/>
                <w:highlight w:val="none"/>
                <w:lang w:val="en-US" w:eastAsia="zh-CN"/>
              </w:rPr>
              <w:t>第二款</w:t>
            </w:r>
            <w:r>
              <w:rPr>
                <w:rFonts w:hint="eastAsia" w:ascii="宋体" w:hAnsi="宋体" w:eastAsia="宋体" w:cs="宋体"/>
                <w:color w:val="auto"/>
                <w:sz w:val="21"/>
                <w:szCs w:val="21"/>
                <w:highlight w:val="none"/>
              </w:rPr>
              <w:t xml:space="preserve">  在禁燃区内，禁止销售、燃用高污染燃料；禁止新建、扩建燃用高污染燃料的设施，已建成的，应当在设区的市级以上地方人民政府规定的期限内改用天然气、页岩气、液化石油气、电或者其他清洁低碳能源。</w:t>
            </w:r>
          </w:p>
        </w:tc>
      </w:tr>
      <w:tr w14:paraId="2AEF5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noWrap w:val="0"/>
            <w:vAlign w:val="center"/>
          </w:tcPr>
          <w:p w14:paraId="0A9446B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7150" w:type="dxa"/>
            <w:gridSpan w:val="2"/>
            <w:noWrap w:val="0"/>
            <w:vAlign w:val="center"/>
          </w:tcPr>
          <w:p w14:paraId="59904695">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《中华人民共和国生态环境法典》第一千一百一十九条</w:t>
            </w:r>
            <w:r>
              <w:rPr>
                <w:rFonts w:hint="eastAsia" w:ascii="宋体" w:hAnsi="宋体" w:eastAsia="宋体" w:cs="宋体"/>
                <w:color w:val="auto"/>
                <w:sz w:val="21"/>
                <w:szCs w:val="21"/>
                <w:highlight w:val="none"/>
                <w:lang w:val="en-US" w:eastAsia="zh-CN"/>
              </w:rPr>
              <w:t>第一款第一项</w:t>
            </w:r>
            <w:r>
              <w:rPr>
                <w:rFonts w:hint="eastAsia" w:ascii="宋体" w:hAnsi="宋体" w:eastAsia="宋体" w:cs="宋体"/>
                <w:color w:val="auto"/>
                <w:sz w:val="21"/>
                <w:szCs w:val="21"/>
                <w:highlight w:val="none"/>
              </w:rPr>
              <w:t xml:space="preserve">  违反本法规定，有下列情形之一的，由生态环境主管部门没收燃用高污染燃料的设施、燃煤供热锅炉并组织拆除，处二万元以上二十万元以下的罚款：</w:t>
            </w:r>
          </w:p>
          <w:p w14:paraId="7BC5E704">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（一）在禁燃区内新建、扩建燃用高污染燃料的设施；</w:t>
            </w:r>
          </w:p>
        </w:tc>
      </w:tr>
      <w:tr w14:paraId="2677E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noWrap w:val="0"/>
            <w:vAlign w:val="center"/>
          </w:tcPr>
          <w:p w14:paraId="5848F56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827" w:type="dxa"/>
            <w:noWrap w:val="0"/>
            <w:vAlign w:val="center"/>
          </w:tcPr>
          <w:p w14:paraId="17C1766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323" w:type="dxa"/>
            <w:noWrap w:val="0"/>
            <w:vAlign w:val="center"/>
          </w:tcPr>
          <w:p w14:paraId="226EA3F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6864B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vMerge w:val="restart"/>
            <w:noWrap w:val="0"/>
            <w:vAlign w:val="center"/>
          </w:tcPr>
          <w:p w14:paraId="450C90F9">
            <w:pPr>
              <w:keepNext w:val="0"/>
              <w:keepLines w:val="0"/>
              <w:pageBreakBefore w:val="0"/>
              <w:widowControl w:val="0"/>
              <w:shd w:val="clear" w:color="auto" w:fill="auto"/>
              <w:kinsoku/>
              <w:wordWrap/>
              <w:overflowPunct w:val="0"/>
              <w:topLinePunct/>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违法事实</w:t>
            </w:r>
          </w:p>
        </w:tc>
        <w:tc>
          <w:tcPr>
            <w:tcW w:w="5827" w:type="dxa"/>
            <w:noWrap w:val="0"/>
            <w:vAlign w:val="center"/>
          </w:tcPr>
          <w:p w14:paraId="4727E85E">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420" w:firstLineChars="20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燃用高污染燃料的设施已开工建设，但未建成</w:t>
            </w:r>
          </w:p>
        </w:tc>
        <w:tc>
          <w:tcPr>
            <w:tcW w:w="1323" w:type="dxa"/>
            <w:noWrap w:val="0"/>
            <w:vAlign w:val="center"/>
          </w:tcPr>
          <w:p w14:paraId="4A10351D">
            <w:pPr>
              <w:keepNext w:val="0"/>
              <w:keepLines w:val="0"/>
              <w:pageBreakBefore w:val="0"/>
              <w:widowControl w:val="0"/>
              <w:shd w:val="clear" w:color="auto" w:fill="auto"/>
              <w:kinsoku/>
              <w:wordWrap/>
              <w:overflowPunct w:val="0"/>
              <w:topLinePunct/>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6B529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vMerge w:val="continue"/>
            <w:noWrap w:val="0"/>
            <w:vAlign w:val="center"/>
          </w:tcPr>
          <w:p w14:paraId="3371BDFA">
            <w:pPr>
              <w:keepNext w:val="0"/>
              <w:keepLines w:val="0"/>
              <w:pageBreakBefore w:val="0"/>
              <w:widowControl w:val="0"/>
              <w:shd w:val="clear" w:color="auto" w:fill="auto"/>
              <w:kinsoku/>
              <w:wordWrap/>
              <w:overflowPunct w:val="0"/>
              <w:topLinePunct/>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p>
        </w:tc>
        <w:tc>
          <w:tcPr>
            <w:tcW w:w="5827" w:type="dxa"/>
            <w:noWrap w:val="0"/>
            <w:vAlign w:val="center"/>
          </w:tcPr>
          <w:p w14:paraId="12887D5E">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420" w:firstLineChars="20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燃用高污染燃料的设施已建成，但未使用</w:t>
            </w:r>
          </w:p>
        </w:tc>
        <w:tc>
          <w:tcPr>
            <w:tcW w:w="1323" w:type="dxa"/>
            <w:noWrap w:val="0"/>
            <w:vAlign w:val="center"/>
          </w:tcPr>
          <w:p w14:paraId="51119141">
            <w:pPr>
              <w:keepNext w:val="0"/>
              <w:keepLines w:val="0"/>
              <w:pageBreakBefore w:val="0"/>
              <w:widowControl w:val="0"/>
              <w:shd w:val="clear" w:color="auto" w:fill="auto"/>
              <w:kinsoku/>
              <w:wordWrap/>
              <w:overflowPunct w:val="0"/>
              <w:topLinePunct/>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3</w:t>
            </w:r>
          </w:p>
        </w:tc>
      </w:tr>
      <w:tr w14:paraId="137E3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vMerge w:val="continue"/>
            <w:noWrap w:val="0"/>
            <w:vAlign w:val="center"/>
          </w:tcPr>
          <w:p w14:paraId="4A6FAA26">
            <w:pPr>
              <w:keepNext w:val="0"/>
              <w:keepLines w:val="0"/>
              <w:pageBreakBefore w:val="0"/>
              <w:widowControl w:val="0"/>
              <w:shd w:val="clear" w:color="auto" w:fill="auto"/>
              <w:kinsoku/>
              <w:wordWrap/>
              <w:overflowPunct w:val="0"/>
              <w:topLinePunct/>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p>
        </w:tc>
        <w:tc>
          <w:tcPr>
            <w:tcW w:w="5827" w:type="dxa"/>
            <w:noWrap w:val="0"/>
            <w:vAlign w:val="center"/>
          </w:tcPr>
          <w:p w14:paraId="486EA1E9">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420" w:firstLineChars="20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燃用高污染燃料的设施已建成使用，或未及时自行拆除</w:t>
            </w:r>
          </w:p>
        </w:tc>
        <w:tc>
          <w:tcPr>
            <w:tcW w:w="1323" w:type="dxa"/>
            <w:noWrap w:val="0"/>
            <w:vAlign w:val="center"/>
          </w:tcPr>
          <w:p w14:paraId="17F4E163">
            <w:pPr>
              <w:keepNext w:val="0"/>
              <w:keepLines w:val="0"/>
              <w:pageBreakBefore w:val="0"/>
              <w:widowControl w:val="0"/>
              <w:shd w:val="clear" w:color="auto" w:fill="auto"/>
              <w:kinsoku/>
              <w:wordWrap/>
              <w:overflowPunct w:val="0"/>
              <w:topLinePunct/>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5</w:t>
            </w:r>
          </w:p>
        </w:tc>
      </w:tr>
      <w:tr w14:paraId="5CD88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vMerge w:val="restart"/>
            <w:noWrap w:val="0"/>
            <w:vAlign w:val="center"/>
          </w:tcPr>
          <w:p w14:paraId="099679F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污染防治设施建设使用情况</w:t>
            </w:r>
          </w:p>
        </w:tc>
        <w:tc>
          <w:tcPr>
            <w:tcW w:w="5827" w:type="dxa"/>
            <w:noWrap w:val="0"/>
            <w:vAlign w:val="center"/>
          </w:tcPr>
          <w:p w14:paraId="5F427716">
            <w:pPr>
              <w:keepNext w:val="0"/>
              <w:keepLines w:val="0"/>
              <w:pageBreakBefore w:val="0"/>
              <w:widowControl w:val="0"/>
              <w:kinsoku/>
              <w:wordWrap/>
              <w:overflowPunct/>
              <w:topLinePunct w:val="0"/>
              <w:bidi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安装污染防治设施，且规范使用的</w:t>
            </w:r>
          </w:p>
        </w:tc>
        <w:tc>
          <w:tcPr>
            <w:tcW w:w="1323" w:type="dxa"/>
            <w:noWrap w:val="0"/>
            <w:vAlign w:val="center"/>
          </w:tcPr>
          <w:p w14:paraId="47DF73D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46ABA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vMerge w:val="continue"/>
            <w:noWrap w:val="0"/>
            <w:vAlign w:val="center"/>
          </w:tcPr>
          <w:p w14:paraId="78CC29FD">
            <w:pPr>
              <w:rPr>
                <w:rFonts w:hint="eastAsia" w:ascii="宋体" w:hAnsi="宋体" w:eastAsia="宋体" w:cs="宋体"/>
                <w:color w:val="auto"/>
                <w:sz w:val="21"/>
                <w:szCs w:val="21"/>
                <w:highlight w:val="none"/>
              </w:rPr>
            </w:pPr>
          </w:p>
        </w:tc>
        <w:tc>
          <w:tcPr>
            <w:tcW w:w="5827" w:type="dxa"/>
            <w:noWrap w:val="0"/>
            <w:vAlign w:val="center"/>
          </w:tcPr>
          <w:p w14:paraId="4DE70DD6">
            <w:pPr>
              <w:keepNext w:val="0"/>
              <w:keepLines w:val="0"/>
              <w:pageBreakBefore w:val="0"/>
              <w:widowControl w:val="0"/>
              <w:kinsoku/>
              <w:wordWrap/>
              <w:overflowPunct/>
              <w:topLinePunct w:val="0"/>
              <w:bidi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安装污染防治设施，但未规范使用的</w:t>
            </w:r>
          </w:p>
        </w:tc>
        <w:tc>
          <w:tcPr>
            <w:tcW w:w="1323" w:type="dxa"/>
            <w:noWrap w:val="0"/>
            <w:vAlign w:val="center"/>
          </w:tcPr>
          <w:p w14:paraId="1F4B870C">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3</w:t>
            </w:r>
          </w:p>
        </w:tc>
      </w:tr>
      <w:tr w14:paraId="66ECF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798" w:type="dxa"/>
            <w:vMerge w:val="continue"/>
            <w:noWrap w:val="0"/>
            <w:vAlign w:val="center"/>
          </w:tcPr>
          <w:p w14:paraId="6877BE8A">
            <w:pPr>
              <w:rPr>
                <w:rFonts w:hint="eastAsia" w:ascii="宋体" w:hAnsi="宋体" w:eastAsia="宋体" w:cs="宋体"/>
                <w:color w:val="auto"/>
                <w:sz w:val="21"/>
                <w:szCs w:val="21"/>
                <w:highlight w:val="none"/>
              </w:rPr>
            </w:pPr>
          </w:p>
        </w:tc>
        <w:tc>
          <w:tcPr>
            <w:tcW w:w="5827" w:type="dxa"/>
            <w:noWrap w:val="0"/>
            <w:vAlign w:val="center"/>
          </w:tcPr>
          <w:p w14:paraId="4407DD00">
            <w:pPr>
              <w:keepNext w:val="0"/>
              <w:keepLines w:val="0"/>
              <w:pageBreakBefore w:val="0"/>
              <w:widowControl w:val="0"/>
              <w:kinsoku/>
              <w:wordWrap/>
              <w:overflowPunct/>
              <w:topLinePunct w:val="0"/>
              <w:bidi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安装污染防治设施，但未使用的</w:t>
            </w:r>
          </w:p>
        </w:tc>
        <w:tc>
          <w:tcPr>
            <w:tcW w:w="1323" w:type="dxa"/>
            <w:noWrap w:val="0"/>
            <w:vAlign w:val="center"/>
          </w:tcPr>
          <w:p w14:paraId="5E65D947">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4</w:t>
            </w:r>
          </w:p>
        </w:tc>
      </w:tr>
      <w:tr w14:paraId="6E4C4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vMerge w:val="continue"/>
            <w:noWrap w:val="0"/>
            <w:vAlign w:val="center"/>
          </w:tcPr>
          <w:p w14:paraId="622BE930">
            <w:pPr>
              <w:rPr>
                <w:rFonts w:hint="eastAsia" w:ascii="宋体" w:hAnsi="宋体" w:eastAsia="宋体" w:cs="宋体"/>
                <w:color w:val="auto"/>
                <w:sz w:val="21"/>
                <w:szCs w:val="21"/>
                <w:highlight w:val="none"/>
              </w:rPr>
            </w:pPr>
          </w:p>
        </w:tc>
        <w:tc>
          <w:tcPr>
            <w:tcW w:w="5827" w:type="dxa"/>
            <w:noWrap w:val="0"/>
            <w:vAlign w:val="center"/>
          </w:tcPr>
          <w:p w14:paraId="006B8D86">
            <w:pPr>
              <w:keepNext w:val="0"/>
              <w:keepLines w:val="0"/>
              <w:pageBreakBefore w:val="0"/>
              <w:widowControl w:val="0"/>
              <w:kinsoku/>
              <w:wordWrap/>
              <w:overflowPunct/>
              <w:topLinePunct w:val="0"/>
              <w:bidi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未安装污染防治设施的</w:t>
            </w:r>
          </w:p>
        </w:tc>
        <w:tc>
          <w:tcPr>
            <w:tcW w:w="1323" w:type="dxa"/>
            <w:noWrap w:val="0"/>
            <w:vAlign w:val="center"/>
          </w:tcPr>
          <w:p w14:paraId="196B65A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0E6E7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vMerge w:val="restart"/>
            <w:noWrap w:val="0"/>
            <w:vAlign w:val="center"/>
          </w:tcPr>
          <w:p w14:paraId="0799AB9E">
            <w:pPr>
              <w:jc w:val="center"/>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违法行为发生地</w:t>
            </w:r>
          </w:p>
        </w:tc>
        <w:tc>
          <w:tcPr>
            <w:tcW w:w="5827" w:type="dxa"/>
            <w:noWrap w:val="0"/>
            <w:vAlign w:val="top"/>
          </w:tcPr>
          <w:p w14:paraId="2BDC9240">
            <w:pPr>
              <w:keepNext w:val="0"/>
              <w:keepLines w:val="0"/>
              <w:pageBreakBefore w:val="0"/>
              <w:widowControl w:val="0"/>
              <w:kinsoku/>
              <w:wordWrap/>
              <w:overflowPunct/>
              <w:topLinePunct w:val="0"/>
              <w:bidi w:val="0"/>
              <w:ind w:firstLine="420" w:firstLineChars="200"/>
              <w:jc w:val="both"/>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二类环境空气功能区</w:t>
            </w:r>
            <w:r>
              <w:rPr>
                <w:rFonts w:hint="eastAsia" w:ascii="宋体" w:hAnsi="宋体" w:eastAsia="宋体" w:cs="宋体"/>
                <w:color w:val="auto"/>
                <w:sz w:val="21"/>
                <w:szCs w:val="21"/>
                <w:highlight w:val="none"/>
              </w:rPr>
              <w:t>（工业区和农村地区）</w:t>
            </w:r>
          </w:p>
        </w:tc>
        <w:tc>
          <w:tcPr>
            <w:tcW w:w="1323" w:type="dxa"/>
            <w:noWrap w:val="0"/>
            <w:vAlign w:val="center"/>
          </w:tcPr>
          <w:p w14:paraId="2823379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59F74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vMerge w:val="continue"/>
            <w:noWrap w:val="0"/>
            <w:vAlign w:val="center"/>
          </w:tcPr>
          <w:p w14:paraId="0F4371E6">
            <w:pPr>
              <w:rPr>
                <w:rFonts w:hint="eastAsia" w:ascii="宋体" w:hAnsi="宋体" w:eastAsia="宋体" w:cs="宋体"/>
                <w:color w:val="auto"/>
                <w:sz w:val="21"/>
                <w:szCs w:val="21"/>
                <w:highlight w:val="none"/>
              </w:rPr>
            </w:pPr>
          </w:p>
        </w:tc>
        <w:tc>
          <w:tcPr>
            <w:tcW w:w="5827" w:type="dxa"/>
            <w:noWrap w:val="0"/>
            <w:vAlign w:val="top"/>
          </w:tcPr>
          <w:p w14:paraId="2C734C60">
            <w:pPr>
              <w:keepNext w:val="0"/>
              <w:keepLines w:val="0"/>
              <w:pageBreakBefore w:val="0"/>
              <w:widowControl w:val="0"/>
              <w:kinsoku/>
              <w:wordWrap/>
              <w:overflowPunct/>
              <w:topLinePunct w:val="0"/>
              <w:bidi w:val="0"/>
              <w:ind w:firstLine="420" w:firstLineChars="200"/>
              <w:jc w:val="both"/>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二类环境空气功能区</w:t>
            </w:r>
            <w:r>
              <w:rPr>
                <w:rFonts w:hint="eastAsia" w:ascii="宋体" w:hAnsi="宋体" w:eastAsia="宋体" w:cs="宋体"/>
                <w:color w:val="auto"/>
                <w:sz w:val="21"/>
                <w:szCs w:val="21"/>
                <w:highlight w:val="none"/>
              </w:rPr>
              <w:t>（居民区、商业交通居民混合区、文化区）</w:t>
            </w:r>
          </w:p>
        </w:tc>
        <w:tc>
          <w:tcPr>
            <w:tcW w:w="1323" w:type="dxa"/>
            <w:noWrap w:val="0"/>
            <w:vAlign w:val="center"/>
          </w:tcPr>
          <w:p w14:paraId="6318940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0AEAA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vMerge w:val="continue"/>
            <w:noWrap w:val="0"/>
            <w:vAlign w:val="center"/>
          </w:tcPr>
          <w:p w14:paraId="7C7A75EC">
            <w:pPr>
              <w:rPr>
                <w:rFonts w:hint="eastAsia" w:ascii="宋体" w:hAnsi="宋体" w:eastAsia="宋体" w:cs="宋体"/>
                <w:color w:val="auto"/>
                <w:sz w:val="21"/>
                <w:szCs w:val="21"/>
                <w:highlight w:val="none"/>
              </w:rPr>
            </w:pPr>
          </w:p>
        </w:tc>
        <w:tc>
          <w:tcPr>
            <w:tcW w:w="5827" w:type="dxa"/>
            <w:noWrap w:val="0"/>
            <w:vAlign w:val="top"/>
          </w:tcPr>
          <w:p w14:paraId="5E6886BD">
            <w:pPr>
              <w:keepNext w:val="0"/>
              <w:keepLines w:val="0"/>
              <w:pageBreakBefore w:val="0"/>
              <w:widowControl w:val="0"/>
              <w:kinsoku/>
              <w:wordWrap/>
              <w:overflowPunct/>
              <w:topLinePunct w:val="0"/>
              <w:bidi w:val="0"/>
              <w:ind w:firstLine="420" w:firstLineChars="200"/>
              <w:jc w:val="both"/>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一类环境空气功能区</w:t>
            </w:r>
          </w:p>
        </w:tc>
        <w:tc>
          <w:tcPr>
            <w:tcW w:w="1323" w:type="dxa"/>
            <w:noWrap w:val="0"/>
            <w:vAlign w:val="center"/>
          </w:tcPr>
          <w:p w14:paraId="48685CC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bl>
    <w:p w14:paraId="408BBF0C">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2"/>
        <w:gridCol w:w="5817"/>
        <w:gridCol w:w="1329"/>
      </w:tblGrid>
      <w:tr w14:paraId="0E45B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48" w:type="dxa"/>
            <w:gridSpan w:val="3"/>
            <w:noWrap w:val="0"/>
            <w:vAlign w:val="center"/>
          </w:tcPr>
          <w:p w14:paraId="0A91ACC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四</w:t>
            </w:r>
            <w:r>
              <w:rPr>
                <w:rFonts w:hint="eastAsia" w:ascii="宋体" w:hAnsi="宋体" w:eastAsia="宋体" w:cs="宋体"/>
                <w:color w:val="auto"/>
                <w:sz w:val="21"/>
                <w:szCs w:val="21"/>
                <w:highlight w:val="none"/>
              </w:rPr>
              <w:t>）大气污染防治类</w:t>
            </w:r>
          </w:p>
        </w:tc>
      </w:tr>
      <w:tr w14:paraId="536C3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2" w:type="dxa"/>
            <w:noWrap w:val="0"/>
            <w:vAlign w:val="center"/>
          </w:tcPr>
          <w:p w14:paraId="612A3FF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7146" w:type="dxa"/>
            <w:gridSpan w:val="2"/>
            <w:noWrap w:val="0"/>
            <w:vAlign w:val="center"/>
          </w:tcPr>
          <w:p w14:paraId="383011C2">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r>
      <w:tr w14:paraId="7A74D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2" w:type="dxa"/>
            <w:noWrap w:val="0"/>
            <w:vAlign w:val="center"/>
          </w:tcPr>
          <w:p w14:paraId="67B0FC2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7146" w:type="dxa"/>
            <w:gridSpan w:val="2"/>
            <w:noWrap w:val="0"/>
            <w:vAlign w:val="center"/>
          </w:tcPr>
          <w:p w14:paraId="61203C59">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在禁燃区内未停止燃用高污染燃料的</w:t>
            </w:r>
          </w:p>
        </w:tc>
      </w:tr>
      <w:tr w14:paraId="05248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2" w:type="dxa"/>
            <w:noWrap w:val="0"/>
            <w:vAlign w:val="center"/>
          </w:tcPr>
          <w:p w14:paraId="6294416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7146" w:type="dxa"/>
            <w:gridSpan w:val="2"/>
            <w:noWrap w:val="0"/>
            <w:vAlign w:val="center"/>
          </w:tcPr>
          <w:p w14:paraId="2E341D87">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《中华人民共和国生态环境法典》第二百零七条</w:t>
            </w:r>
            <w:r>
              <w:rPr>
                <w:rFonts w:hint="eastAsia" w:ascii="宋体" w:hAnsi="宋体" w:eastAsia="宋体" w:cs="宋体"/>
                <w:color w:val="auto"/>
                <w:sz w:val="21"/>
                <w:szCs w:val="21"/>
                <w:highlight w:val="none"/>
                <w:lang w:val="en-US" w:eastAsia="zh-CN"/>
              </w:rPr>
              <w:t>第二款</w:t>
            </w:r>
            <w:r>
              <w:rPr>
                <w:rFonts w:hint="eastAsia" w:ascii="宋体" w:hAnsi="宋体" w:eastAsia="宋体" w:cs="宋体"/>
                <w:color w:val="auto"/>
                <w:sz w:val="21"/>
                <w:szCs w:val="21"/>
                <w:highlight w:val="none"/>
              </w:rPr>
              <w:t xml:space="preserve">  在禁燃区内，禁止销售、燃用高污染燃料；禁止新建、扩建燃用高污染燃料的设施，已建成的，应当在设区的市级以上地方人民政府规定的期限内改用天然气、页岩气、液化石油气、电或者其他清洁低碳能源。</w:t>
            </w:r>
          </w:p>
        </w:tc>
      </w:tr>
      <w:tr w14:paraId="4C8FC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2" w:type="dxa"/>
            <w:noWrap w:val="0"/>
            <w:vAlign w:val="center"/>
          </w:tcPr>
          <w:p w14:paraId="40E12E6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7146" w:type="dxa"/>
            <w:gridSpan w:val="2"/>
            <w:noWrap w:val="0"/>
            <w:vAlign w:val="center"/>
          </w:tcPr>
          <w:p w14:paraId="07294164">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《中华人民共和国生态环境法典》第一千一百一十九条</w:t>
            </w:r>
            <w:r>
              <w:rPr>
                <w:rFonts w:hint="eastAsia" w:ascii="宋体" w:hAnsi="宋体" w:eastAsia="宋体" w:cs="宋体"/>
                <w:color w:val="auto"/>
                <w:sz w:val="21"/>
                <w:szCs w:val="21"/>
                <w:highlight w:val="none"/>
                <w:lang w:val="en-US" w:eastAsia="zh-CN"/>
              </w:rPr>
              <w:t>第一款第二项</w:t>
            </w:r>
            <w:r>
              <w:rPr>
                <w:rFonts w:hint="eastAsia" w:ascii="宋体" w:hAnsi="宋体" w:eastAsia="宋体" w:cs="宋体"/>
                <w:color w:val="auto"/>
                <w:sz w:val="21"/>
                <w:szCs w:val="21"/>
                <w:highlight w:val="none"/>
              </w:rPr>
              <w:t xml:space="preserve">  违反本法规定，有下列情形之一的，由生态环境主管部门没收燃用高污染燃料的设施、燃煤供热锅炉并组织拆除，处二万元以上二十万元以下的罚款：</w:t>
            </w:r>
          </w:p>
          <w:p w14:paraId="287F3CDB">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（二）在禁燃区内未停止燃用高污染燃料；</w:t>
            </w:r>
          </w:p>
        </w:tc>
      </w:tr>
      <w:tr w14:paraId="27191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2" w:type="dxa"/>
            <w:noWrap w:val="0"/>
            <w:vAlign w:val="center"/>
          </w:tcPr>
          <w:p w14:paraId="4EE2289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817" w:type="dxa"/>
            <w:noWrap w:val="0"/>
            <w:vAlign w:val="center"/>
          </w:tcPr>
          <w:p w14:paraId="4604648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329" w:type="dxa"/>
            <w:noWrap w:val="0"/>
            <w:vAlign w:val="center"/>
          </w:tcPr>
          <w:p w14:paraId="05095B2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41702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2" w:type="dxa"/>
            <w:vMerge w:val="restart"/>
            <w:noWrap w:val="0"/>
            <w:vAlign w:val="center"/>
          </w:tcPr>
          <w:p w14:paraId="695E0B1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污染防治设施建设使用情况</w:t>
            </w:r>
          </w:p>
        </w:tc>
        <w:tc>
          <w:tcPr>
            <w:tcW w:w="5817" w:type="dxa"/>
            <w:noWrap w:val="0"/>
            <w:vAlign w:val="center"/>
          </w:tcPr>
          <w:p w14:paraId="39327F2D">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安装污染防治设施，且规范使用的</w:t>
            </w:r>
          </w:p>
        </w:tc>
        <w:tc>
          <w:tcPr>
            <w:tcW w:w="1329" w:type="dxa"/>
            <w:noWrap w:val="0"/>
            <w:vAlign w:val="center"/>
          </w:tcPr>
          <w:p w14:paraId="12F7776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29A94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2" w:type="dxa"/>
            <w:vMerge w:val="continue"/>
            <w:noWrap w:val="0"/>
            <w:vAlign w:val="center"/>
          </w:tcPr>
          <w:p w14:paraId="5819BC23">
            <w:pPr>
              <w:rPr>
                <w:rFonts w:hint="eastAsia" w:ascii="宋体" w:hAnsi="宋体" w:eastAsia="宋体" w:cs="宋体"/>
                <w:color w:val="auto"/>
                <w:sz w:val="21"/>
                <w:szCs w:val="21"/>
                <w:highlight w:val="none"/>
              </w:rPr>
            </w:pPr>
          </w:p>
        </w:tc>
        <w:tc>
          <w:tcPr>
            <w:tcW w:w="5817" w:type="dxa"/>
            <w:noWrap w:val="0"/>
            <w:vAlign w:val="center"/>
          </w:tcPr>
          <w:p w14:paraId="78EF6F10">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安装污染防治设施，但未规范使用的</w:t>
            </w:r>
          </w:p>
        </w:tc>
        <w:tc>
          <w:tcPr>
            <w:tcW w:w="1329" w:type="dxa"/>
            <w:noWrap w:val="0"/>
            <w:vAlign w:val="center"/>
          </w:tcPr>
          <w:p w14:paraId="0815C1AA">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3</w:t>
            </w:r>
          </w:p>
        </w:tc>
      </w:tr>
      <w:tr w14:paraId="08828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2" w:type="dxa"/>
            <w:vMerge w:val="continue"/>
            <w:noWrap w:val="0"/>
            <w:vAlign w:val="center"/>
          </w:tcPr>
          <w:p w14:paraId="394EF3D1">
            <w:pPr>
              <w:rPr>
                <w:rFonts w:hint="eastAsia" w:ascii="宋体" w:hAnsi="宋体" w:eastAsia="宋体" w:cs="宋体"/>
                <w:color w:val="auto"/>
                <w:sz w:val="21"/>
                <w:szCs w:val="21"/>
                <w:highlight w:val="none"/>
              </w:rPr>
            </w:pPr>
          </w:p>
        </w:tc>
        <w:tc>
          <w:tcPr>
            <w:tcW w:w="5817" w:type="dxa"/>
            <w:noWrap w:val="0"/>
            <w:vAlign w:val="center"/>
          </w:tcPr>
          <w:p w14:paraId="6C094CE7">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安装污染防治设施，但未使用的</w:t>
            </w:r>
          </w:p>
        </w:tc>
        <w:tc>
          <w:tcPr>
            <w:tcW w:w="1329" w:type="dxa"/>
            <w:noWrap w:val="0"/>
            <w:vAlign w:val="center"/>
          </w:tcPr>
          <w:p w14:paraId="695C312B">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4</w:t>
            </w:r>
          </w:p>
        </w:tc>
      </w:tr>
      <w:tr w14:paraId="72D67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2" w:type="dxa"/>
            <w:vMerge w:val="continue"/>
            <w:noWrap w:val="0"/>
            <w:vAlign w:val="center"/>
          </w:tcPr>
          <w:p w14:paraId="6156E568">
            <w:pPr>
              <w:rPr>
                <w:rFonts w:hint="eastAsia" w:ascii="宋体" w:hAnsi="宋体" w:eastAsia="宋体" w:cs="宋体"/>
                <w:color w:val="auto"/>
                <w:sz w:val="21"/>
                <w:szCs w:val="21"/>
                <w:highlight w:val="none"/>
              </w:rPr>
            </w:pPr>
          </w:p>
        </w:tc>
        <w:tc>
          <w:tcPr>
            <w:tcW w:w="5817" w:type="dxa"/>
            <w:noWrap w:val="0"/>
            <w:vAlign w:val="center"/>
          </w:tcPr>
          <w:p w14:paraId="35A3F5EB">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未安装污染防治设施的</w:t>
            </w:r>
          </w:p>
        </w:tc>
        <w:tc>
          <w:tcPr>
            <w:tcW w:w="1329" w:type="dxa"/>
            <w:noWrap w:val="0"/>
            <w:vAlign w:val="center"/>
          </w:tcPr>
          <w:p w14:paraId="28FB2E0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60656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2" w:type="dxa"/>
            <w:vMerge w:val="restart"/>
            <w:noWrap w:val="0"/>
            <w:vAlign w:val="center"/>
          </w:tcPr>
          <w:p w14:paraId="4C6F386C">
            <w:pPr>
              <w:jc w:val="center"/>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违法行为发生地</w:t>
            </w:r>
          </w:p>
        </w:tc>
        <w:tc>
          <w:tcPr>
            <w:tcW w:w="5817" w:type="dxa"/>
            <w:noWrap w:val="0"/>
            <w:vAlign w:val="top"/>
          </w:tcPr>
          <w:p w14:paraId="3CC634AA">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二类环境空气功能区</w:t>
            </w:r>
            <w:r>
              <w:rPr>
                <w:rFonts w:hint="eastAsia" w:ascii="宋体" w:hAnsi="宋体" w:eastAsia="宋体" w:cs="宋体"/>
                <w:color w:val="auto"/>
                <w:sz w:val="21"/>
                <w:szCs w:val="21"/>
                <w:highlight w:val="none"/>
              </w:rPr>
              <w:t>（工业区和农村地区）</w:t>
            </w:r>
          </w:p>
        </w:tc>
        <w:tc>
          <w:tcPr>
            <w:tcW w:w="1329" w:type="dxa"/>
            <w:noWrap w:val="0"/>
            <w:vAlign w:val="center"/>
          </w:tcPr>
          <w:p w14:paraId="7B32D79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72B53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2" w:type="dxa"/>
            <w:vMerge w:val="continue"/>
            <w:noWrap w:val="0"/>
            <w:vAlign w:val="center"/>
          </w:tcPr>
          <w:p w14:paraId="5CAE487F">
            <w:pPr>
              <w:rPr>
                <w:rFonts w:hint="eastAsia" w:ascii="宋体" w:hAnsi="宋体" w:eastAsia="宋体" w:cs="宋体"/>
                <w:color w:val="auto"/>
                <w:sz w:val="21"/>
                <w:szCs w:val="21"/>
                <w:highlight w:val="none"/>
              </w:rPr>
            </w:pPr>
          </w:p>
        </w:tc>
        <w:tc>
          <w:tcPr>
            <w:tcW w:w="5817" w:type="dxa"/>
            <w:noWrap w:val="0"/>
            <w:vAlign w:val="top"/>
          </w:tcPr>
          <w:p w14:paraId="6E474B69">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二类环境空气功能区</w:t>
            </w:r>
            <w:r>
              <w:rPr>
                <w:rFonts w:hint="eastAsia" w:ascii="宋体" w:hAnsi="宋体" w:eastAsia="宋体" w:cs="宋体"/>
                <w:color w:val="auto"/>
                <w:sz w:val="21"/>
                <w:szCs w:val="21"/>
                <w:highlight w:val="none"/>
              </w:rPr>
              <w:t>（居民区、商业交通居民混合区、文化区）</w:t>
            </w:r>
          </w:p>
        </w:tc>
        <w:tc>
          <w:tcPr>
            <w:tcW w:w="1329" w:type="dxa"/>
            <w:noWrap w:val="0"/>
            <w:vAlign w:val="center"/>
          </w:tcPr>
          <w:p w14:paraId="0DEEE83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27F9E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2" w:type="dxa"/>
            <w:vMerge w:val="continue"/>
            <w:noWrap w:val="0"/>
            <w:vAlign w:val="center"/>
          </w:tcPr>
          <w:p w14:paraId="04AB5474">
            <w:pPr>
              <w:rPr>
                <w:rFonts w:hint="eastAsia" w:ascii="宋体" w:hAnsi="宋体" w:eastAsia="宋体" w:cs="宋体"/>
                <w:color w:val="auto"/>
                <w:sz w:val="21"/>
                <w:szCs w:val="21"/>
                <w:highlight w:val="none"/>
              </w:rPr>
            </w:pPr>
          </w:p>
        </w:tc>
        <w:tc>
          <w:tcPr>
            <w:tcW w:w="5817" w:type="dxa"/>
            <w:noWrap w:val="0"/>
            <w:vAlign w:val="top"/>
          </w:tcPr>
          <w:p w14:paraId="21C0412B">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一类环境空气功能区</w:t>
            </w:r>
          </w:p>
        </w:tc>
        <w:tc>
          <w:tcPr>
            <w:tcW w:w="1329" w:type="dxa"/>
            <w:noWrap w:val="0"/>
            <w:vAlign w:val="center"/>
          </w:tcPr>
          <w:p w14:paraId="5A4163B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bl>
    <w:p w14:paraId="318172DF">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98"/>
        <w:gridCol w:w="5827"/>
        <w:gridCol w:w="1323"/>
      </w:tblGrid>
      <w:tr w14:paraId="66B12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48" w:type="dxa"/>
            <w:gridSpan w:val="3"/>
            <w:noWrap w:val="0"/>
            <w:vAlign w:val="center"/>
          </w:tcPr>
          <w:p w14:paraId="1F29A66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四</w:t>
            </w:r>
            <w:r>
              <w:rPr>
                <w:rFonts w:hint="eastAsia" w:ascii="宋体" w:hAnsi="宋体" w:eastAsia="宋体" w:cs="宋体"/>
                <w:color w:val="auto"/>
                <w:sz w:val="21"/>
                <w:szCs w:val="21"/>
                <w:highlight w:val="none"/>
              </w:rPr>
              <w:t>）大气污染防治类</w:t>
            </w:r>
          </w:p>
        </w:tc>
      </w:tr>
      <w:tr w14:paraId="74FAB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noWrap w:val="0"/>
            <w:vAlign w:val="center"/>
          </w:tcPr>
          <w:p w14:paraId="73B39AD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7150" w:type="dxa"/>
            <w:gridSpan w:val="2"/>
            <w:noWrap w:val="0"/>
            <w:vAlign w:val="center"/>
          </w:tcPr>
          <w:p w14:paraId="138E7787">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r>
      <w:tr w14:paraId="1295E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noWrap w:val="0"/>
            <w:vAlign w:val="center"/>
          </w:tcPr>
          <w:p w14:paraId="6F33B68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7150" w:type="dxa"/>
            <w:gridSpan w:val="2"/>
            <w:noWrap w:val="0"/>
            <w:vAlign w:val="center"/>
          </w:tcPr>
          <w:p w14:paraId="74DA340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在城市集中供热管网覆盖地区新建、扩建分散燃煤供热锅炉的</w:t>
            </w:r>
          </w:p>
        </w:tc>
      </w:tr>
      <w:tr w14:paraId="641B7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noWrap w:val="0"/>
            <w:vAlign w:val="center"/>
          </w:tcPr>
          <w:p w14:paraId="2B48837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7150" w:type="dxa"/>
            <w:gridSpan w:val="2"/>
            <w:noWrap w:val="0"/>
            <w:vAlign w:val="center"/>
          </w:tcPr>
          <w:p w14:paraId="796D1279">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《中华人民共和国生态环境法典》第二百零八条　城市建设应当统筹规划，在燃煤供热地区，推进热电联产和集中供热。在集中供热管网覆盖地区，禁止新建、扩建分散燃煤供热锅炉；已建成的不能达标排放的燃煤供热锅炉，应当在设区的市级以上地方人民政府规定的期限内拆除。</w:t>
            </w:r>
          </w:p>
        </w:tc>
      </w:tr>
      <w:tr w14:paraId="7B315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noWrap w:val="0"/>
            <w:vAlign w:val="center"/>
          </w:tcPr>
          <w:p w14:paraId="670CE8E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7150" w:type="dxa"/>
            <w:gridSpan w:val="2"/>
            <w:noWrap w:val="0"/>
            <w:vAlign w:val="center"/>
          </w:tcPr>
          <w:p w14:paraId="06EFE8AB">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《中华人民共和国生态环境法典》第一千一百一十九条</w:t>
            </w:r>
            <w:r>
              <w:rPr>
                <w:rFonts w:hint="eastAsia" w:ascii="宋体" w:hAnsi="宋体" w:eastAsia="宋体" w:cs="宋体"/>
                <w:color w:val="auto"/>
                <w:sz w:val="21"/>
                <w:szCs w:val="21"/>
                <w:highlight w:val="none"/>
                <w:lang w:val="en-US" w:eastAsia="zh-CN"/>
              </w:rPr>
              <w:t>第一款第三项</w:t>
            </w:r>
            <w:r>
              <w:rPr>
                <w:rFonts w:hint="eastAsia" w:ascii="宋体" w:hAnsi="宋体" w:eastAsia="宋体" w:cs="宋体"/>
                <w:color w:val="auto"/>
                <w:sz w:val="21"/>
                <w:szCs w:val="21"/>
                <w:highlight w:val="none"/>
              </w:rPr>
              <w:t xml:space="preserve">  违反本法规定，有下列情形之一的，由生态环境主管部门没收燃用高污染燃料的设施、燃煤供热锅炉并组织拆除，处二万元以上二十万元以下的罚款：</w:t>
            </w:r>
          </w:p>
          <w:p w14:paraId="4D52221D">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（三）在城市集中供热管网覆盖地区新建、扩建分散燃煤供热锅炉；</w:t>
            </w:r>
          </w:p>
        </w:tc>
      </w:tr>
      <w:tr w14:paraId="5BB7E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noWrap w:val="0"/>
            <w:vAlign w:val="center"/>
          </w:tcPr>
          <w:p w14:paraId="29D9B85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827" w:type="dxa"/>
            <w:noWrap w:val="0"/>
            <w:vAlign w:val="center"/>
          </w:tcPr>
          <w:p w14:paraId="03CB9FB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323" w:type="dxa"/>
            <w:noWrap w:val="0"/>
            <w:vAlign w:val="center"/>
          </w:tcPr>
          <w:p w14:paraId="3D664AC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2B0C3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vMerge w:val="restart"/>
            <w:noWrap w:val="0"/>
            <w:vAlign w:val="center"/>
          </w:tcPr>
          <w:p w14:paraId="0DABFFA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违法事实</w:t>
            </w:r>
          </w:p>
        </w:tc>
        <w:tc>
          <w:tcPr>
            <w:tcW w:w="5827" w:type="dxa"/>
            <w:noWrap w:val="0"/>
            <w:vAlign w:val="center"/>
          </w:tcPr>
          <w:p w14:paraId="43E203AA">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设施已开工建设但未建成的</w:t>
            </w:r>
          </w:p>
        </w:tc>
        <w:tc>
          <w:tcPr>
            <w:tcW w:w="1323" w:type="dxa"/>
            <w:noWrap w:val="0"/>
            <w:vAlign w:val="center"/>
          </w:tcPr>
          <w:p w14:paraId="14264C7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35393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vMerge w:val="continue"/>
            <w:noWrap w:val="0"/>
            <w:vAlign w:val="center"/>
          </w:tcPr>
          <w:p w14:paraId="27F2935E">
            <w:pPr>
              <w:rPr>
                <w:rFonts w:hint="eastAsia" w:ascii="宋体" w:hAnsi="宋体" w:eastAsia="宋体" w:cs="宋体"/>
                <w:color w:val="auto"/>
                <w:sz w:val="21"/>
                <w:szCs w:val="21"/>
                <w:highlight w:val="none"/>
              </w:rPr>
            </w:pPr>
          </w:p>
        </w:tc>
        <w:tc>
          <w:tcPr>
            <w:tcW w:w="5827" w:type="dxa"/>
            <w:noWrap w:val="0"/>
            <w:vAlign w:val="center"/>
          </w:tcPr>
          <w:p w14:paraId="23D5DBC5">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设施已建成但未投入使用的</w:t>
            </w:r>
          </w:p>
        </w:tc>
        <w:tc>
          <w:tcPr>
            <w:tcW w:w="1323" w:type="dxa"/>
            <w:noWrap w:val="0"/>
            <w:vAlign w:val="center"/>
          </w:tcPr>
          <w:p w14:paraId="6D286CE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74401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vMerge w:val="continue"/>
            <w:noWrap w:val="0"/>
            <w:vAlign w:val="center"/>
          </w:tcPr>
          <w:p w14:paraId="39C8E25F">
            <w:pPr>
              <w:rPr>
                <w:rFonts w:hint="eastAsia" w:ascii="宋体" w:hAnsi="宋体" w:eastAsia="宋体" w:cs="宋体"/>
                <w:color w:val="auto"/>
                <w:sz w:val="21"/>
                <w:szCs w:val="21"/>
                <w:highlight w:val="none"/>
              </w:rPr>
            </w:pPr>
          </w:p>
        </w:tc>
        <w:tc>
          <w:tcPr>
            <w:tcW w:w="5827" w:type="dxa"/>
            <w:noWrap w:val="0"/>
            <w:vAlign w:val="center"/>
          </w:tcPr>
          <w:p w14:paraId="2B7E742F">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设施已建成投用</w:t>
            </w:r>
          </w:p>
        </w:tc>
        <w:tc>
          <w:tcPr>
            <w:tcW w:w="1323" w:type="dxa"/>
            <w:noWrap w:val="0"/>
            <w:vAlign w:val="center"/>
          </w:tcPr>
          <w:p w14:paraId="0512B43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2871A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vMerge w:val="restart"/>
            <w:noWrap w:val="0"/>
            <w:vAlign w:val="center"/>
          </w:tcPr>
          <w:p w14:paraId="21053D3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污染防治设施建设使用情况</w:t>
            </w:r>
          </w:p>
        </w:tc>
        <w:tc>
          <w:tcPr>
            <w:tcW w:w="5827" w:type="dxa"/>
            <w:noWrap w:val="0"/>
            <w:vAlign w:val="center"/>
          </w:tcPr>
          <w:p w14:paraId="74BEE059">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安装污染防治设施，且规范使用的</w:t>
            </w:r>
          </w:p>
        </w:tc>
        <w:tc>
          <w:tcPr>
            <w:tcW w:w="1323" w:type="dxa"/>
            <w:noWrap w:val="0"/>
            <w:vAlign w:val="center"/>
          </w:tcPr>
          <w:p w14:paraId="1FA45F9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07B1F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1798" w:type="dxa"/>
            <w:vMerge w:val="continue"/>
            <w:noWrap w:val="0"/>
            <w:vAlign w:val="center"/>
          </w:tcPr>
          <w:p w14:paraId="623522B9">
            <w:pPr>
              <w:rPr>
                <w:rFonts w:hint="eastAsia" w:ascii="宋体" w:hAnsi="宋体" w:eastAsia="宋体" w:cs="宋体"/>
                <w:color w:val="auto"/>
                <w:sz w:val="21"/>
                <w:szCs w:val="21"/>
                <w:highlight w:val="none"/>
              </w:rPr>
            </w:pPr>
          </w:p>
        </w:tc>
        <w:tc>
          <w:tcPr>
            <w:tcW w:w="5827" w:type="dxa"/>
            <w:noWrap w:val="0"/>
            <w:vAlign w:val="center"/>
          </w:tcPr>
          <w:p w14:paraId="3C3D5BE4">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安装污染防治设施，但未规范使用的</w:t>
            </w:r>
          </w:p>
        </w:tc>
        <w:tc>
          <w:tcPr>
            <w:tcW w:w="1323" w:type="dxa"/>
            <w:noWrap w:val="0"/>
            <w:vAlign w:val="center"/>
          </w:tcPr>
          <w:p w14:paraId="4E3EDDDD">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3</w:t>
            </w:r>
          </w:p>
        </w:tc>
      </w:tr>
      <w:tr w14:paraId="6D8A6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vMerge w:val="continue"/>
            <w:noWrap w:val="0"/>
            <w:vAlign w:val="center"/>
          </w:tcPr>
          <w:p w14:paraId="4B98A5C6">
            <w:pPr>
              <w:rPr>
                <w:rFonts w:hint="eastAsia" w:ascii="宋体" w:hAnsi="宋体" w:eastAsia="宋体" w:cs="宋体"/>
                <w:color w:val="auto"/>
                <w:sz w:val="21"/>
                <w:szCs w:val="21"/>
                <w:highlight w:val="none"/>
              </w:rPr>
            </w:pPr>
          </w:p>
        </w:tc>
        <w:tc>
          <w:tcPr>
            <w:tcW w:w="5827" w:type="dxa"/>
            <w:noWrap w:val="0"/>
            <w:vAlign w:val="center"/>
          </w:tcPr>
          <w:p w14:paraId="36F60F52">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安装污染防治设施，但未使用的</w:t>
            </w:r>
          </w:p>
        </w:tc>
        <w:tc>
          <w:tcPr>
            <w:tcW w:w="1323" w:type="dxa"/>
            <w:noWrap w:val="0"/>
            <w:vAlign w:val="center"/>
          </w:tcPr>
          <w:p w14:paraId="56F13D7A">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4</w:t>
            </w:r>
          </w:p>
        </w:tc>
      </w:tr>
      <w:tr w14:paraId="5C97B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vMerge w:val="continue"/>
            <w:noWrap w:val="0"/>
            <w:vAlign w:val="center"/>
          </w:tcPr>
          <w:p w14:paraId="17F57873">
            <w:pPr>
              <w:rPr>
                <w:rFonts w:hint="eastAsia" w:ascii="宋体" w:hAnsi="宋体" w:eastAsia="宋体" w:cs="宋体"/>
                <w:color w:val="auto"/>
                <w:sz w:val="21"/>
                <w:szCs w:val="21"/>
                <w:highlight w:val="none"/>
              </w:rPr>
            </w:pPr>
          </w:p>
        </w:tc>
        <w:tc>
          <w:tcPr>
            <w:tcW w:w="5827" w:type="dxa"/>
            <w:noWrap w:val="0"/>
            <w:vAlign w:val="center"/>
          </w:tcPr>
          <w:p w14:paraId="475A95CE">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未安装污染防治设施的</w:t>
            </w:r>
          </w:p>
        </w:tc>
        <w:tc>
          <w:tcPr>
            <w:tcW w:w="1323" w:type="dxa"/>
            <w:noWrap w:val="0"/>
            <w:vAlign w:val="center"/>
          </w:tcPr>
          <w:p w14:paraId="33E4E04E">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5</w:t>
            </w:r>
          </w:p>
        </w:tc>
      </w:tr>
      <w:tr w14:paraId="1EF0C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vMerge w:val="restart"/>
            <w:noWrap w:val="0"/>
            <w:vAlign w:val="center"/>
          </w:tcPr>
          <w:p w14:paraId="2E24F83D">
            <w:pPr>
              <w:jc w:val="center"/>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违法行为发生地</w:t>
            </w:r>
          </w:p>
        </w:tc>
        <w:tc>
          <w:tcPr>
            <w:tcW w:w="5827" w:type="dxa"/>
            <w:noWrap w:val="0"/>
            <w:vAlign w:val="top"/>
          </w:tcPr>
          <w:p w14:paraId="4391AFFA">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二类环境空气功能区</w:t>
            </w:r>
            <w:r>
              <w:rPr>
                <w:rFonts w:hint="eastAsia" w:ascii="宋体" w:hAnsi="宋体" w:eastAsia="宋体" w:cs="宋体"/>
                <w:color w:val="auto"/>
                <w:sz w:val="21"/>
                <w:szCs w:val="21"/>
                <w:highlight w:val="none"/>
              </w:rPr>
              <w:t>（工业区和农村地区）</w:t>
            </w:r>
          </w:p>
        </w:tc>
        <w:tc>
          <w:tcPr>
            <w:tcW w:w="1323" w:type="dxa"/>
            <w:noWrap w:val="0"/>
            <w:vAlign w:val="center"/>
          </w:tcPr>
          <w:p w14:paraId="4ED14A1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2FA01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vMerge w:val="continue"/>
            <w:noWrap w:val="0"/>
            <w:vAlign w:val="center"/>
          </w:tcPr>
          <w:p w14:paraId="5FF94CE7">
            <w:pPr>
              <w:rPr>
                <w:rFonts w:hint="eastAsia" w:ascii="宋体" w:hAnsi="宋体" w:eastAsia="宋体" w:cs="宋体"/>
                <w:color w:val="auto"/>
                <w:sz w:val="21"/>
                <w:szCs w:val="21"/>
                <w:highlight w:val="none"/>
              </w:rPr>
            </w:pPr>
          </w:p>
        </w:tc>
        <w:tc>
          <w:tcPr>
            <w:tcW w:w="5827" w:type="dxa"/>
            <w:noWrap w:val="0"/>
            <w:vAlign w:val="top"/>
          </w:tcPr>
          <w:p w14:paraId="7BE99464">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二类环境空气功能区</w:t>
            </w:r>
            <w:r>
              <w:rPr>
                <w:rFonts w:hint="eastAsia" w:ascii="宋体" w:hAnsi="宋体" w:eastAsia="宋体" w:cs="宋体"/>
                <w:color w:val="auto"/>
                <w:sz w:val="21"/>
                <w:szCs w:val="21"/>
                <w:highlight w:val="none"/>
              </w:rPr>
              <w:t>（居民区、商业交通居民混合区、文化区）</w:t>
            </w:r>
          </w:p>
        </w:tc>
        <w:tc>
          <w:tcPr>
            <w:tcW w:w="1323" w:type="dxa"/>
            <w:noWrap w:val="0"/>
            <w:vAlign w:val="center"/>
          </w:tcPr>
          <w:p w14:paraId="214ED30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4F994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vMerge w:val="continue"/>
            <w:noWrap w:val="0"/>
            <w:vAlign w:val="center"/>
          </w:tcPr>
          <w:p w14:paraId="6E2A75A3">
            <w:pPr>
              <w:rPr>
                <w:rFonts w:hint="eastAsia" w:ascii="宋体" w:hAnsi="宋体" w:eastAsia="宋体" w:cs="宋体"/>
                <w:color w:val="auto"/>
                <w:sz w:val="21"/>
                <w:szCs w:val="21"/>
                <w:highlight w:val="none"/>
              </w:rPr>
            </w:pPr>
          </w:p>
        </w:tc>
        <w:tc>
          <w:tcPr>
            <w:tcW w:w="5827" w:type="dxa"/>
            <w:noWrap w:val="0"/>
            <w:vAlign w:val="top"/>
          </w:tcPr>
          <w:p w14:paraId="17269864">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一类环境空气功能区</w:t>
            </w:r>
          </w:p>
        </w:tc>
        <w:tc>
          <w:tcPr>
            <w:tcW w:w="1323" w:type="dxa"/>
            <w:noWrap w:val="0"/>
            <w:vAlign w:val="center"/>
          </w:tcPr>
          <w:p w14:paraId="0FB1A01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bl>
    <w:p w14:paraId="65D8F1EC">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98"/>
        <w:gridCol w:w="5827"/>
        <w:gridCol w:w="1323"/>
      </w:tblGrid>
      <w:tr w14:paraId="2399F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48" w:type="dxa"/>
            <w:gridSpan w:val="3"/>
            <w:noWrap w:val="0"/>
            <w:vAlign w:val="center"/>
          </w:tcPr>
          <w:p w14:paraId="3A9F963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四</w:t>
            </w:r>
            <w:r>
              <w:rPr>
                <w:rFonts w:hint="eastAsia" w:ascii="宋体" w:hAnsi="宋体" w:eastAsia="宋体" w:cs="宋体"/>
                <w:color w:val="auto"/>
                <w:sz w:val="21"/>
                <w:szCs w:val="21"/>
                <w:highlight w:val="none"/>
              </w:rPr>
              <w:t>）大气污染防治类</w:t>
            </w:r>
          </w:p>
        </w:tc>
      </w:tr>
      <w:tr w14:paraId="5435C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noWrap w:val="0"/>
            <w:vAlign w:val="center"/>
          </w:tcPr>
          <w:p w14:paraId="5958747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7150" w:type="dxa"/>
            <w:gridSpan w:val="2"/>
            <w:noWrap w:val="0"/>
            <w:vAlign w:val="center"/>
          </w:tcPr>
          <w:p w14:paraId="1E0E3B01">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r>
      <w:tr w14:paraId="160A6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noWrap w:val="0"/>
            <w:vAlign w:val="center"/>
          </w:tcPr>
          <w:p w14:paraId="458FECF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7150" w:type="dxa"/>
            <w:gridSpan w:val="2"/>
            <w:noWrap w:val="0"/>
            <w:vAlign w:val="center"/>
          </w:tcPr>
          <w:p w14:paraId="70FD9DE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未在要求期限内拆除已建成的不能达标排放的燃煤供热锅炉的</w:t>
            </w:r>
          </w:p>
        </w:tc>
      </w:tr>
      <w:tr w14:paraId="4E441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noWrap w:val="0"/>
            <w:vAlign w:val="center"/>
          </w:tcPr>
          <w:p w14:paraId="7747ACC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7150" w:type="dxa"/>
            <w:gridSpan w:val="2"/>
            <w:noWrap w:val="0"/>
            <w:vAlign w:val="center"/>
          </w:tcPr>
          <w:p w14:paraId="24F26509">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《中华人民共和国生态环境法典》第二百零八条　城市建设应当统筹规划，在燃煤供热地区，推进热电联产和集中供热。在集中供热管网覆盖地区，禁止新建、扩建分散燃煤供热锅炉；已建成的不能达标排放的燃煤供热锅炉，应当在设区的市级以上地方人民政府规定的期限内拆除。</w:t>
            </w:r>
          </w:p>
        </w:tc>
      </w:tr>
      <w:tr w14:paraId="3D262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noWrap w:val="0"/>
            <w:vAlign w:val="center"/>
          </w:tcPr>
          <w:p w14:paraId="682071A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7150" w:type="dxa"/>
            <w:gridSpan w:val="2"/>
            <w:noWrap w:val="0"/>
            <w:vAlign w:val="center"/>
          </w:tcPr>
          <w:p w14:paraId="59E5B1CB">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《中华人民共和国生态环境法典》第一千一百一十九条</w:t>
            </w:r>
            <w:r>
              <w:rPr>
                <w:rFonts w:hint="eastAsia" w:ascii="宋体" w:hAnsi="宋体" w:eastAsia="宋体" w:cs="宋体"/>
                <w:color w:val="auto"/>
                <w:sz w:val="21"/>
                <w:szCs w:val="21"/>
                <w:highlight w:val="none"/>
                <w:lang w:val="en-US" w:eastAsia="zh-CN"/>
              </w:rPr>
              <w:t>第一款第四项</w:t>
            </w:r>
            <w:r>
              <w:rPr>
                <w:rFonts w:hint="eastAsia" w:ascii="宋体" w:hAnsi="宋体" w:eastAsia="宋体" w:cs="宋体"/>
                <w:color w:val="auto"/>
                <w:sz w:val="21"/>
                <w:szCs w:val="21"/>
                <w:highlight w:val="none"/>
              </w:rPr>
              <w:t xml:space="preserve">  违反本法规定，有下列情形之一的，由生态环境主管部门没收燃用高污染燃料的设施、燃煤供热锅炉并组织拆除，处二万元以上二十万元以下的罚款：</w:t>
            </w:r>
          </w:p>
          <w:p w14:paraId="7500DBC7">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（四）未在要求期限内拆除已建成的不能达标排放的燃煤供热锅炉；</w:t>
            </w:r>
          </w:p>
        </w:tc>
      </w:tr>
      <w:tr w14:paraId="17C29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noWrap w:val="0"/>
            <w:vAlign w:val="center"/>
          </w:tcPr>
          <w:p w14:paraId="767DB64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827" w:type="dxa"/>
            <w:noWrap w:val="0"/>
            <w:vAlign w:val="center"/>
          </w:tcPr>
          <w:p w14:paraId="14D8A24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323" w:type="dxa"/>
            <w:noWrap w:val="0"/>
            <w:vAlign w:val="center"/>
          </w:tcPr>
          <w:p w14:paraId="4296011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28423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vMerge w:val="restart"/>
            <w:noWrap w:val="0"/>
            <w:vAlign w:val="center"/>
          </w:tcPr>
          <w:p w14:paraId="0956ABF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违法事实</w:t>
            </w:r>
          </w:p>
        </w:tc>
        <w:tc>
          <w:tcPr>
            <w:tcW w:w="5827" w:type="dxa"/>
            <w:noWrap w:val="0"/>
            <w:vAlign w:val="center"/>
          </w:tcPr>
          <w:p w14:paraId="662243A0">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正在拆除，但逾期未拆除完毕的</w:t>
            </w:r>
          </w:p>
        </w:tc>
        <w:tc>
          <w:tcPr>
            <w:tcW w:w="1323" w:type="dxa"/>
            <w:noWrap w:val="0"/>
            <w:vAlign w:val="center"/>
          </w:tcPr>
          <w:p w14:paraId="14FD2B3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54D89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vMerge w:val="continue"/>
            <w:noWrap w:val="0"/>
            <w:vAlign w:val="center"/>
          </w:tcPr>
          <w:p w14:paraId="15D77A5E">
            <w:pPr>
              <w:rPr>
                <w:rFonts w:hint="eastAsia" w:ascii="宋体" w:hAnsi="宋体" w:eastAsia="宋体" w:cs="宋体"/>
                <w:color w:val="auto"/>
                <w:sz w:val="21"/>
                <w:szCs w:val="21"/>
                <w:highlight w:val="none"/>
              </w:rPr>
            </w:pPr>
          </w:p>
        </w:tc>
        <w:tc>
          <w:tcPr>
            <w:tcW w:w="5827" w:type="dxa"/>
            <w:noWrap w:val="0"/>
            <w:vAlign w:val="center"/>
          </w:tcPr>
          <w:p w14:paraId="439F9011">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逾期未拆除或拆除不符合规定的</w:t>
            </w:r>
          </w:p>
        </w:tc>
        <w:tc>
          <w:tcPr>
            <w:tcW w:w="1323" w:type="dxa"/>
            <w:noWrap w:val="0"/>
            <w:vAlign w:val="center"/>
          </w:tcPr>
          <w:p w14:paraId="4E97F60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2DE0D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vMerge w:val="continue"/>
            <w:noWrap w:val="0"/>
            <w:vAlign w:val="center"/>
          </w:tcPr>
          <w:p w14:paraId="7B761570">
            <w:pPr>
              <w:rPr>
                <w:rFonts w:hint="eastAsia" w:ascii="宋体" w:hAnsi="宋体" w:eastAsia="宋体" w:cs="宋体"/>
                <w:color w:val="auto"/>
                <w:sz w:val="21"/>
                <w:szCs w:val="21"/>
                <w:highlight w:val="none"/>
              </w:rPr>
            </w:pPr>
          </w:p>
        </w:tc>
        <w:tc>
          <w:tcPr>
            <w:tcW w:w="5827" w:type="dxa"/>
            <w:noWrap w:val="0"/>
            <w:vAlign w:val="center"/>
          </w:tcPr>
          <w:p w14:paraId="41046F6E">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逾期未拆除且继续使用的</w:t>
            </w:r>
          </w:p>
        </w:tc>
        <w:tc>
          <w:tcPr>
            <w:tcW w:w="1323" w:type="dxa"/>
            <w:noWrap w:val="0"/>
            <w:vAlign w:val="center"/>
          </w:tcPr>
          <w:p w14:paraId="4FEAA45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28089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vMerge w:val="restart"/>
            <w:noWrap w:val="0"/>
            <w:vAlign w:val="center"/>
          </w:tcPr>
          <w:p w14:paraId="7F0DB2E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污染防治设施建设使用情况</w:t>
            </w:r>
          </w:p>
        </w:tc>
        <w:tc>
          <w:tcPr>
            <w:tcW w:w="5827" w:type="dxa"/>
            <w:noWrap w:val="0"/>
            <w:vAlign w:val="center"/>
          </w:tcPr>
          <w:p w14:paraId="745FA849">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已安装污染防治设施，且规范使用的</w:t>
            </w:r>
          </w:p>
        </w:tc>
        <w:tc>
          <w:tcPr>
            <w:tcW w:w="1323" w:type="dxa"/>
            <w:noWrap w:val="0"/>
            <w:vAlign w:val="center"/>
          </w:tcPr>
          <w:p w14:paraId="493BE7A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74E1D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vMerge w:val="continue"/>
            <w:noWrap w:val="0"/>
            <w:vAlign w:val="center"/>
          </w:tcPr>
          <w:p w14:paraId="3CD89617">
            <w:pPr>
              <w:rPr>
                <w:rFonts w:hint="eastAsia" w:ascii="宋体" w:hAnsi="宋体" w:eastAsia="宋体" w:cs="宋体"/>
                <w:color w:val="auto"/>
                <w:sz w:val="21"/>
                <w:szCs w:val="21"/>
                <w:highlight w:val="none"/>
              </w:rPr>
            </w:pPr>
          </w:p>
        </w:tc>
        <w:tc>
          <w:tcPr>
            <w:tcW w:w="5827" w:type="dxa"/>
            <w:noWrap w:val="0"/>
            <w:vAlign w:val="center"/>
          </w:tcPr>
          <w:p w14:paraId="55E05AAC">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已安装污染防治设施，但未规范使用的</w:t>
            </w:r>
          </w:p>
        </w:tc>
        <w:tc>
          <w:tcPr>
            <w:tcW w:w="1323" w:type="dxa"/>
            <w:noWrap w:val="0"/>
            <w:vAlign w:val="center"/>
          </w:tcPr>
          <w:p w14:paraId="5EB9542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r>
      <w:tr w14:paraId="28523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vMerge w:val="continue"/>
            <w:noWrap w:val="0"/>
            <w:vAlign w:val="center"/>
          </w:tcPr>
          <w:p w14:paraId="4BCB6E23">
            <w:pPr>
              <w:rPr>
                <w:rFonts w:hint="eastAsia" w:ascii="宋体" w:hAnsi="宋体" w:eastAsia="宋体" w:cs="宋体"/>
                <w:color w:val="auto"/>
                <w:sz w:val="21"/>
                <w:szCs w:val="21"/>
                <w:highlight w:val="none"/>
              </w:rPr>
            </w:pPr>
          </w:p>
        </w:tc>
        <w:tc>
          <w:tcPr>
            <w:tcW w:w="5827" w:type="dxa"/>
            <w:noWrap w:val="0"/>
            <w:vAlign w:val="center"/>
          </w:tcPr>
          <w:p w14:paraId="5E743612">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已安装污染防治设施，但未使用的</w:t>
            </w:r>
          </w:p>
        </w:tc>
        <w:tc>
          <w:tcPr>
            <w:tcW w:w="1323" w:type="dxa"/>
            <w:noWrap w:val="0"/>
            <w:vAlign w:val="center"/>
          </w:tcPr>
          <w:p w14:paraId="6F0EE77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54D38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vMerge w:val="continue"/>
            <w:noWrap w:val="0"/>
            <w:vAlign w:val="center"/>
          </w:tcPr>
          <w:p w14:paraId="50A2B2E1">
            <w:pPr>
              <w:rPr>
                <w:rFonts w:hint="eastAsia" w:ascii="宋体" w:hAnsi="宋体" w:eastAsia="宋体" w:cs="宋体"/>
                <w:color w:val="auto"/>
                <w:sz w:val="21"/>
                <w:szCs w:val="21"/>
                <w:highlight w:val="none"/>
              </w:rPr>
            </w:pPr>
          </w:p>
        </w:tc>
        <w:tc>
          <w:tcPr>
            <w:tcW w:w="5827" w:type="dxa"/>
            <w:noWrap w:val="0"/>
            <w:vAlign w:val="center"/>
          </w:tcPr>
          <w:p w14:paraId="22AA4C0E">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未安装污染防治设施的</w:t>
            </w:r>
          </w:p>
        </w:tc>
        <w:tc>
          <w:tcPr>
            <w:tcW w:w="1323" w:type="dxa"/>
            <w:noWrap w:val="0"/>
            <w:vAlign w:val="center"/>
          </w:tcPr>
          <w:p w14:paraId="0F1450F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0FF95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vMerge w:val="restart"/>
            <w:noWrap w:val="0"/>
            <w:vAlign w:val="center"/>
          </w:tcPr>
          <w:p w14:paraId="5CFFF61C">
            <w:pPr>
              <w:jc w:val="center"/>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违法行为发生地</w:t>
            </w:r>
          </w:p>
        </w:tc>
        <w:tc>
          <w:tcPr>
            <w:tcW w:w="5827" w:type="dxa"/>
            <w:noWrap w:val="0"/>
            <w:vAlign w:val="top"/>
          </w:tcPr>
          <w:p w14:paraId="6F267EAB">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二类环境空气功能区</w:t>
            </w:r>
            <w:r>
              <w:rPr>
                <w:rFonts w:hint="eastAsia" w:ascii="宋体" w:hAnsi="宋体" w:eastAsia="宋体" w:cs="宋体"/>
                <w:color w:val="auto"/>
                <w:sz w:val="21"/>
                <w:szCs w:val="21"/>
                <w:highlight w:val="none"/>
              </w:rPr>
              <w:t>（工业区和农村地区）</w:t>
            </w:r>
          </w:p>
        </w:tc>
        <w:tc>
          <w:tcPr>
            <w:tcW w:w="1323" w:type="dxa"/>
            <w:noWrap w:val="0"/>
            <w:vAlign w:val="center"/>
          </w:tcPr>
          <w:p w14:paraId="3AF1560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365A0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vMerge w:val="continue"/>
            <w:noWrap w:val="0"/>
            <w:vAlign w:val="center"/>
          </w:tcPr>
          <w:p w14:paraId="565A337E">
            <w:pPr>
              <w:rPr>
                <w:rFonts w:hint="eastAsia" w:ascii="宋体" w:hAnsi="宋体" w:eastAsia="宋体" w:cs="宋体"/>
                <w:color w:val="auto"/>
                <w:sz w:val="21"/>
                <w:szCs w:val="21"/>
                <w:highlight w:val="none"/>
              </w:rPr>
            </w:pPr>
          </w:p>
        </w:tc>
        <w:tc>
          <w:tcPr>
            <w:tcW w:w="5827" w:type="dxa"/>
            <w:noWrap w:val="0"/>
            <w:vAlign w:val="top"/>
          </w:tcPr>
          <w:p w14:paraId="5C255FF2">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二类环境空气功能区</w:t>
            </w:r>
            <w:r>
              <w:rPr>
                <w:rFonts w:hint="eastAsia" w:ascii="宋体" w:hAnsi="宋体" w:eastAsia="宋体" w:cs="宋体"/>
                <w:color w:val="auto"/>
                <w:sz w:val="21"/>
                <w:szCs w:val="21"/>
                <w:highlight w:val="none"/>
              </w:rPr>
              <w:t>（居民区、商业交通居民混合区、文化区）</w:t>
            </w:r>
          </w:p>
        </w:tc>
        <w:tc>
          <w:tcPr>
            <w:tcW w:w="1323" w:type="dxa"/>
            <w:noWrap w:val="0"/>
            <w:vAlign w:val="center"/>
          </w:tcPr>
          <w:p w14:paraId="390921B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48419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vMerge w:val="continue"/>
            <w:noWrap w:val="0"/>
            <w:vAlign w:val="center"/>
          </w:tcPr>
          <w:p w14:paraId="2B2840FC">
            <w:pPr>
              <w:rPr>
                <w:rFonts w:hint="eastAsia" w:ascii="宋体" w:hAnsi="宋体" w:eastAsia="宋体" w:cs="宋体"/>
                <w:color w:val="auto"/>
                <w:sz w:val="21"/>
                <w:szCs w:val="21"/>
                <w:highlight w:val="none"/>
              </w:rPr>
            </w:pPr>
          </w:p>
        </w:tc>
        <w:tc>
          <w:tcPr>
            <w:tcW w:w="5827" w:type="dxa"/>
            <w:noWrap w:val="0"/>
            <w:vAlign w:val="top"/>
          </w:tcPr>
          <w:p w14:paraId="454E8764">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一类环境空气功能区</w:t>
            </w:r>
          </w:p>
        </w:tc>
        <w:tc>
          <w:tcPr>
            <w:tcW w:w="1323" w:type="dxa"/>
            <w:noWrap w:val="0"/>
            <w:vAlign w:val="center"/>
          </w:tcPr>
          <w:p w14:paraId="4D073DE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bl>
    <w:p w14:paraId="4E2DB115">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98"/>
        <w:gridCol w:w="5827"/>
        <w:gridCol w:w="1323"/>
      </w:tblGrid>
      <w:tr w14:paraId="47D25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48" w:type="dxa"/>
            <w:gridSpan w:val="3"/>
            <w:noWrap w:val="0"/>
            <w:vAlign w:val="center"/>
          </w:tcPr>
          <w:p w14:paraId="26B2C36C">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四</w:t>
            </w:r>
            <w:r>
              <w:rPr>
                <w:rFonts w:hint="eastAsia" w:ascii="宋体" w:hAnsi="宋体" w:eastAsia="宋体" w:cs="宋体"/>
                <w:color w:val="auto"/>
                <w:sz w:val="21"/>
                <w:szCs w:val="21"/>
                <w:highlight w:val="none"/>
              </w:rPr>
              <w:t>）大气污染防治类</w:t>
            </w:r>
          </w:p>
        </w:tc>
      </w:tr>
      <w:tr w14:paraId="2D496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noWrap w:val="0"/>
            <w:vAlign w:val="center"/>
          </w:tcPr>
          <w:p w14:paraId="18B3F88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7150" w:type="dxa"/>
            <w:gridSpan w:val="2"/>
            <w:noWrap w:val="0"/>
            <w:vAlign w:val="center"/>
          </w:tcPr>
          <w:p w14:paraId="1677DE87">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w:t>
            </w:r>
          </w:p>
        </w:tc>
      </w:tr>
      <w:tr w14:paraId="05C5A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noWrap w:val="0"/>
            <w:vAlign w:val="center"/>
          </w:tcPr>
          <w:p w14:paraId="59D9A2C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7150" w:type="dxa"/>
            <w:gridSpan w:val="2"/>
            <w:noWrap w:val="0"/>
            <w:vAlign w:val="center"/>
          </w:tcPr>
          <w:p w14:paraId="28D08A00">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使用不符合规定标准或者要求的锅炉的</w:t>
            </w:r>
          </w:p>
        </w:tc>
      </w:tr>
      <w:tr w14:paraId="503FA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noWrap w:val="0"/>
            <w:vAlign w:val="center"/>
          </w:tcPr>
          <w:p w14:paraId="2E4533D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7150" w:type="dxa"/>
            <w:gridSpan w:val="2"/>
            <w:noWrap w:val="0"/>
            <w:vAlign w:val="center"/>
          </w:tcPr>
          <w:p w14:paraId="578C51A1">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《中华人民共和国生态环境法典》第二百零九条　县级以上人民政府市场监督管理部门会同生态环境主管部门对锅炉生产、进口、销售、使用环节执行大气污染防治标准或者要求的情况进行监督检查；不符合大气污染防治标准或者要求的，不得生产、进口、销售或者使用。</w:t>
            </w:r>
          </w:p>
        </w:tc>
      </w:tr>
      <w:tr w14:paraId="219AF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noWrap w:val="0"/>
            <w:vAlign w:val="center"/>
          </w:tcPr>
          <w:p w14:paraId="57118FE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7150" w:type="dxa"/>
            <w:gridSpan w:val="2"/>
            <w:noWrap w:val="0"/>
            <w:vAlign w:val="center"/>
          </w:tcPr>
          <w:p w14:paraId="1A62BFA6">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《中华人民共和国生态环境法典》第一千一百一十九条</w:t>
            </w:r>
            <w:r>
              <w:rPr>
                <w:rFonts w:hint="eastAsia" w:ascii="宋体" w:hAnsi="宋体" w:eastAsia="宋体" w:cs="宋体"/>
                <w:color w:val="auto"/>
                <w:sz w:val="21"/>
                <w:szCs w:val="21"/>
                <w:highlight w:val="none"/>
                <w:lang w:val="en-US" w:eastAsia="zh-CN"/>
              </w:rPr>
              <w:t xml:space="preserve">第二款  </w:t>
            </w:r>
            <w:r>
              <w:rPr>
                <w:rFonts w:hint="eastAsia" w:ascii="宋体" w:hAnsi="宋体" w:eastAsia="宋体" w:cs="宋体"/>
                <w:color w:val="auto"/>
                <w:sz w:val="21"/>
                <w:szCs w:val="21"/>
                <w:highlight w:val="none"/>
              </w:rPr>
              <w:t>违反本法规定，生产、进口、销售不符合规定标准或者要求的锅炉的，由市场监督管理部门责令改正，没收违法所得，并处二万元以上二十万元以下的罚款；使用不符合规定标准或者要求的锅炉的，由生态环境主管部门责令改正，没收违法所得，并处二万元以上二十万元以下的罚款。</w:t>
            </w:r>
          </w:p>
        </w:tc>
      </w:tr>
      <w:tr w14:paraId="19992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noWrap w:val="0"/>
            <w:vAlign w:val="center"/>
          </w:tcPr>
          <w:p w14:paraId="0439982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827" w:type="dxa"/>
            <w:noWrap w:val="0"/>
            <w:vAlign w:val="center"/>
          </w:tcPr>
          <w:p w14:paraId="6208502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323" w:type="dxa"/>
            <w:noWrap w:val="0"/>
            <w:vAlign w:val="center"/>
          </w:tcPr>
          <w:p w14:paraId="40518B7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5F89F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798" w:type="dxa"/>
            <w:vMerge w:val="restart"/>
            <w:noWrap w:val="0"/>
            <w:vAlign w:val="center"/>
          </w:tcPr>
          <w:p w14:paraId="3893201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污染防治设施建设使用情况</w:t>
            </w:r>
          </w:p>
        </w:tc>
        <w:tc>
          <w:tcPr>
            <w:tcW w:w="5827" w:type="dxa"/>
            <w:noWrap w:val="0"/>
            <w:vAlign w:val="center"/>
          </w:tcPr>
          <w:p w14:paraId="211D4B4D">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已安装污染防治设施，且规范使用的</w:t>
            </w:r>
          </w:p>
        </w:tc>
        <w:tc>
          <w:tcPr>
            <w:tcW w:w="1323" w:type="dxa"/>
            <w:noWrap w:val="0"/>
            <w:vAlign w:val="center"/>
          </w:tcPr>
          <w:p w14:paraId="2521A5B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0D1AC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vMerge w:val="continue"/>
            <w:noWrap w:val="0"/>
            <w:vAlign w:val="center"/>
          </w:tcPr>
          <w:p w14:paraId="023B85E5">
            <w:pPr>
              <w:rPr>
                <w:rFonts w:hint="eastAsia" w:ascii="宋体" w:hAnsi="宋体" w:eastAsia="宋体" w:cs="宋体"/>
                <w:color w:val="auto"/>
                <w:sz w:val="21"/>
                <w:szCs w:val="21"/>
                <w:highlight w:val="none"/>
              </w:rPr>
            </w:pPr>
          </w:p>
        </w:tc>
        <w:tc>
          <w:tcPr>
            <w:tcW w:w="5827" w:type="dxa"/>
            <w:noWrap w:val="0"/>
            <w:vAlign w:val="center"/>
          </w:tcPr>
          <w:p w14:paraId="70BC9BA9">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已安装污染防治设施，但未规范使用的</w:t>
            </w:r>
          </w:p>
        </w:tc>
        <w:tc>
          <w:tcPr>
            <w:tcW w:w="1323" w:type="dxa"/>
            <w:noWrap w:val="0"/>
            <w:vAlign w:val="center"/>
          </w:tcPr>
          <w:p w14:paraId="3F59314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r>
      <w:tr w14:paraId="167C9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vMerge w:val="continue"/>
            <w:noWrap w:val="0"/>
            <w:vAlign w:val="center"/>
          </w:tcPr>
          <w:p w14:paraId="2D8DE36B">
            <w:pPr>
              <w:rPr>
                <w:rFonts w:hint="eastAsia" w:ascii="宋体" w:hAnsi="宋体" w:eastAsia="宋体" w:cs="宋体"/>
                <w:color w:val="auto"/>
                <w:sz w:val="21"/>
                <w:szCs w:val="21"/>
                <w:highlight w:val="none"/>
              </w:rPr>
            </w:pPr>
          </w:p>
        </w:tc>
        <w:tc>
          <w:tcPr>
            <w:tcW w:w="5827" w:type="dxa"/>
            <w:noWrap w:val="0"/>
            <w:vAlign w:val="center"/>
          </w:tcPr>
          <w:p w14:paraId="043A77F1">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已安装污染防治设施，但未使用的</w:t>
            </w:r>
          </w:p>
        </w:tc>
        <w:tc>
          <w:tcPr>
            <w:tcW w:w="1323" w:type="dxa"/>
            <w:noWrap w:val="0"/>
            <w:vAlign w:val="center"/>
          </w:tcPr>
          <w:p w14:paraId="471FB43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0E9DD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vMerge w:val="continue"/>
            <w:noWrap w:val="0"/>
            <w:vAlign w:val="center"/>
          </w:tcPr>
          <w:p w14:paraId="193F51B5">
            <w:pPr>
              <w:rPr>
                <w:rFonts w:hint="eastAsia" w:ascii="宋体" w:hAnsi="宋体" w:eastAsia="宋体" w:cs="宋体"/>
                <w:color w:val="auto"/>
                <w:sz w:val="21"/>
                <w:szCs w:val="21"/>
                <w:highlight w:val="none"/>
              </w:rPr>
            </w:pPr>
          </w:p>
        </w:tc>
        <w:tc>
          <w:tcPr>
            <w:tcW w:w="5827" w:type="dxa"/>
            <w:noWrap w:val="0"/>
            <w:vAlign w:val="center"/>
          </w:tcPr>
          <w:p w14:paraId="756B09B7">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未安装污染防治设施的</w:t>
            </w:r>
          </w:p>
        </w:tc>
        <w:tc>
          <w:tcPr>
            <w:tcW w:w="1323" w:type="dxa"/>
            <w:noWrap w:val="0"/>
            <w:vAlign w:val="center"/>
          </w:tcPr>
          <w:p w14:paraId="0164961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2122C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vMerge w:val="restart"/>
            <w:noWrap w:val="0"/>
            <w:vAlign w:val="center"/>
          </w:tcPr>
          <w:p w14:paraId="1D9F5E9C">
            <w:pPr>
              <w:jc w:val="center"/>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违法行为发生地</w:t>
            </w:r>
          </w:p>
        </w:tc>
        <w:tc>
          <w:tcPr>
            <w:tcW w:w="5827" w:type="dxa"/>
            <w:noWrap w:val="0"/>
            <w:vAlign w:val="top"/>
          </w:tcPr>
          <w:p w14:paraId="3FFB1E7D">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二类环境空气功能区</w:t>
            </w:r>
            <w:r>
              <w:rPr>
                <w:rFonts w:hint="eastAsia" w:ascii="宋体" w:hAnsi="宋体" w:eastAsia="宋体" w:cs="宋体"/>
                <w:color w:val="auto"/>
                <w:sz w:val="21"/>
                <w:szCs w:val="21"/>
                <w:highlight w:val="none"/>
              </w:rPr>
              <w:t>（工业区和农村地区）</w:t>
            </w:r>
          </w:p>
        </w:tc>
        <w:tc>
          <w:tcPr>
            <w:tcW w:w="1323" w:type="dxa"/>
            <w:noWrap w:val="0"/>
            <w:vAlign w:val="center"/>
          </w:tcPr>
          <w:p w14:paraId="17CA15B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2DD57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vMerge w:val="continue"/>
            <w:noWrap w:val="0"/>
            <w:vAlign w:val="center"/>
          </w:tcPr>
          <w:p w14:paraId="7E23C5A9">
            <w:pPr>
              <w:rPr>
                <w:rFonts w:hint="eastAsia" w:ascii="宋体" w:hAnsi="宋体" w:eastAsia="宋体" w:cs="宋体"/>
                <w:color w:val="auto"/>
                <w:sz w:val="21"/>
                <w:szCs w:val="21"/>
                <w:highlight w:val="none"/>
              </w:rPr>
            </w:pPr>
          </w:p>
        </w:tc>
        <w:tc>
          <w:tcPr>
            <w:tcW w:w="5827" w:type="dxa"/>
            <w:noWrap w:val="0"/>
            <w:vAlign w:val="top"/>
          </w:tcPr>
          <w:p w14:paraId="5A7DB860">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二类环境空气功能区</w:t>
            </w:r>
            <w:r>
              <w:rPr>
                <w:rFonts w:hint="eastAsia" w:ascii="宋体" w:hAnsi="宋体" w:eastAsia="宋体" w:cs="宋体"/>
                <w:color w:val="auto"/>
                <w:sz w:val="21"/>
                <w:szCs w:val="21"/>
                <w:highlight w:val="none"/>
              </w:rPr>
              <w:t>（居民区、商业交通居民混合区、文化区）</w:t>
            </w:r>
          </w:p>
        </w:tc>
        <w:tc>
          <w:tcPr>
            <w:tcW w:w="1323" w:type="dxa"/>
            <w:noWrap w:val="0"/>
            <w:vAlign w:val="center"/>
          </w:tcPr>
          <w:p w14:paraId="0ED7016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6F165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vMerge w:val="continue"/>
            <w:noWrap w:val="0"/>
            <w:vAlign w:val="center"/>
          </w:tcPr>
          <w:p w14:paraId="02ACCCCE">
            <w:pPr>
              <w:rPr>
                <w:rFonts w:hint="eastAsia" w:ascii="宋体" w:hAnsi="宋体" w:eastAsia="宋体" w:cs="宋体"/>
                <w:color w:val="auto"/>
                <w:sz w:val="21"/>
                <w:szCs w:val="21"/>
                <w:highlight w:val="none"/>
              </w:rPr>
            </w:pPr>
          </w:p>
        </w:tc>
        <w:tc>
          <w:tcPr>
            <w:tcW w:w="5827" w:type="dxa"/>
            <w:noWrap w:val="0"/>
            <w:vAlign w:val="top"/>
          </w:tcPr>
          <w:p w14:paraId="673C66A9">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一类环境空气功能区</w:t>
            </w:r>
          </w:p>
        </w:tc>
        <w:tc>
          <w:tcPr>
            <w:tcW w:w="1323" w:type="dxa"/>
            <w:noWrap w:val="0"/>
            <w:vAlign w:val="center"/>
          </w:tcPr>
          <w:p w14:paraId="6CDCA07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bl>
    <w:p w14:paraId="5089E0FF">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24"/>
        <w:gridCol w:w="5789"/>
        <w:gridCol w:w="1335"/>
      </w:tblGrid>
      <w:tr w14:paraId="655D8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48" w:type="dxa"/>
            <w:gridSpan w:val="3"/>
            <w:noWrap w:val="0"/>
            <w:vAlign w:val="center"/>
          </w:tcPr>
          <w:p w14:paraId="17C914C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四</w:t>
            </w:r>
            <w:r>
              <w:rPr>
                <w:rFonts w:hint="eastAsia" w:ascii="宋体" w:hAnsi="宋体" w:eastAsia="宋体" w:cs="宋体"/>
                <w:color w:val="auto"/>
                <w:sz w:val="21"/>
                <w:szCs w:val="21"/>
                <w:highlight w:val="none"/>
              </w:rPr>
              <w:t>）大气污染防治类</w:t>
            </w:r>
          </w:p>
        </w:tc>
      </w:tr>
      <w:tr w14:paraId="33B5B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24" w:type="dxa"/>
            <w:noWrap w:val="0"/>
            <w:vAlign w:val="center"/>
          </w:tcPr>
          <w:p w14:paraId="19D326E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7124" w:type="dxa"/>
            <w:gridSpan w:val="2"/>
            <w:noWrap w:val="0"/>
            <w:vAlign w:val="center"/>
          </w:tcPr>
          <w:p w14:paraId="45334201">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w:t>
            </w:r>
          </w:p>
        </w:tc>
      </w:tr>
      <w:tr w14:paraId="745CA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24" w:type="dxa"/>
            <w:noWrap w:val="0"/>
            <w:vAlign w:val="center"/>
          </w:tcPr>
          <w:p w14:paraId="449F25F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7124" w:type="dxa"/>
            <w:gridSpan w:val="2"/>
            <w:noWrap w:val="0"/>
            <w:vAlign w:val="center"/>
          </w:tcPr>
          <w:p w14:paraId="345E08CE">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工业涂装企业等未使用低挥发性有机物含量的原辅材料和产品的</w:t>
            </w:r>
          </w:p>
        </w:tc>
      </w:tr>
      <w:tr w14:paraId="5D401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24" w:type="dxa"/>
            <w:noWrap w:val="0"/>
            <w:vAlign w:val="center"/>
          </w:tcPr>
          <w:p w14:paraId="62891F3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7124" w:type="dxa"/>
            <w:gridSpan w:val="2"/>
            <w:noWrap w:val="0"/>
            <w:vAlign w:val="center"/>
          </w:tcPr>
          <w:p w14:paraId="4B864749">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《中华人民共和国生态环境法典》第二百一十三条第三款  国家鼓励生产、进口、销售、使用低毒、低挥发性有机物含量的原辅材料和产品，工业涂装企业等应当按照规定使用低挥发性有机物含量的原辅材料和产品。</w:t>
            </w:r>
          </w:p>
        </w:tc>
      </w:tr>
      <w:tr w14:paraId="198BD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24" w:type="dxa"/>
            <w:noWrap w:val="0"/>
            <w:vAlign w:val="center"/>
          </w:tcPr>
          <w:p w14:paraId="05C5910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7124" w:type="dxa"/>
            <w:gridSpan w:val="2"/>
            <w:noWrap w:val="0"/>
            <w:vAlign w:val="center"/>
          </w:tcPr>
          <w:p w14:paraId="4D2143B7">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《中华人民共和国生态环境法典》第一千一百二十条</w:t>
            </w:r>
            <w:r>
              <w:rPr>
                <w:rFonts w:hint="eastAsia" w:ascii="宋体" w:hAnsi="宋体" w:eastAsia="宋体" w:cs="宋体"/>
                <w:color w:val="auto"/>
                <w:sz w:val="21"/>
                <w:szCs w:val="21"/>
                <w:highlight w:val="none"/>
                <w:lang w:val="en-US" w:eastAsia="zh-CN"/>
              </w:rPr>
              <w:t>第一款第一项</w:t>
            </w:r>
            <w:r>
              <w:rPr>
                <w:rFonts w:hint="eastAsia" w:ascii="宋体" w:hAnsi="宋体" w:eastAsia="宋体" w:cs="宋体"/>
                <w:color w:val="auto"/>
                <w:sz w:val="21"/>
                <w:szCs w:val="21"/>
                <w:highlight w:val="none"/>
              </w:rPr>
              <w:t xml:space="preserve">  违反本法规定，有下列情形之一的，由生态环境主管部门责令改正，处二万元以上二十万元以下的罚款；拒不改正的，责令停产整治：</w:t>
            </w:r>
          </w:p>
          <w:p w14:paraId="0F9AFA03">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（一）工业涂装企业等未使用低挥发性有机物含量的原辅材料和产品；</w:t>
            </w:r>
          </w:p>
        </w:tc>
      </w:tr>
      <w:tr w14:paraId="27504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24" w:type="dxa"/>
            <w:noWrap w:val="0"/>
            <w:vAlign w:val="center"/>
          </w:tcPr>
          <w:p w14:paraId="5444DB8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789" w:type="dxa"/>
            <w:noWrap w:val="0"/>
            <w:vAlign w:val="center"/>
          </w:tcPr>
          <w:p w14:paraId="7AAF401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335" w:type="dxa"/>
            <w:noWrap w:val="0"/>
            <w:vAlign w:val="center"/>
          </w:tcPr>
          <w:p w14:paraId="5EC9DBE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264DB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24" w:type="dxa"/>
            <w:vMerge w:val="restart"/>
            <w:noWrap w:val="0"/>
            <w:vAlign w:val="center"/>
          </w:tcPr>
          <w:p w14:paraId="4AAFC3C5">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违法事实</w:t>
            </w:r>
          </w:p>
        </w:tc>
        <w:tc>
          <w:tcPr>
            <w:tcW w:w="5789" w:type="dxa"/>
            <w:noWrap w:val="0"/>
            <w:vAlign w:val="center"/>
          </w:tcPr>
          <w:p w14:paraId="50EB294B">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使用非低挥发性有机物含量的原辅材料和产品不满 100 公斤</w:t>
            </w:r>
          </w:p>
        </w:tc>
        <w:tc>
          <w:tcPr>
            <w:tcW w:w="1335" w:type="dxa"/>
            <w:noWrap w:val="0"/>
            <w:vAlign w:val="center"/>
          </w:tcPr>
          <w:p w14:paraId="194AC3F8">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r>
      <w:tr w14:paraId="09F8D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24" w:type="dxa"/>
            <w:vMerge w:val="continue"/>
            <w:noWrap w:val="0"/>
            <w:vAlign w:val="center"/>
          </w:tcPr>
          <w:p w14:paraId="09A6D8A6">
            <w:pPr>
              <w:jc w:val="center"/>
              <w:rPr>
                <w:rFonts w:hint="eastAsia" w:ascii="宋体" w:hAnsi="宋体" w:eastAsia="宋体" w:cs="宋体"/>
                <w:color w:val="auto"/>
                <w:sz w:val="21"/>
                <w:szCs w:val="21"/>
                <w:highlight w:val="none"/>
              </w:rPr>
            </w:pPr>
          </w:p>
        </w:tc>
        <w:tc>
          <w:tcPr>
            <w:tcW w:w="5789" w:type="dxa"/>
            <w:noWrap w:val="0"/>
            <w:vAlign w:val="center"/>
          </w:tcPr>
          <w:p w14:paraId="184243E9">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使用非低挥发性有机物含量的原辅材料和产品100 公斤以上不满 500 公斤</w:t>
            </w:r>
          </w:p>
        </w:tc>
        <w:tc>
          <w:tcPr>
            <w:tcW w:w="1335" w:type="dxa"/>
            <w:noWrap w:val="0"/>
            <w:vAlign w:val="center"/>
          </w:tcPr>
          <w:p w14:paraId="08B4C8D9">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r>
      <w:tr w14:paraId="63025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24" w:type="dxa"/>
            <w:vMerge w:val="continue"/>
            <w:noWrap w:val="0"/>
            <w:vAlign w:val="center"/>
          </w:tcPr>
          <w:p w14:paraId="17BA7BC9">
            <w:pPr>
              <w:jc w:val="center"/>
              <w:rPr>
                <w:rFonts w:hint="eastAsia" w:ascii="宋体" w:hAnsi="宋体" w:eastAsia="宋体" w:cs="宋体"/>
                <w:color w:val="auto"/>
                <w:sz w:val="21"/>
                <w:szCs w:val="21"/>
                <w:highlight w:val="none"/>
              </w:rPr>
            </w:pPr>
          </w:p>
        </w:tc>
        <w:tc>
          <w:tcPr>
            <w:tcW w:w="5789" w:type="dxa"/>
            <w:noWrap w:val="0"/>
            <w:vAlign w:val="center"/>
          </w:tcPr>
          <w:p w14:paraId="25268E40">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使用非低挥发性有机物含量的原辅材料和产品 500 公斤以上</w:t>
            </w:r>
          </w:p>
        </w:tc>
        <w:tc>
          <w:tcPr>
            <w:tcW w:w="1335" w:type="dxa"/>
            <w:noWrap w:val="0"/>
            <w:vAlign w:val="center"/>
          </w:tcPr>
          <w:p w14:paraId="1E2F370C">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r>
      <w:tr w14:paraId="17EBE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24" w:type="dxa"/>
            <w:vMerge w:val="restart"/>
            <w:noWrap w:val="0"/>
            <w:vAlign w:val="center"/>
          </w:tcPr>
          <w:p w14:paraId="7078CCB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污染防治设施建设使用情况</w:t>
            </w:r>
          </w:p>
        </w:tc>
        <w:tc>
          <w:tcPr>
            <w:tcW w:w="5789" w:type="dxa"/>
            <w:noWrap w:val="0"/>
            <w:vAlign w:val="center"/>
          </w:tcPr>
          <w:p w14:paraId="3ADC24B5">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安装有污染防治设施，且在密闭空间的</w:t>
            </w:r>
          </w:p>
        </w:tc>
        <w:tc>
          <w:tcPr>
            <w:tcW w:w="1335" w:type="dxa"/>
            <w:noWrap w:val="0"/>
            <w:vAlign w:val="center"/>
          </w:tcPr>
          <w:p w14:paraId="76CA390D">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r>
      <w:tr w14:paraId="1501E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24" w:type="dxa"/>
            <w:vMerge w:val="continue"/>
            <w:noWrap w:val="0"/>
            <w:vAlign w:val="center"/>
          </w:tcPr>
          <w:p w14:paraId="29C896C6">
            <w:pPr>
              <w:jc w:val="center"/>
              <w:rPr>
                <w:rFonts w:hint="eastAsia" w:ascii="宋体" w:hAnsi="宋体" w:eastAsia="宋体" w:cs="宋体"/>
                <w:color w:val="auto"/>
                <w:sz w:val="21"/>
                <w:szCs w:val="21"/>
                <w:highlight w:val="none"/>
              </w:rPr>
            </w:pPr>
          </w:p>
        </w:tc>
        <w:tc>
          <w:tcPr>
            <w:tcW w:w="5789" w:type="dxa"/>
            <w:noWrap w:val="0"/>
            <w:vAlign w:val="center"/>
          </w:tcPr>
          <w:p w14:paraId="62840CBC">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安装有污染防治设施，未在密闭空间的</w:t>
            </w:r>
          </w:p>
        </w:tc>
        <w:tc>
          <w:tcPr>
            <w:tcW w:w="1335" w:type="dxa"/>
            <w:noWrap w:val="0"/>
            <w:vAlign w:val="center"/>
          </w:tcPr>
          <w:p w14:paraId="2B131DE0">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r>
      <w:tr w14:paraId="104D7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24" w:type="dxa"/>
            <w:vMerge w:val="continue"/>
            <w:noWrap w:val="0"/>
            <w:vAlign w:val="center"/>
          </w:tcPr>
          <w:p w14:paraId="53010BFB">
            <w:pPr>
              <w:jc w:val="center"/>
              <w:rPr>
                <w:rFonts w:hint="eastAsia" w:ascii="宋体" w:hAnsi="宋体" w:eastAsia="宋体" w:cs="宋体"/>
                <w:color w:val="auto"/>
                <w:sz w:val="21"/>
                <w:szCs w:val="21"/>
                <w:highlight w:val="none"/>
              </w:rPr>
            </w:pPr>
          </w:p>
        </w:tc>
        <w:tc>
          <w:tcPr>
            <w:tcW w:w="5789" w:type="dxa"/>
            <w:noWrap w:val="0"/>
            <w:vAlign w:val="center"/>
          </w:tcPr>
          <w:p w14:paraId="52C51893">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未安装污染防治设施</w:t>
            </w:r>
          </w:p>
        </w:tc>
        <w:tc>
          <w:tcPr>
            <w:tcW w:w="1335" w:type="dxa"/>
            <w:noWrap w:val="0"/>
            <w:vAlign w:val="center"/>
          </w:tcPr>
          <w:p w14:paraId="2D6AD30C">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r>
      <w:tr w14:paraId="3EB67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24" w:type="dxa"/>
            <w:vMerge w:val="restart"/>
            <w:noWrap w:val="0"/>
            <w:vAlign w:val="center"/>
          </w:tcPr>
          <w:p w14:paraId="3D1FD4AD">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排污</w:t>
            </w:r>
            <w:r>
              <w:rPr>
                <w:rFonts w:hint="eastAsia" w:ascii="宋体" w:hAnsi="宋体" w:eastAsia="宋体" w:cs="宋体"/>
                <w:color w:val="auto"/>
                <w:sz w:val="21"/>
                <w:szCs w:val="21"/>
                <w:highlight w:val="none"/>
                <w:lang w:val="en-US" w:eastAsia="zh-CN"/>
              </w:rPr>
              <w:t>许可</w:t>
            </w:r>
          </w:p>
          <w:p w14:paraId="2D3BB10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管理类别</w:t>
            </w:r>
          </w:p>
        </w:tc>
        <w:tc>
          <w:tcPr>
            <w:tcW w:w="5789" w:type="dxa"/>
            <w:noWrap w:val="0"/>
            <w:vAlign w:val="top"/>
          </w:tcPr>
          <w:p w14:paraId="6F4949EE">
            <w:pPr>
              <w:keepNext w:val="0"/>
              <w:keepLines w:val="0"/>
              <w:pageBreakBefore w:val="0"/>
              <w:widowControl/>
              <w:suppressLineNumbers w:val="0"/>
              <w:kinsoku/>
              <w:wordWrap/>
              <w:overflowPunct/>
              <w:topLinePunct w:val="0"/>
              <w:bidi w:val="0"/>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未纳入排污许可管理</w:t>
            </w:r>
          </w:p>
        </w:tc>
        <w:tc>
          <w:tcPr>
            <w:tcW w:w="1335" w:type="dxa"/>
            <w:noWrap w:val="0"/>
            <w:vAlign w:val="top"/>
          </w:tcPr>
          <w:p w14:paraId="78F64BFD">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r>
      <w:tr w14:paraId="70D08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24" w:type="dxa"/>
            <w:vMerge w:val="continue"/>
            <w:noWrap w:val="0"/>
            <w:vAlign w:val="center"/>
          </w:tcPr>
          <w:p w14:paraId="1C6BB918">
            <w:pPr>
              <w:jc w:val="center"/>
              <w:rPr>
                <w:rFonts w:hint="eastAsia" w:ascii="宋体" w:hAnsi="宋体" w:eastAsia="宋体" w:cs="宋体"/>
                <w:color w:val="auto"/>
                <w:sz w:val="21"/>
                <w:szCs w:val="21"/>
                <w:highlight w:val="none"/>
              </w:rPr>
            </w:pPr>
          </w:p>
        </w:tc>
        <w:tc>
          <w:tcPr>
            <w:tcW w:w="5789" w:type="dxa"/>
            <w:noWrap w:val="0"/>
            <w:vAlign w:val="center"/>
          </w:tcPr>
          <w:p w14:paraId="66EFB57D">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312" w:lineRule="exact"/>
              <w:ind w:left="0" w:leftChars="0" w:right="0" w:rightChars="0"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简化管理</w:t>
            </w:r>
          </w:p>
        </w:tc>
        <w:tc>
          <w:tcPr>
            <w:tcW w:w="1335" w:type="dxa"/>
            <w:noWrap w:val="0"/>
            <w:vAlign w:val="center"/>
          </w:tcPr>
          <w:p w14:paraId="2ED77E23">
            <w:pPr>
              <w:keepNext w:val="0"/>
              <w:keepLines w:val="0"/>
              <w:pageBreakBefore w:val="0"/>
              <w:widowControl w:val="0"/>
              <w:shd w:val="clear" w:color="auto" w:fill="auto"/>
              <w:kinsoku/>
              <w:wordWrap/>
              <w:overflowPunct/>
              <w:topLinePunct/>
              <w:autoSpaceDE w:val="0"/>
              <w:autoSpaceDN w:val="0"/>
              <w:bidi w:val="0"/>
              <w:adjustRightInd w:val="0"/>
              <w:snapToGrid w:val="0"/>
              <w:spacing w:line="312" w:lineRule="exact"/>
              <w:ind w:left="0" w:leftChars="0" w:right="0" w:rightChars="0" w:firstLine="0" w:firstLineChars="0"/>
              <w:jc w:val="center"/>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3</w:t>
            </w:r>
          </w:p>
        </w:tc>
      </w:tr>
      <w:tr w14:paraId="3DF5B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24" w:type="dxa"/>
            <w:vMerge w:val="continue"/>
            <w:noWrap w:val="0"/>
            <w:vAlign w:val="center"/>
          </w:tcPr>
          <w:p w14:paraId="5EBE5B1C">
            <w:pPr>
              <w:keepNext w:val="0"/>
              <w:keepLines w:val="0"/>
              <w:pageBreakBefore w:val="0"/>
              <w:widowControl w:val="0"/>
              <w:shd w:val="clear" w:color="auto" w:fill="auto"/>
              <w:kinsoku/>
              <w:wordWrap/>
              <w:overflowPunct/>
              <w:topLinePunct/>
              <w:autoSpaceDE w:val="0"/>
              <w:autoSpaceDN w:val="0"/>
              <w:bidi w:val="0"/>
              <w:adjustRightInd w:val="0"/>
              <w:snapToGrid w:val="0"/>
              <w:spacing w:line="312"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p>
        </w:tc>
        <w:tc>
          <w:tcPr>
            <w:tcW w:w="5789" w:type="dxa"/>
            <w:noWrap w:val="0"/>
            <w:vAlign w:val="center"/>
          </w:tcPr>
          <w:p w14:paraId="2B16A6AC">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312" w:lineRule="exact"/>
              <w:ind w:left="0" w:leftChars="0" w:right="0" w:rightChars="0"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重点管理</w:t>
            </w:r>
          </w:p>
        </w:tc>
        <w:tc>
          <w:tcPr>
            <w:tcW w:w="1335" w:type="dxa"/>
            <w:noWrap w:val="0"/>
            <w:vAlign w:val="center"/>
          </w:tcPr>
          <w:p w14:paraId="15418C1D">
            <w:pPr>
              <w:keepNext w:val="0"/>
              <w:keepLines w:val="0"/>
              <w:pageBreakBefore w:val="0"/>
              <w:widowControl w:val="0"/>
              <w:shd w:val="clear" w:color="auto" w:fill="auto"/>
              <w:kinsoku/>
              <w:wordWrap/>
              <w:overflowPunct/>
              <w:topLinePunct/>
              <w:autoSpaceDE w:val="0"/>
              <w:autoSpaceDN w:val="0"/>
              <w:bidi w:val="0"/>
              <w:adjustRightInd w:val="0"/>
              <w:snapToGrid w:val="0"/>
              <w:spacing w:line="312" w:lineRule="exact"/>
              <w:ind w:left="0" w:leftChars="0" w:right="0" w:rightChars="0" w:firstLine="0" w:firstLineChars="0"/>
              <w:jc w:val="center"/>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5</w:t>
            </w:r>
          </w:p>
        </w:tc>
      </w:tr>
      <w:tr w14:paraId="02C2C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24" w:type="dxa"/>
            <w:vMerge w:val="restart"/>
            <w:noWrap w:val="0"/>
            <w:vAlign w:val="center"/>
          </w:tcPr>
          <w:p w14:paraId="642F766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建设地点</w:t>
            </w:r>
          </w:p>
        </w:tc>
        <w:tc>
          <w:tcPr>
            <w:tcW w:w="5789" w:type="dxa"/>
            <w:noWrap w:val="0"/>
            <w:vAlign w:val="top"/>
          </w:tcPr>
          <w:p w14:paraId="2465DB2D">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二类环境空气功能区</w:t>
            </w:r>
            <w:r>
              <w:rPr>
                <w:rFonts w:hint="eastAsia" w:ascii="宋体" w:hAnsi="宋体" w:eastAsia="宋体" w:cs="宋体"/>
                <w:color w:val="auto"/>
                <w:sz w:val="21"/>
                <w:szCs w:val="21"/>
                <w:highlight w:val="none"/>
              </w:rPr>
              <w:t>（工业区和农村地区）</w:t>
            </w:r>
          </w:p>
        </w:tc>
        <w:tc>
          <w:tcPr>
            <w:tcW w:w="1335" w:type="dxa"/>
            <w:noWrap w:val="0"/>
            <w:vAlign w:val="center"/>
          </w:tcPr>
          <w:p w14:paraId="7444A38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48A71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24" w:type="dxa"/>
            <w:vMerge w:val="continue"/>
            <w:noWrap w:val="0"/>
            <w:vAlign w:val="center"/>
          </w:tcPr>
          <w:p w14:paraId="41B207CC">
            <w:pPr>
              <w:rPr>
                <w:rFonts w:hint="eastAsia" w:ascii="宋体" w:hAnsi="宋体" w:eastAsia="宋体" w:cs="宋体"/>
                <w:color w:val="auto"/>
                <w:sz w:val="21"/>
                <w:szCs w:val="21"/>
                <w:highlight w:val="none"/>
              </w:rPr>
            </w:pPr>
          </w:p>
        </w:tc>
        <w:tc>
          <w:tcPr>
            <w:tcW w:w="5789" w:type="dxa"/>
            <w:noWrap w:val="0"/>
            <w:vAlign w:val="top"/>
          </w:tcPr>
          <w:p w14:paraId="7D1E31AA">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二类环境空气功能区</w:t>
            </w:r>
            <w:r>
              <w:rPr>
                <w:rFonts w:hint="eastAsia" w:ascii="宋体" w:hAnsi="宋体" w:eastAsia="宋体" w:cs="宋体"/>
                <w:color w:val="auto"/>
                <w:sz w:val="21"/>
                <w:szCs w:val="21"/>
                <w:highlight w:val="none"/>
              </w:rPr>
              <w:t>（居民区、商业交通居民混合区、文化区）</w:t>
            </w:r>
          </w:p>
        </w:tc>
        <w:tc>
          <w:tcPr>
            <w:tcW w:w="1335" w:type="dxa"/>
            <w:noWrap w:val="0"/>
            <w:vAlign w:val="center"/>
          </w:tcPr>
          <w:p w14:paraId="7395E9D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588AF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24" w:type="dxa"/>
            <w:vMerge w:val="continue"/>
            <w:noWrap w:val="0"/>
            <w:vAlign w:val="center"/>
          </w:tcPr>
          <w:p w14:paraId="03F0DC16">
            <w:pPr>
              <w:rPr>
                <w:rFonts w:hint="eastAsia" w:ascii="宋体" w:hAnsi="宋体" w:eastAsia="宋体" w:cs="宋体"/>
                <w:color w:val="auto"/>
                <w:sz w:val="21"/>
                <w:szCs w:val="21"/>
                <w:highlight w:val="none"/>
              </w:rPr>
            </w:pPr>
          </w:p>
        </w:tc>
        <w:tc>
          <w:tcPr>
            <w:tcW w:w="5789" w:type="dxa"/>
            <w:noWrap w:val="0"/>
            <w:vAlign w:val="top"/>
          </w:tcPr>
          <w:p w14:paraId="048D0FD5">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一类环境空气功能区</w:t>
            </w:r>
          </w:p>
        </w:tc>
        <w:tc>
          <w:tcPr>
            <w:tcW w:w="1335" w:type="dxa"/>
            <w:noWrap w:val="0"/>
            <w:vAlign w:val="center"/>
          </w:tcPr>
          <w:p w14:paraId="00A28F4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bl>
    <w:p w14:paraId="49C0A2CA">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504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26"/>
        <w:gridCol w:w="5844"/>
        <w:gridCol w:w="1359"/>
      </w:tblGrid>
      <w:tr w14:paraId="275FB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9029" w:type="dxa"/>
            <w:gridSpan w:val="3"/>
            <w:noWrap w:val="0"/>
            <w:vAlign w:val="top"/>
          </w:tcPr>
          <w:p w14:paraId="27F021B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四</w:t>
            </w:r>
            <w:r>
              <w:rPr>
                <w:rFonts w:hint="eastAsia" w:ascii="宋体" w:hAnsi="宋体" w:eastAsia="宋体" w:cs="宋体"/>
                <w:color w:val="auto"/>
                <w:sz w:val="21"/>
                <w:szCs w:val="21"/>
                <w:highlight w:val="none"/>
              </w:rPr>
              <w:t>）大气污染防治类</w:t>
            </w:r>
          </w:p>
        </w:tc>
      </w:tr>
      <w:tr w14:paraId="3A5D3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1826" w:type="dxa"/>
            <w:noWrap w:val="0"/>
            <w:vAlign w:val="top"/>
          </w:tcPr>
          <w:p w14:paraId="54E7722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7203" w:type="dxa"/>
            <w:gridSpan w:val="2"/>
            <w:noWrap w:val="0"/>
            <w:vAlign w:val="top"/>
          </w:tcPr>
          <w:p w14:paraId="15345E86">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w:t>
            </w:r>
          </w:p>
        </w:tc>
      </w:tr>
      <w:tr w14:paraId="3195D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trPr>
        <w:tc>
          <w:tcPr>
            <w:tcW w:w="1826" w:type="dxa"/>
            <w:noWrap w:val="0"/>
            <w:vAlign w:val="center"/>
          </w:tcPr>
          <w:p w14:paraId="7098F37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7203" w:type="dxa"/>
            <w:gridSpan w:val="2"/>
            <w:noWrap w:val="0"/>
            <w:vAlign w:val="center"/>
          </w:tcPr>
          <w:p w14:paraId="01B8A420">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生产和使用产生含挥发性有机物原辅材料和产品，未在密闭空间或者设备中进行并安装、使用污染防治设施或者未采取减少废气排放措施的</w:t>
            </w:r>
          </w:p>
        </w:tc>
      </w:tr>
      <w:tr w14:paraId="1634F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trPr>
        <w:tc>
          <w:tcPr>
            <w:tcW w:w="1826" w:type="dxa"/>
            <w:noWrap w:val="0"/>
            <w:vAlign w:val="center"/>
          </w:tcPr>
          <w:p w14:paraId="34B4E7A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7203" w:type="dxa"/>
            <w:gridSpan w:val="2"/>
            <w:noWrap w:val="0"/>
            <w:vAlign w:val="center"/>
          </w:tcPr>
          <w:p w14:paraId="262EFBEA">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《中华人民共和国生态环境法典》第二百一十四条  生产、使用含挥发性有机物的原辅材料和产品，应当按照国家规定，在密闭空间、设备中进行并安装、使用污染防治设施，或者采取有效措施减少废气排放。</w:t>
            </w:r>
          </w:p>
        </w:tc>
      </w:tr>
      <w:tr w14:paraId="72C7B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1826" w:type="dxa"/>
            <w:noWrap w:val="0"/>
            <w:vAlign w:val="center"/>
          </w:tcPr>
          <w:p w14:paraId="2A08076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7203" w:type="dxa"/>
            <w:gridSpan w:val="2"/>
            <w:noWrap w:val="0"/>
            <w:vAlign w:val="center"/>
          </w:tcPr>
          <w:p w14:paraId="0B50C4FA">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《中华人民共和国生态环境法典》第一千一百二十条</w:t>
            </w:r>
            <w:r>
              <w:rPr>
                <w:rFonts w:hint="eastAsia" w:ascii="宋体" w:hAnsi="宋体" w:eastAsia="宋体" w:cs="宋体"/>
                <w:color w:val="auto"/>
                <w:sz w:val="21"/>
                <w:szCs w:val="21"/>
                <w:highlight w:val="none"/>
                <w:lang w:val="en-US" w:eastAsia="zh-CN"/>
              </w:rPr>
              <w:t>第一款第二项</w:t>
            </w:r>
            <w:r>
              <w:rPr>
                <w:rFonts w:hint="eastAsia" w:ascii="宋体" w:hAnsi="宋体" w:eastAsia="宋体" w:cs="宋体"/>
                <w:color w:val="auto"/>
                <w:sz w:val="21"/>
                <w:szCs w:val="21"/>
                <w:highlight w:val="none"/>
              </w:rPr>
              <w:t xml:space="preserve">  违反本法规定，有下列情形之一的，由生态环境主管部门责令改正，处二万元以上二十万元以下的罚款；拒不改正的，责令停产整治：</w:t>
            </w:r>
          </w:p>
          <w:p w14:paraId="4E1900F1">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（二）生产和使用产生含挥发性有机物原辅材料和产品，未在密闭空间或者设备中进行并安装、使用污染防治设施或者未采取减少废气排放措施；</w:t>
            </w:r>
          </w:p>
        </w:tc>
      </w:tr>
      <w:tr w14:paraId="1520C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1826" w:type="dxa"/>
            <w:noWrap w:val="0"/>
            <w:vAlign w:val="center"/>
          </w:tcPr>
          <w:p w14:paraId="32967E7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844" w:type="dxa"/>
            <w:noWrap w:val="0"/>
            <w:vAlign w:val="top"/>
          </w:tcPr>
          <w:p w14:paraId="3723F61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359" w:type="dxa"/>
            <w:noWrap w:val="0"/>
            <w:vAlign w:val="top"/>
          </w:tcPr>
          <w:p w14:paraId="366E1AE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595D1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rPr>
        <w:tc>
          <w:tcPr>
            <w:tcW w:w="1826" w:type="dxa"/>
            <w:vMerge w:val="restart"/>
            <w:noWrap w:val="0"/>
            <w:vAlign w:val="center"/>
          </w:tcPr>
          <w:p w14:paraId="54B8A3B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违法事实</w:t>
            </w:r>
          </w:p>
        </w:tc>
        <w:tc>
          <w:tcPr>
            <w:tcW w:w="5844" w:type="dxa"/>
            <w:noWrap w:val="0"/>
            <w:vAlign w:val="center"/>
          </w:tcPr>
          <w:p w14:paraId="62F3CFB7">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420" w:firstLineChars="20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在密闭空间或者设备中进行，已安装但未按规定使用污染治理设施</w:t>
            </w:r>
          </w:p>
        </w:tc>
        <w:tc>
          <w:tcPr>
            <w:tcW w:w="1359" w:type="dxa"/>
            <w:noWrap w:val="0"/>
            <w:vAlign w:val="center"/>
          </w:tcPr>
          <w:p w14:paraId="6FD46590">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r>
      <w:tr w14:paraId="4A8B0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826" w:type="dxa"/>
            <w:vMerge w:val="continue"/>
            <w:noWrap w:val="0"/>
            <w:vAlign w:val="center"/>
          </w:tcPr>
          <w:p w14:paraId="59D5C139">
            <w:pPr>
              <w:jc w:val="center"/>
              <w:rPr>
                <w:rFonts w:hint="eastAsia" w:ascii="宋体" w:hAnsi="宋体" w:eastAsia="宋体" w:cs="宋体"/>
                <w:color w:val="auto"/>
                <w:sz w:val="21"/>
                <w:szCs w:val="21"/>
                <w:highlight w:val="none"/>
              </w:rPr>
            </w:pPr>
          </w:p>
        </w:tc>
        <w:tc>
          <w:tcPr>
            <w:tcW w:w="5844" w:type="dxa"/>
            <w:noWrap w:val="0"/>
            <w:vAlign w:val="center"/>
          </w:tcPr>
          <w:p w14:paraId="4A53326F">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420" w:firstLineChars="20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在密闭空间或者设备中进行，未按规定安装并使用污染治理设施</w:t>
            </w:r>
          </w:p>
        </w:tc>
        <w:tc>
          <w:tcPr>
            <w:tcW w:w="1359" w:type="dxa"/>
            <w:noWrap w:val="0"/>
            <w:vAlign w:val="center"/>
          </w:tcPr>
          <w:p w14:paraId="19A70BB4">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r>
      <w:tr w14:paraId="44CB9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1826" w:type="dxa"/>
            <w:vMerge w:val="continue"/>
            <w:noWrap w:val="0"/>
            <w:vAlign w:val="center"/>
          </w:tcPr>
          <w:p w14:paraId="79DE4ED1">
            <w:pPr>
              <w:jc w:val="center"/>
              <w:rPr>
                <w:rFonts w:hint="eastAsia" w:ascii="宋体" w:hAnsi="宋体" w:eastAsia="宋体" w:cs="宋体"/>
                <w:color w:val="auto"/>
                <w:sz w:val="21"/>
                <w:szCs w:val="21"/>
                <w:highlight w:val="none"/>
              </w:rPr>
            </w:pPr>
          </w:p>
        </w:tc>
        <w:tc>
          <w:tcPr>
            <w:tcW w:w="5844" w:type="dxa"/>
            <w:noWrap w:val="0"/>
            <w:vAlign w:val="center"/>
          </w:tcPr>
          <w:p w14:paraId="41C176FB">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420" w:firstLineChars="20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未在密闭空间或设备中进行，已按照规定安装并使用污染治理设施</w:t>
            </w:r>
          </w:p>
        </w:tc>
        <w:tc>
          <w:tcPr>
            <w:tcW w:w="1359" w:type="dxa"/>
            <w:noWrap w:val="0"/>
            <w:vAlign w:val="center"/>
          </w:tcPr>
          <w:p w14:paraId="790D4302">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r>
      <w:tr w14:paraId="6A8E4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1826" w:type="dxa"/>
            <w:vMerge w:val="continue"/>
            <w:noWrap w:val="0"/>
            <w:vAlign w:val="center"/>
          </w:tcPr>
          <w:p w14:paraId="3E1FAABF">
            <w:pPr>
              <w:jc w:val="center"/>
              <w:rPr>
                <w:rFonts w:hint="eastAsia" w:ascii="宋体" w:hAnsi="宋体" w:eastAsia="宋体" w:cs="宋体"/>
                <w:color w:val="auto"/>
                <w:sz w:val="21"/>
                <w:szCs w:val="21"/>
                <w:highlight w:val="none"/>
              </w:rPr>
            </w:pPr>
          </w:p>
        </w:tc>
        <w:tc>
          <w:tcPr>
            <w:tcW w:w="5844" w:type="dxa"/>
            <w:noWrap w:val="0"/>
            <w:vAlign w:val="center"/>
          </w:tcPr>
          <w:p w14:paraId="7AAC4707">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420" w:firstLineChars="200"/>
              <w:jc w:val="both"/>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未在密闭空间或者设备中进行，已安装但未按规定使用污染治理设施；</w:t>
            </w:r>
          </w:p>
        </w:tc>
        <w:tc>
          <w:tcPr>
            <w:tcW w:w="1359" w:type="dxa"/>
            <w:noWrap w:val="0"/>
            <w:vAlign w:val="center"/>
          </w:tcPr>
          <w:p w14:paraId="36B223ED">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r>
      <w:tr w14:paraId="48009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1826" w:type="dxa"/>
            <w:vMerge w:val="continue"/>
            <w:noWrap w:val="0"/>
            <w:vAlign w:val="center"/>
          </w:tcPr>
          <w:p w14:paraId="72EAA644">
            <w:pPr>
              <w:jc w:val="center"/>
              <w:rPr>
                <w:rFonts w:hint="eastAsia" w:ascii="宋体" w:hAnsi="宋体" w:eastAsia="宋体" w:cs="宋体"/>
                <w:color w:val="auto"/>
                <w:sz w:val="21"/>
                <w:szCs w:val="21"/>
                <w:highlight w:val="none"/>
              </w:rPr>
            </w:pPr>
          </w:p>
        </w:tc>
        <w:tc>
          <w:tcPr>
            <w:tcW w:w="5844" w:type="dxa"/>
            <w:noWrap w:val="0"/>
            <w:vAlign w:val="center"/>
          </w:tcPr>
          <w:p w14:paraId="52881B73">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420" w:firstLineChars="200"/>
              <w:jc w:val="both"/>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未在密闭空间或者设备中进行，未按规定安装并使用污染治理设施/无法密闭的，未采取措施减少废气排放</w:t>
            </w:r>
          </w:p>
        </w:tc>
        <w:tc>
          <w:tcPr>
            <w:tcW w:w="1359" w:type="dxa"/>
            <w:noWrap w:val="0"/>
            <w:vAlign w:val="center"/>
          </w:tcPr>
          <w:p w14:paraId="1AFE61E4">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r>
      <w:tr w14:paraId="0A9F5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1826" w:type="dxa"/>
            <w:vMerge w:val="restart"/>
            <w:noWrap w:val="0"/>
            <w:vAlign w:val="center"/>
          </w:tcPr>
          <w:p w14:paraId="37627765">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排污</w:t>
            </w:r>
            <w:r>
              <w:rPr>
                <w:rFonts w:hint="eastAsia" w:ascii="宋体" w:hAnsi="宋体" w:eastAsia="宋体" w:cs="宋体"/>
                <w:color w:val="auto"/>
                <w:sz w:val="21"/>
                <w:szCs w:val="21"/>
                <w:highlight w:val="none"/>
                <w:lang w:val="en-US" w:eastAsia="zh-CN"/>
              </w:rPr>
              <w:t>许可</w:t>
            </w:r>
          </w:p>
          <w:p w14:paraId="14E35A3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管理类别</w:t>
            </w:r>
          </w:p>
        </w:tc>
        <w:tc>
          <w:tcPr>
            <w:tcW w:w="5844" w:type="dxa"/>
            <w:noWrap w:val="0"/>
            <w:vAlign w:val="top"/>
          </w:tcPr>
          <w:p w14:paraId="19BE2EC9">
            <w:pPr>
              <w:keepNext w:val="0"/>
              <w:keepLines w:val="0"/>
              <w:pageBreakBefore w:val="0"/>
              <w:widowControl/>
              <w:suppressLineNumbers w:val="0"/>
              <w:kinsoku/>
              <w:wordWrap/>
              <w:overflowPunct/>
              <w:topLinePunct w:val="0"/>
              <w:bidi w:val="0"/>
              <w:ind w:firstLine="420" w:firstLineChars="2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kern w:val="2"/>
                <w:sz w:val="21"/>
                <w:szCs w:val="21"/>
                <w:highlight w:val="none"/>
                <w:lang w:val="en-US" w:eastAsia="zh-CN" w:bidi="ar-SA"/>
              </w:rPr>
              <w:t>未纳入排污许可管理</w:t>
            </w:r>
          </w:p>
        </w:tc>
        <w:tc>
          <w:tcPr>
            <w:tcW w:w="1359" w:type="dxa"/>
            <w:noWrap w:val="0"/>
            <w:vAlign w:val="top"/>
          </w:tcPr>
          <w:p w14:paraId="3CE70597">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r>
      <w:tr w14:paraId="39054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1826" w:type="dxa"/>
            <w:vMerge w:val="continue"/>
            <w:noWrap w:val="0"/>
            <w:vAlign w:val="center"/>
          </w:tcPr>
          <w:p w14:paraId="2732ABC2">
            <w:pPr>
              <w:jc w:val="center"/>
              <w:rPr>
                <w:rFonts w:hint="eastAsia" w:ascii="宋体" w:hAnsi="宋体" w:eastAsia="宋体" w:cs="宋体"/>
                <w:color w:val="auto"/>
                <w:sz w:val="21"/>
                <w:szCs w:val="21"/>
                <w:highlight w:val="none"/>
              </w:rPr>
            </w:pPr>
          </w:p>
        </w:tc>
        <w:tc>
          <w:tcPr>
            <w:tcW w:w="5844" w:type="dxa"/>
            <w:noWrap w:val="0"/>
            <w:vAlign w:val="center"/>
          </w:tcPr>
          <w:p w14:paraId="41ACC6A1">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312" w:lineRule="exact"/>
              <w:ind w:left="0" w:leftChars="0" w:right="0" w:rightChars="0" w:firstLine="420" w:firstLineChars="20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kern w:val="2"/>
                <w:sz w:val="21"/>
                <w:szCs w:val="21"/>
                <w:highlight w:val="none"/>
                <w:lang w:val="en-US" w:eastAsia="zh-CN" w:bidi="ar-SA"/>
              </w:rPr>
              <w:t>简化管理</w:t>
            </w:r>
          </w:p>
        </w:tc>
        <w:tc>
          <w:tcPr>
            <w:tcW w:w="1359" w:type="dxa"/>
            <w:noWrap w:val="0"/>
            <w:vAlign w:val="center"/>
          </w:tcPr>
          <w:p w14:paraId="130F1D7C">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r>
      <w:tr w14:paraId="24194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1826" w:type="dxa"/>
            <w:vMerge w:val="continue"/>
            <w:noWrap w:val="0"/>
            <w:vAlign w:val="center"/>
          </w:tcPr>
          <w:p w14:paraId="0855F0C5">
            <w:pPr>
              <w:jc w:val="center"/>
              <w:rPr>
                <w:rFonts w:hint="eastAsia" w:ascii="宋体" w:hAnsi="宋体" w:eastAsia="宋体" w:cs="宋体"/>
                <w:color w:val="auto"/>
                <w:sz w:val="21"/>
                <w:szCs w:val="21"/>
                <w:highlight w:val="none"/>
              </w:rPr>
            </w:pPr>
          </w:p>
        </w:tc>
        <w:tc>
          <w:tcPr>
            <w:tcW w:w="5844" w:type="dxa"/>
            <w:noWrap w:val="0"/>
            <w:vAlign w:val="center"/>
          </w:tcPr>
          <w:p w14:paraId="317D3DD8">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312" w:lineRule="exact"/>
              <w:ind w:left="0" w:leftChars="0" w:right="0" w:rightChars="0" w:firstLine="420" w:firstLineChars="200"/>
              <w:textAlignment w:val="baseline"/>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重点管理</w:t>
            </w:r>
          </w:p>
        </w:tc>
        <w:tc>
          <w:tcPr>
            <w:tcW w:w="1359" w:type="dxa"/>
            <w:noWrap w:val="0"/>
            <w:vAlign w:val="center"/>
          </w:tcPr>
          <w:p w14:paraId="4FDDC521">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r>
      <w:tr w14:paraId="5135F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1826" w:type="dxa"/>
            <w:vMerge w:val="continue"/>
            <w:noWrap w:val="0"/>
            <w:vAlign w:val="center"/>
          </w:tcPr>
          <w:p w14:paraId="293E9975">
            <w:pPr>
              <w:keepNext w:val="0"/>
              <w:keepLines w:val="0"/>
              <w:pageBreakBefore w:val="0"/>
              <w:widowControl w:val="0"/>
              <w:shd w:val="clear" w:color="auto" w:fill="auto"/>
              <w:kinsoku/>
              <w:wordWrap/>
              <w:overflowPunct/>
              <w:topLinePunct/>
              <w:autoSpaceDE w:val="0"/>
              <w:autoSpaceDN w:val="0"/>
              <w:bidi w:val="0"/>
              <w:adjustRightInd w:val="0"/>
              <w:snapToGrid w:val="0"/>
              <w:spacing w:line="312"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p>
        </w:tc>
        <w:tc>
          <w:tcPr>
            <w:tcW w:w="5844" w:type="dxa"/>
            <w:noWrap w:val="0"/>
            <w:vAlign w:val="center"/>
          </w:tcPr>
          <w:p w14:paraId="177CFC6C">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312" w:lineRule="exact"/>
              <w:ind w:left="0" w:leftChars="0" w:right="0" w:rightChars="0" w:firstLine="420" w:firstLineChars="20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kern w:val="2"/>
                <w:sz w:val="21"/>
                <w:szCs w:val="21"/>
                <w:highlight w:val="none"/>
                <w:lang w:val="en-US" w:eastAsia="zh-CN" w:bidi="ar-SA"/>
              </w:rPr>
              <w:t>重点管理（钢铁、石化、化工、电镀、皮革、造纸、冶炼、印染、染料、水泥、煤电、陶瓷、采矿、放射性、危废经营、垃圾焚烧发电、平板玻璃，“两高”项目）</w:t>
            </w:r>
          </w:p>
        </w:tc>
        <w:tc>
          <w:tcPr>
            <w:tcW w:w="1359" w:type="dxa"/>
            <w:noWrap w:val="0"/>
            <w:vAlign w:val="center"/>
          </w:tcPr>
          <w:p w14:paraId="1A1E3994">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r>
      <w:tr w14:paraId="35E47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1826" w:type="dxa"/>
            <w:vMerge w:val="restart"/>
            <w:noWrap w:val="0"/>
            <w:vAlign w:val="center"/>
          </w:tcPr>
          <w:p w14:paraId="1E8777C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建设地点</w:t>
            </w:r>
          </w:p>
        </w:tc>
        <w:tc>
          <w:tcPr>
            <w:tcW w:w="5844" w:type="dxa"/>
            <w:noWrap w:val="0"/>
            <w:vAlign w:val="top"/>
          </w:tcPr>
          <w:p w14:paraId="3C6A5FCB">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二类环境空气功能区</w:t>
            </w:r>
            <w:r>
              <w:rPr>
                <w:rFonts w:hint="eastAsia" w:ascii="宋体" w:hAnsi="宋体" w:eastAsia="宋体" w:cs="宋体"/>
                <w:color w:val="auto"/>
                <w:sz w:val="21"/>
                <w:szCs w:val="21"/>
                <w:highlight w:val="none"/>
              </w:rPr>
              <w:t>（工业区和农村地区）</w:t>
            </w:r>
          </w:p>
        </w:tc>
        <w:tc>
          <w:tcPr>
            <w:tcW w:w="1359" w:type="dxa"/>
            <w:noWrap w:val="0"/>
            <w:vAlign w:val="center"/>
          </w:tcPr>
          <w:p w14:paraId="3E489A4E">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r>
      <w:tr w14:paraId="38CB3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1826" w:type="dxa"/>
            <w:vMerge w:val="continue"/>
            <w:noWrap w:val="0"/>
            <w:vAlign w:val="center"/>
          </w:tcPr>
          <w:p w14:paraId="67E2A7EC">
            <w:pPr>
              <w:rPr>
                <w:rFonts w:hint="eastAsia" w:ascii="宋体" w:hAnsi="宋体" w:eastAsia="宋体" w:cs="宋体"/>
                <w:color w:val="auto"/>
                <w:sz w:val="21"/>
                <w:szCs w:val="21"/>
                <w:highlight w:val="none"/>
              </w:rPr>
            </w:pPr>
          </w:p>
        </w:tc>
        <w:tc>
          <w:tcPr>
            <w:tcW w:w="5844" w:type="dxa"/>
            <w:noWrap w:val="0"/>
            <w:vAlign w:val="top"/>
          </w:tcPr>
          <w:p w14:paraId="09101D0B">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二类环境空气功能区</w:t>
            </w:r>
            <w:r>
              <w:rPr>
                <w:rFonts w:hint="eastAsia" w:ascii="宋体" w:hAnsi="宋体" w:eastAsia="宋体" w:cs="宋体"/>
                <w:color w:val="auto"/>
                <w:sz w:val="21"/>
                <w:szCs w:val="21"/>
                <w:highlight w:val="none"/>
              </w:rPr>
              <w:t>（居民区、商业交通居民混合区、文化区）</w:t>
            </w:r>
          </w:p>
        </w:tc>
        <w:tc>
          <w:tcPr>
            <w:tcW w:w="1359" w:type="dxa"/>
            <w:noWrap w:val="0"/>
            <w:vAlign w:val="center"/>
          </w:tcPr>
          <w:p w14:paraId="2D014190">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r>
      <w:tr w14:paraId="0A1D1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trPr>
        <w:tc>
          <w:tcPr>
            <w:tcW w:w="1826" w:type="dxa"/>
            <w:vMerge w:val="continue"/>
            <w:noWrap w:val="0"/>
            <w:vAlign w:val="center"/>
          </w:tcPr>
          <w:p w14:paraId="2C99825E">
            <w:pPr>
              <w:rPr>
                <w:rFonts w:hint="eastAsia" w:ascii="宋体" w:hAnsi="宋体" w:eastAsia="宋体" w:cs="宋体"/>
                <w:color w:val="auto"/>
                <w:sz w:val="21"/>
                <w:szCs w:val="21"/>
                <w:highlight w:val="none"/>
              </w:rPr>
            </w:pPr>
          </w:p>
        </w:tc>
        <w:tc>
          <w:tcPr>
            <w:tcW w:w="5844" w:type="dxa"/>
            <w:noWrap w:val="0"/>
            <w:vAlign w:val="top"/>
          </w:tcPr>
          <w:p w14:paraId="3C85B89B">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一类环境空气功能区</w:t>
            </w:r>
          </w:p>
        </w:tc>
        <w:tc>
          <w:tcPr>
            <w:tcW w:w="1359" w:type="dxa"/>
            <w:noWrap w:val="0"/>
            <w:vAlign w:val="center"/>
          </w:tcPr>
          <w:p w14:paraId="39A41EAF">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r>
    </w:tbl>
    <w:p w14:paraId="0E82CA12">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2"/>
        <w:gridCol w:w="5916"/>
        <w:gridCol w:w="1340"/>
      </w:tblGrid>
      <w:tr w14:paraId="743E1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48" w:type="dxa"/>
            <w:gridSpan w:val="3"/>
            <w:noWrap w:val="0"/>
            <w:vAlign w:val="center"/>
          </w:tcPr>
          <w:p w14:paraId="7AAFB457">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四</w:t>
            </w:r>
            <w:r>
              <w:rPr>
                <w:rFonts w:hint="eastAsia" w:ascii="宋体" w:hAnsi="宋体" w:eastAsia="宋体" w:cs="宋体"/>
                <w:color w:val="auto"/>
                <w:sz w:val="21"/>
                <w:szCs w:val="21"/>
                <w:highlight w:val="none"/>
              </w:rPr>
              <w:t>）大气污染防治类</w:t>
            </w:r>
          </w:p>
        </w:tc>
      </w:tr>
      <w:tr w14:paraId="62378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2" w:type="dxa"/>
            <w:noWrap w:val="0"/>
            <w:vAlign w:val="center"/>
          </w:tcPr>
          <w:p w14:paraId="3B3E354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7256" w:type="dxa"/>
            <w:gridSpan w:val="2"/>
            <w:noWrap w:val="0"/>
            <w:vAlign w:val="center"/>
          </w:tcPr>
          <w:p w14:paraId="5737C4B5">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w:t>
            </w:r>
          </w:p>
        </w:tc>
      </w:tr>
      <w:tr w14:paraId="6A1FF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2" w:type="dxa"/>
            <w:noWrap w:val="0"/>
            <w:vAlign w:val="center"/>
          </w:tcPr>
          <w:p w14:paraId="6BA6854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7256" w:type="dxa"/>
            <w:gridSpan w:val="2"/>
            <w:noWrap w:val="0"/>
            <w:vAlign w:val="center"/>
          </w:tcPr>
          <w:p w14:paraId="067C00B2">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石油、化工以及其他生产和使用有机溶剂的企业，未采取措施对管道、设备进行日常维护、维修，减少物料泄漏或者对泄漏的物料未及时收集处理的</w:t>
            </w:r>
          </w:p>
        </w:tc>
      </w:tr>
      <w:tr w14:paraId="21B67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2" w:type="dxa"/>
            <w:noWrap w:val="0"/>
            <w:vAlign w:val="center"/>
          </w:tcPr>
          <w:p w14:paraId="5FCE89C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7256" w:type="dxa"/>
            <w:gridSpan w:val="2"/>
            <w:noWrap w:val="0"/>
            <w:vAlign w:val="center"/>
          </w:tcPr>
          <w:p w14:paraId="3622718E">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《中华人民共和国生态环境法典》第二百一十六条第一款  石油、化工及其他生产、使用有机溶剂的企业，应当采取有效措施对管道、设备进行日常维护、维修，减少物料泄漏，对泄漏的物料应当及时收集处理。</w:t>
            </w:r>
          </w:p>
        </w:tc>
      </w:tr>
      <w:tr w14:paraId="4D9FC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2" w:type="dxa"/>
            <w:noWrap w:val="0"/>
            <w:vAlign w:val="center"/>
          </w:tcPr>
          <w:p w14:paraId="731B254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7256" w:type="dxa"/>
            <w:gridSpan w:val="2"/>
            <w:noWrap w:val="0"/>
            <w:vAlign w:val="center"/>
          </w:tcPr>
          <w:p w14:paraId="377620B2">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《中华人民共和国生态环境法典》第一千一百二十条第一款第三项  违反本法规定，有下列情形之一的，由生态环境主管部门责令改正，处二万元以上二十万元以下的罚款；拒不改正的，责令停产整治：</w:t>
            </w:r>
          </w:p>
          <w:p w14:paraId="10DE149E">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（三）石油、化工以及其他生产和使用有机溶剂的企业，未采取措施对管道、设备进行日常维护、维修，或者对泄漏的物料未及时收集处理；</w:t>
            </w:r>
          </w:p>
        </w:tc>
      </w:tr>
      <w:tr w14:paraId="5B68B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2" w:type="dxa"/>
            <w:noWrap w:val="0"/>
            <w:vAlign w:val="center"/>
          </w:tcPr>
          <w:p w14:paraId="589EC7D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916" w:type="dxa"/>
            <w:noWrap w:val="0"/>
            <w:vAlign w:val="center"/>
          </w:tcPr>
          <w:p w14:paraId="125EB1B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340" w:type="dxa"/>
            <w:noWrap w:val="0"/>
            <w:vAlign w:val="center"/>
          </w:tcPr>
          <w:p w14:paraId="650193F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2195B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2" w:type="dxa"/>
            <w:vMerge w:val="restart"/>
            <w:noWrap w:val="0"/>
            <w:vAlign w:val="center"/>
          </w:tcPr>
          <w:p w14:paraId="05064C1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违法事实</w:t>
            </w:r>
          </w:p>
        </w:tc>
        <w:tc>
          <w:tcPr>
            <w:tcW w:w="5916" w:type="dxa"/>
            <w:noWrap w:val="0"/>
            <w:vAlign w:val="center"/>
          </w:tcPr>
          <w:p w14:paraId="153B08A9">
            <w:pPr>
              <w:pStyle w:val="11"/>
              <w:keepNext w:val="0"/>
              <w:keepLines w:val="0"/>
              <w:pageBreakBefore w:val="0"/>
              <w:widowControl w:val="0"/>
              <w:shd w:val="clear" w:color="auto" w:fill="auto"/>
              <w:kinsoku/>
              <w:wordWrap/>
              <w:overflowPunct/>
              <w:topLinePunct w:val="0"/>
              <w:autoSpaceDE w:val="0"/>
              <w:autoSpaceDN w:val="0"/>
              <w:bidi w:val="0"/>
              <w:adjustRightInd w:val="0"/>
              <w:snapToGrid w:val="0"/>
              <w:ind w:left="0" w:leftChars="0" w:right="0" w:rightChars="0" w:firstLine="420" w:firstLineChars="20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未采取措施对管道、设备进行日常维护、维修，未造成泄漏后果的</w:t>
            </w:r>
          </w:p>
        </w:tc>
        <w:tc>
          <w:tcPr>
            <w:tcW w:w="1340" w:type="dxa"/>
            <w:noWrap w:val="0"/>
            <w:vAlign w:val="center"/>
          </w:tcPr>
          <w:p w14:paraId="33B0BE53">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0F584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2" w:type="dxa"/>
            <w:vMerge w:val="continue"/>
            <w:noWrap w:val="0"/>
            <w:vAlign w:val="center"/>
          </w:tcPr>
          <w:p w14:paraId="46B90601">
            <w:pPr>
              <w:rPr>
                <w:rFonts w:hint="eastAsia" w:ascii="宋体" w:hAnsi="宋体" w:eastAsia="宋体" w:cs="宋体"/>
                <w:color w:val="auto"/>
                <w:sz w:val="21"/>
                <w:szCs w:val="21"/>
                <w:highlight w:val="none"/>
              </w:rPr>
            </w:pPr>
          </w:p>
        </w:tc>
        <w:tc>
          <w:tcPr>
            <w:tcW w:w="5916" w:type="dxa"/>
            <w:noWrap w:val="0"/>
            <w:vAlign w:val="center"/>
          </w:tcPr>
          <w:p w14:paraId="2C60090A">
            <w:pPr>
              <w:pStyle w:val="11"/>
              <w:keepNext w:val="0"/>
              <w:keepLines w:val="0"/>
              <w:pageBreakBefore w:val="0"/>
              <w:widowControl w:val="0"/>
              <w:shd w:val="clear" w:color="auto" w:fill="auto"/>
              <w:kinsoku/>
              <w:wordWrap/>
              <w:overflowPunct/>
              <w:topLinePunct w:val="0"/>
              <w:autoSpaceDE w:val="0"/>
              <w:autoSpaceDN w:val="0"/>
              <w:bidi w:val="0"/>
              <w:adjustRightInd w:val="0"/>
              <w:snapToGrid w:val="0"/>
              <w:ind w:left="0" w:leftChars="0" w:right="0" w:rightChars="0" w:firstLine="420" w:firstLineChars="20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已采取措施对管道、设备进行日常维护、维修，有泄漏物料但未及时收集处理的</w:t>
            </w:r>
          </w:p>
        </w:tc>
        <w:tc>
          <w:tcPr>
            <w:tcW w:w="1340" w:type="dxa"/>
            <w:noWrap w:val="0"/>
            <w:vAlign w:val="center"/>
          </w:tcPr>
          <w:p w14:paraId="5736AF61">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r>
      <w:tr w14:paraId="60773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2" w:type="dxa"/>
            <w:vMerge w:val="continue"/>
            <w:noWrap w:val="0"/>
            <w:vAlign w:val="center"/>
          </w:tcPr>
          <w:p w14:paraId="3D81A7C4">
            <w:pPr>
              <w:rPr>
                <w:rFonts w:hint="eastAsia" w:ascii="宋体" w:hAnsi="宋体" w:eastAsia="宋体" w:cs="宋体"/>
                <w:color w:val="auto"/>
                <w:sz w:val="21"/>
                <w:szCs w:val="21"/>
                <w:highlight w:val="none"/>
              </w:rPr>
            </w:pPr>
          </w:p>
        </w:tc>
        <w:tc>
          <w:tcPr>
            <w:tcW w:w="5916" w:type="dxa"/>
            <w:noWrap w:val="0"/>
            <w:vAlign w:val="center"/>
          </w:tcPr>
          <w:p w14:paraId="45BAEFB2">
            <w:pPr>
              <w:pStyle w:val="11"/>
              <w:keepNext w:val="0"/>
              <w:keepLines w:val="0"/>
              <w:pageBreakBefore w:val="0"/>
              <w:widowControl w:val="0"/>
              <w:shd w:val="clear" w:color="auto" w:fill="auto"/>
              <w:kinsoku/>
              <w:wordWrap/>
              <w:overflowPunct/>
              <w:topLinePunct w:val="0"/>
              <w:autoSpaceDE w:val="0"/>
              <w:autoSpaceDN w:val="0"/>
              <w:bidi w:val="0"/>
              <w:adjustRightInd w:val="0"/>
              <w:snapToGrid w:val="0"/>
              <w:ind w:left="0" w:leftChars="0" w:right="0" w:rightChars="0" w:firstLine="420" w:firstLineChars="20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未采取措施对管道、设备进行日常维护、维修，造成泄漏后果，及时收集处理的</w:t>
            </w:r>
          </w:p>
        </w:tc>
        <w:tc>
          <w:tcPr>
            <w:tcW w:w="1340" w:type="dxa"/>
            <w:noWrap w:val="0"/>
            <w:vAlign w:val="center"/>
          </w:tcPr>
          <w:p w14:paraId="45E4A679">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4</w:t>
            </w:r>
          </w:p>
        </w:tc>
      </w:tr>
      <w:tr w14:paraId="11DD8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2" w:type="dxa"/>
            <w:vMerge w:val="continue"/>
            <w:noWrap w:val="0"/>
            <w:vAlign w:val="center"/>
          </w:tcPr>
          <w:p w14:paraId="45C5F37B">
            <w:pPr>
              <w:rPr>
                <w:rFonts w:hint="eastAsia" w:ascii="宋体" w:hAnsi="宋体" w:eastAsia="宋体" w:cs="宋体"/>
                <w:color w:val="auto"/>
                <w:sz w:val="21"/>
                <w:szCs w:val="21"/>
                <w:highlight w:val="none"/>
              </w:rPr>
            </w:pPr>
          </w:p>
        </w:tc>
        <w:tc>
          <w:tcPr>
            <w:tcW w:w="5916" w:type="dxa"/>
            <w:noWrap w:val="0"/>
            <w:vAlign w:val="center"/>
          </w:tcPr>
          <w:p w14:paraId="5ED6F623">
            <w:pPr>
              <w:pStyle w:val="11"/>
              <w:keepNext w:val="0"/>
              <w:keepLines w:val="0"/>
              <w:pageBreakBefore w:val="0"/>
              <w:widowControl w:val="0"/>
              <w:shd w:val="clear" w:color="auto" w:fill="auto"/>
              <w:kinsoku/>
              <w:wordWrap/>
              <w:overflowPunct/>
              <w:topLinePunct w:val="0"/>
              <w:autoSpaceDE w:val="0"/>
              <w:autoSpaceDN w:val="0"/>
              <w:bidi w:val="0"/>
              <w:adjustRightInd w:val="0"/>
              <w:snapToGrid w:val="0"/>
              <w:ind w:left="0" w:leftChars="0" w:right="0" w:rightChars="0" w:firstLine="420" w:firstLineChars="20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未采取措施对管道、设备进行日常维护、维修，造成泄漏后果，未及时收集处理的</w:t>
            </w:r>
          </w:p>
        </w:tc>
        <w:tc>
          <w:tcPr>
            <w:tcW w:w="1340" w:type="dxa"/>
            <w:noWrap w:val="0"/>
            <w:vAlign w:val="center"/>
          </w:tcPr>
          <w:p w14:paraId="5AEE97B7">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1"/>
                <w:sz w:val="21"/>
                <w:szCs w:val="21"/>
                <w:highlight w:val="none"/>
                <w:lang w:val="en-US" w:eastAsia="zh-CN"/>
              </w:rPr>
              <w:t>5</w:t>
            </w:r>
          </w:p>
        </w:tc>
      </w:tr>
      <w:tr w14:paraId="1CD8F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2" w:type="dxa"/>
            <w:vMerge w:val="restart"/>
            <w:noWrap w:val="0"/>
            <w:vAlign w:val="center"/>
          </w:tcPr>
          <w:p w14:paraId="68B313CC">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排污</w:t>
            </w:r>
            <w:r>
              <w:rPr>
                <w:rFonts w:hint="eastAsia" w:ascii="宋体" w:hAnsi="宋体" w:eastAsia="宋体" w:cs="宋体"/>
                <w:color w:val="auto"/>
                <w:sz w:val="21"/>
                <w:szCs w:val="21"/>
                <w:highlight w:val="none"/>
                <w:lang w:val="en-US" w:eastAsia="zh-CN"/>
              </w:rPr>
              <w:t>许可</w:t>
            </w:r>
          </w:p>
          <w:p w14:paraId="2CA4779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管理类别</w:t>
            </w:r>
          </w:p>
        </w:tc>
        <w:tc>
          <w:tcPr>
            <w:tcW w:w="5916" w:type="dxa"/>
            <w:noWrap w:val="0"/>
            <w:vAlign w:val="top"/>
          </w:tcPr>
          <w:p w14:paraId="62EA3061">
            <w:pPr>
              <w:keepNext w:val="0"/>
              <w:keepLines w:val="0"/>
              <w:pageBreakBefore w:val="0"/>
              <w:widowControl/>
              <w:suppressLineNumbers w:val="0"/>
              <w:kinsoku/>
              <w:wordWrap/>
              <w:overflowPunct/>
              <w:topLinePunct w:val="0"/>
              <w:bidi w:val="0"/>
              <w:ind w:firstLine="420" w:firstLineChars="200"/>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kern w:val="2"/>
                <w:sz w:val="21"/>
                <w:szCs w:val="21"/>
                <w:highlight w:val="none"/>
                <w:lang w:val="en-US" w:eastAsia="zh-CN" w:bidi="ar-SA"/>
              </w:rPr>
              <w:t>未纳入排污许可管理</w:t>
            </w:r>
          </w:p>
        </w:tc>
        <w:tc>
          <w:tcPr>
            <w:tcW w:w="1340" w:type="dxa"/>
            <w:noWrap w:val="0"/>
            <w:vAlign w:val="top"/>
          </w:tcPr>
          <w:p w14:paraId="5BA7C0C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p>
        </w:tc>
      </w:tr>
      <w:tr w14:paraId="7E44A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2" w:type="dxa"/>
            <w:vMerge w:val="continue"/>
            <w:noWrap w:val="0"/>
            <w:vAlign w:val="center"/>
          </w:tcPr>
          <w:p w14:paraId="529FB2DE">
            <w:pPr>
              <w:jc w:val="center"/>
              <w:rPr>
                <w:rFonts w:hint="eastAsia" w:ascii="宋体" w:hAnsi="宋体" w:eastAsia="宋体" w:cs="宋体"/>
                <w:color w:val="auto"/>
                <w:sz w:val="21"/>
                <w:szCs w:val="21"/>
                <w:highlight w:val="none"/>
              </w:rPr>
            </w:pPr>
          </w:p>
        </w:tc>
        <w:tc>
          <w:tcPr>
            <w:tcW w:w="5916" w:type="dxa"/>
            <w:noWrap w:val="0"/>
            <w:vAlign w:val="center"/>
          </w:tcPr>
          <w:p w14:paraId="472ADD09">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312" w:lineRule="exact"/>
              <w:ind w:left="0" w:leftChars="0" w:right="0" w:rightChars="0" w:firstLine="420" w:firstLineChars="200"/>
              <w:jc w:val="both"/>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kern w:val="2"/>
                <w:sz w:val="21"/>
                <w:szCs w:val="21"/>
                <w:highlight w:val="none"/>
                <w:lang w:val="en-US" w:eastAsia="zh-CN" w:bidi="ar-SA"/>
              </w:rPr>
              <w:t>简化管理</w:t>
            </w:r>
          </w:p>
        </w:tc>
        <w:tc>
          <w:tcPr>
            <w:tcW w:w="1340" w:type="dxa"/>
            <w:noWrap w:val="0"/>
            <w:vAlign w:val="center"/>
          </w:tcPr>
          <w:p w14:paraId="5A7FEBA6">
            <w:pPr>
              <w:keepNext w:val="0"/>
              <w:keepLines w:val="0"/>
              <w:pageBreakBefore w:val="0"/>
              <w:widowControl w:val="0"/>
              <w:shd w:val="clear" w:color="auto" w:fill="auto"/>
              <w:kinsoku/>
              <w:wordWrap/>
              <w:overflowPunct/>
              <w:topLinePunct/>
              <w:autoSpaceDE w:val="0"/>
              <w:autoSpaceDN w:val="0"/>
              <w:bidi w:val="0"/>
              <w:adjustRightInd w:val="0"/>
              <w:snapToGrid w:val="0"/>
              <w:spacing w:line="312"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61BCA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2" w:type="dxa"/>
            <w:vMerge w:val="continue"/>
            <w:noWrap w:val="0"/>
            <w:vAlign w:val="center"/>
          </w:tcPr>
          <w:p w14:paraId="18B1A9C2">
            <w:pPr>
              <w:jc w:val="center"/>
              <w:rPr>
                <w:rFonts w:hint="eastAsia" w:ascii="宋体" w:hAnsi="宋体" w:eastAsia="宋体" w:cs="宋体"/>
                <w:color w:val="auto"/>
                <w:sz w:val="21"/>
                <w:szCs w:val="21"/>
                <w:highlight w:val="none"/>
              </w:rPr>
            </w:pPr>
          </w:p>
        </w:tc>
        <w:tc>
          <w:tcPr>
            <w:tcW w:w="5916" w:type="dxa"/>
            <w:noWrap w:val="0"/>
            <w:vAlign w:val="center"/>
          </w:tcPr>
          <w:p w14:paraId="483FDDB2">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312" w:lineRule="exact"/>
              <w:ind w:left="0" w:leftChars="0" w:right="0" w:rightChars="0" w:firstLine="420" w:firstLineChars="200"/>
              <w:jc w:val="both"/>
              <w:textAlignment w:val="baseline"/>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重点管理</w:t>
            </w:r>
          </w:p>
        </w:tc>
        <w:tc>
          <w:tcPr>
            <w:tcW w:w="1340" w:type="dxa"/>
            <w:noWrap w:val="0"/>
            <w:vAlign w:val="center"/>
          </w:tcPr>
          <w:p w14:paraId="45345CF8">
            <w:pPr>
              <w:keepNext w:val="0"/>
              <w:keepLines w:val="0"/>
              <w:pageBreakBefore w:val="0"/>
              <w:widowControl w:val="0"/>
              <w:shd w:val="clear" w:color="auto" w:fill="auto"/>
              <w:kinsoku/>
              <w:wordWrap/>
              <w:overflowPunct/>
              <w:topLinePunct/>
              <w:autoSpaceDE w:val="0"/>
              <w:autoSpaceDN w:val="0"/>
              <w:bidi w:val="0"/>
              <w:adjustRightInd w:val="0"/>
              <w:snapToGrid w:val="0"/>
              <w:spacing w:line="312" w:lineRule="exact"/>
              <w:ind w:left="0" w:leftChars="0" w:right="0" w:rightChars="0" w:firstLine="0" w:firstLineChars="0"/>
              <w:jc w:val="center"/>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r>
      <w:tr w14:paraId="09A3B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2" w:type="dxa"/>
            <w:vMerge w:val="continue"/>
            <w:noWrap w:val="0"/>
            <w:vAlign w:val="center"/>
          </w:tcPr>
          <w:p w14:paraId="5C9C40AE">
            <w:pPr>
              <w:keepNext w:val="0"/>
              <w:keepLines w:val="0"/>
              <w:pageBreakBefore w:val="0"/>
              <w:widowControl w:val="0"/>
              <w:shd w:val="clear" w:color="auto" w:fill="auto"/>
              <w:kinsoku/>
              <w:wordWrap/>
              <w:overflowPunct/>
              <w:topLinePunct/>
              <w:autoSpaceDE w:val="0"/>
              <w:autoSpaceDN w:val="0"/>
              <w:bidi w:val="0"/>
              <w:adjustRightInd w:val="0"/>
              <w:snapToGrid w:val="0"/>
              <w:spacing w:line="312"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p>
        </w:tc>
        <w:tc>
          <w:tcPr>
            <w:tcW w:w="5916" w:type="dxa"/>
            <w:noWrap w:val="0"/>
            <w:vAlign w:val="center"/>
          </w:tcPr>
          <w:p w14:paraId="61E4B45B">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312" w:lineRule="exact"/>
              <w:ind w:left="0" w:leftChars="0" w:right="0" w:rightChars="0" w:firstLine="420" w:firstLineChars="200"/>
              <w:jc w:val="both"/>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kern w:val="2"/>
                <w:sz w:val="21"/>
                <w:szCs w:val="21"/>
                <w:highlight w:val="none"/>
                <w:lang w:val="en-US" w:eastAsia="zh-CN" w:bidi="ar-SA"/>
              </w:rPr>
              <w:t>重点管理（钢铁、石化、化工、电镀、皮革、造纸、冶炼、印染、染料、水泥、煤电、陶瓷、采矿、放射性、危废经营、垃圾焚烧发电、平板玻璃，“两高”项目）</w:t>
            </w:r>
          </w:p>
        </w:tc>
        <w:tc>
          <w:tcPr>
            <w:tcW w:w="1340" w:type="dxa"/>
            <w:noWrap w:val="0"/>
            <w:vAlign w:val="center"/>
          </w:tcPr>
          <w:p w14:paraId="49A0641F">
            <w:pPr>
              <w:keepNext w:val="0"/>
              <w:keepLines w:val="0"/>
              <w:pageBreakBefore w:val="0"/>
              <w:widowControl w:val="0"/>
              <w:shd w:val="clear" w:color="auto" w:fill="auto"/>
              <w:kinsoku/>
              <w:wordWrap/>
              <w:overflowPunct/>
              <w:topLinePunct/>
              <w:autoSpaceDE w:val="0"/>
              <w:autoSpaceDN w:val="0"/>
              <w:bidi w:val="0"/>
              <w:adjustRightInd w:val="0"/>
              <w:snapToGrid w:val="0"/>
              <w:spacing w:line="312"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05DF7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2" w:type="dxa"/>
            <w:vMerge w:val="restart"/>
            <w:noWrap w:val="0"/>
            <w:vAlign w:val="center"/>
          </w:tcPr>
          <w:p w14:paraId="3F1CF38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建设地点</w:t>
            </w:r>
          </w:p>
        </w:tc>
        <w:tc>
          <w:tcPr>
            <w:tcW w:w="5916" w:type="dxa"/>
            <w:noWrap w:val="0"/>
            <w:vAlign w:val="top"/>
          </w:tcPr>
          <w:p w14:paraId="626539CC">
            <w:pPr>
              <w:keepNext w:val="0"/>
              <w:keepLines w:val="0"/>
              <w:pageBreakBefore w:val="0"/>
              <w:kinsoku/>
              <w:wordWrap/>
              <w:overflowPunct/>
              <w:topLinePunct w:val="0"/>
              <w:bidi w:val="0"/>
              <w:ind w:firstLine="420" w:firstLineChars="200"/>
              <w:jc w:val="both"/>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二类环境空气功能区</w:t>
            </w:r>
            <w:r>
              <w:rPr>
                <w:rFonts w:hint="eastAsia" w:ascii="宋体" w:hAnsi="宋体" w:eastAsia="宋体" w:cs="宋体"/>
                <w:color w:val="auto"/>
                <w:sz w:val="21"/>
                <w:szCs w:val="21"/>
                <w:highlight w:val="none"/>
              </w:rPr>
              <w:t>（工业区和农村地区）</w:t>
            </w:r>
          </w:p>
        </w:tc>
        <w:tc>
          <w:tcPr>
            <w:tcW w:w="1340" w:type="dxa"/>
            <w:noWrap w:val="0"/>
            <w:vAlign w:val="center"/>
          </w:tcPr>
          <w:p w14:paraId="50C149C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6FB10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2" w:type="dxa"/>
            <w:vMerge w:val="continue"/>
            <w:noWrap w:val="0"/>
            <w:vAlign w:val="center"/>
          </w:tcPr>
          <w:p w14:paraId="37B9B1DD">
            <w:pPr>
              <w:rPr>
                <w:rFonts w:hint="eastAsia" w:ascii="宋体" w:hAnsi="宋体" w:eastAsia="宋体" w:cs="宋体"/>
                <w:color w:val="auto"/>
                <w:sz w:val="21"/>
                <w:szCs w:val="21"/>
                <w:highlight w:val="none"/>
              </w:rPr>
            </w:pPr>
          </w:p>
        </w:tc>
        <w:tc>
          <w:tcPr>
            <w:tcW w:w="5916" w:type="dxa"/>
            <w:noWrap w:val="0"/>
            <w:vAlign w:val="top"/>
          </w:tcPr>
          <w:p w14:paraId="55527764">
            <w:pPr>
              <w:keepNext w:val="0"/>
              <w:keepLines w:val="0"/>
              <w:pageBreakBefore w:val="0"/>
              <w:kinsoku/>
              <w:wordWrap/>
              <w:overflowPunct/>
              <w:topLinePunct w:val="0"/>
              <w:bidi w:val="0"/>
              <w:ind w:firstLine="420" w:firstLineChars="200"/>
              <w:jc w:val="both"/>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二类环境空气功能区</w:t>
            </w:r>
            <w:r>
              <w:rPr>
                <w:rFonts w:hint="eastAsia" w:ascii="宋体" w:hAnsi="宋体" w:eastAsia="宋体" w:cs="宋体"/>
                <w:color w:val="auto"/>
                <w:sz w:val="21"/>
                <w:szCs w:val="21"/>
                <w:highlight w:val="none"/>
              </w:rPr>
              <w:t>（居民区、商业交通居民混合区、文化区）</w:t>
            </w:r>
          </w:p>
        </w:tc>
        <w:tc>
          <w:tcPr>
            <w:tcW w:w="1340" w:type="dxa"/>
            <w:noWrap w:val="0"/>
            <w:vAlign w:val="center"/>
          </w:tcPr>
          <w:p w14:paraId="571020F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2D791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2" w:type="dxa"/>
            <w:vMerge w:val="continue"/>
            <w:noWrap w:val="0"/>
            <w:vAlign w:val="center"/>
          </w:tcPr>
          <w:p w14:paraId="392F0A1C">
            <w:pPr>
              <w:rPr>
                <w:rFonts w:hint="eastAsia" w:ascii="宋体" w:hAnsi="宋体" w:eastAsia="宋体" w:cs="宋体"/>
                <w:color w:val="auto"/>
                <w:sz w:val="21"/>
                <w:szCs w:val="21"/>
                <w:highlight w:val="none"/>
              </w:rPr>
            </w:pPr>
          </w:p>
        </w:tc>
        <w:tc>
          <w:tcPr>
            <w:tcW w:w="5916" w:type="dxa"/>
            <w:noWrap w:val="0"/>
            <w:vAlign w:val="top"/>
          </w:tcPr>
          <w:p w14:paraId="1D799573">
            <w:pPr>
              <w:keepNext w:val="0"/>
              <w:keepLines w:val="0"/>
              <w:pageBreakBefore w:val="0"/>
              <w:kinsoku/>
              <w:wordWrap/>
              <w:overflowPunct/>
              <w:topLinePunct w:val="0"/>
              <w:bidi w:val="0"/>
              <w:ind w:firstLine="420" w:firstLineChars="200"/>
              <w:jc w:val="both"/>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一类环境空气功能区</w:t>
            </w:r>
          </w:p>
        </w:tc>
        <w:tc>
          <w:tcPr>
            <w:tcW w:w="1340" w:type="dxa"/>
            <w:noWrap w:val="0"/>
            <w:vAlign w:val="center"/>
          </w:tcPr>
          <w:p w14:paraId="7B6D094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bl>
    <w:p w14:paraId="4B0C7B9E">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4997" w:type="pct"/>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4"/>
        <w:gridCol w:w="5794"/>
        <w:gridCol w:w="1345"/>
      </w:tblGrid>
      <w:tr w14:paraId="6126D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8943" w:type="dxa"/>
            <w:gridSpan w:val="3"/>
            <w:noWrap w:val="0"/>
            <w:vAlign w:val="top"/>
          </w:tcPr>
          <w:p w14:paraId="46D18D6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四</w:t>
            </w:r>
            <w:r>
              <w:rPr>
                <w:rFonts w:hint="eastAsia" w:ascii="宋体" w:hAnsi="宋体" w:eastAsia="宋体" w:cs="宋体"/>
                <w:color w:val="auto"/>
                <w:sz w:val="21"/>
                <w:szCs w:val="21"/>
                <w:highlight w:val="none"/>
              </w:rPr>
              <w:t>）大气污染防治类</w:t>
            </w:r>
          </w:p>
        </w:tc>
      </w:tr>
      <w:tr w14:paraId="312FB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1804" w:type="dxa"/>
            <w:noWrap w:val="0"/>
            <w:vAlign w:val="top"/>
          </w:tcPr>
          <w:p w14:paraId="4AB0B9A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7139" w:type="dxa"/>
            <w:gridSpan w:val="2"/>
            <w:noWrap w:val="0"/>
            <w:vAlign w:val="top"/>
          </w:tcPr>
          <w:p w14:paraId="3EC4CE04">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w:t>
            </w:r>
          </w:p>
        </w:tc>
      </w:tr>
      <w:tr w14:paraId="5D0F4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804" w:type="dxa"/>
            <w:noWrap w:val="0"/>
            <w:vAlign w:val="center"/>
          </w:tcPr>
          <w:p w14:paraId="1D903FE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7139" w:type="dxa"/>
            <w:gridSpan w:val="2"/>
            <w:noWrap w:val="0"/>
            <w:vAlign w:val="center"/>
          </w:tcPr>
          <w:p w14:paraId="6DC358F7">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储油库、加油站和油罐车等，未按照国家规定安装并正常使用油气回收装置的</w:t>
            </w:r>
          </w:p>
        </w:tc>
      </w:tr>
      <w:tr w14:paraId="5C941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804" w:type="dxa"/>
            <w:noWrap w:val="0"/>
            <w:vAlign w:val="center"/>
          </w:tcPr>
          <w:p w14:paraId="2522C2D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7139" w:type="dxa"/>
            <w:gridSpan w:val="2"/>
            <w:noWrap w:val="0"/>
            <w:vAlign w:val="top"/>
          </w:tcPr>
          <w:p w14:paraId="714E3ED8">
            <w:pPr>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《中华人民共和国生态环境法典》第二百一十六条第二款  储油库、加油站、原油成品油码头、原油成品油运输船舶和油罐车、铁路罐车等，应当按照国家规定安装油气回收装置并保持正常使用。</w:t>
            </w:r>
          </w:p>
        </w:tc>
      </w:tr>
      <w:tr w14:paraId="3F472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trPr>
        <w:tc>
          <w:tcPr>
            <w:tcW w:w="1804" w:type="dxa"/>
            <w:noWrap w:val="0"/>
            <w:vAlign w:val="center"/>
          </w:tcPr>
          <w:p w14:paraId="31D74B8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7139" w:type="dxa"/>
            <w:gridSpan w:val="2"/>
            <w:noWrap w:val="0"/>
            <w:vAlign w:val="top"/>
          </w:tcPr>
          <w:p w14:paraId="583A4192">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《中华人民共和国生态环境法典》第一千一百二十条</w:t>
            </w:r>
            <w:r>
              <w:rPr>
                <w:rFonts w:hint="eastAsia" w:ascii="宋体" w:hAnsi="宋体" w:eastAsia="宋体" w:cs="宋体"/>
                <w:color w:val="auto"/>
                <w:sz w:val="21"/>
                <w:szCs w:val="21"/>
                <w:highlight w:val="none"/>
                <w:lang w:val="en-US" w:eastAsia="zh-CN"/>
              </w:rPr>
              <w:t>第一款第四项</w:t>
            </w:r>
            <w:r>
              <w:rPr>
                <w:rFonts w:hint="eastAsia" w:ascii="宋体" w:hAnsi="宋体" w:eastAsia="宋体" w:cs="宋体"/>
                <w:color w:val="auto"/>
                <w:sz w:val="21"/>
                <w:szCs w:val="21"/>
                <w:highlight w:val="none"/>
              </w:rPr>
              <w:t xml:space="preserve">  违反本法规定，有下列情形之一的，由生态环境主管部门责令改正，处二万元以上二十万元以下的罚款；拒不改正的，责令停产整治：</w:t>
            </w:r>
          </w:p>
          <w:p w14:paraId="2784B3DB">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（四）储油库、加油站和油罐车等，未按照国家规定安装并正常使用油气回收装置</w:t>
            </w:r>
            <w:r>
              <w:rPr>
                <w:rFonts w:hint="eastAsia" w:ascii="宋体" w:hAnsi="宋体" w:eastAsia="宋体" w:cs="宋体"/>
                <w:color w:val="auto"/>
                <w:sz w:val="21"/>
                <w:szCs w:val="21"/>
                <w:highlight w:val="none"/>
                <w:lang w:eastAsia="zh-CN"/>
              </w:rPr>
              <w:t>；</w:t>
            </w:r>
          </w:p>
        </w:tc>
      </w:tr>
      <w:tr w14:paraId="50461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1804" w:type="dxa"/>
            <w:noWrap w:val="0"/>
            <w:vAlign w:val="center"/>
          </w:tcPr>
          <w:p w14:paraId="0F60D7B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794" w:type="dxa"/>
            <w:noWrap w:val="0"/>
            <w:vAlign w:val="top"/>
          </w:tcPr>
          <w:p w14:paraId="1CFAF44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345" w:type="dxa"/>
            <w:noWrap w:val="0"/>
            <w:vAlign w:val="top"/>
          </w:tcPr>
          <w:p w14:paraId="78A14B0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3C1F1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804" w:type="dxa"/>
            <w:vMerge w:val="restart"/>
            <w:noWrap w:val="0"/>
            <w:vAlign w:val="center"/>
          </w:tcPr>
          <w:p w14:paraId="51FDF5F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违法事实</w:t>
            </w:r>
          </w:p>
        </w:tc>
        <w:tc>
          <w:tcPr>
            <w:tcW w:w="5794" w:type="dxa"/>
            <w:noWrap w:val="0"/>
            <w:vAlign w:val="center"/>
          </w:tcPr>
          <w:p w14:paraId="2EA37F94">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420" w:firstLineChars="20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已按规定安装油气回收装置，但未正常使用</w:t>
            </w:r>
          </w:p>
        </w:tc>
        <w:tc>
          <w:tcPr>
            <w:tcW w:w="1345" w:type="dxa"/>
            <w:noWrap w:val="0"/>
            <w:vAlign w:val="center"/>
          </w:tcPr>
          <w:p w14:paraId="05488376">
            <w:pPr>
              <w:pStyle w:val="11"/>
              <w:keepNext w:val="0"/>
              <w:keepLines w:val="0"/>
              <w:pageBreakBefore w:val="0"/>
              <w:widowControl w:val="0"/>
              <w:shd w:val="clear" w:color="auto" w:fill="auto"/>
              <w:kinsoku/>
              <w:wordWrap/>
              <w:overflowPunct/>
              <w:topLinePunct w:val="0"/>
              <w:autoSpaceDE w:val="0"/>
              <w:autoSpaceDN w:val="0"/>
              <w:bidi w:val="0"/>
              <w:adjustRightInd w:val="0"/>
              <w:snapToGrid w:val="0"/>
              <w:ind w:left="0" w:leftChars="0" w:right="0" w:rightChars="0" w:firstLine="0" w:firstLineChars="0"/>
              <w:jc w:val="center"/>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r>
      <w:tr w14:paraId="3D57B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 w:hRule="atLeast"/>
        </w:trPr>
        <w:tc>
          <w:tcPr>
            <w:tcW w:w="1804" w:type="dxa"/>
            <w:vMerge w:val="continue"/>
            <w:noWrap w:val="0"/>
            <w:vAlign w:val="top"/>
          </w:tcPr>
          <w:p w14:paraId="0F4B525A">
            <w:pPr>
              <w:rPr>
                <w:rFonts w:hint="eastAsia" w:ascii="宋体" w:hAnsi="宋体" w:eastAsia="宋体" w:cs="宋体"/>
                <w:color w:val="auto"/>
                <w:sz w:val="21"/>
                <w:szCs w:val="21"/>
                <w:highlight w:val="none"/>
              </w:rPr>
            </w:pPr>
          </w:p>
        </w:tc>
        <w:tc>
          <w:tcPr>
            <w:tcW w:w="5794" w:type="dxa"/>
            <w:noWrap w:val="0"/>
            <w:vAlign w:val="center"/>
          </w:tcPr>
          <w:p w14:paraId="5D56F2F0">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420" w:firstLineChars="20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部分未安装油气回收装置/已安装但未使用</w:t>
            </w:r>
          </w:p>
        </w:tc>
        <w:tc>
          <w:tcPr>
            <w:tcW w:w="1345" w:type="dxa"/>
            <w:noWrap w:val="0"/>
            <w:vAlign w:val="center"/>
          </w:tcPr>
          <w:p w14:paraId="57497802">
            <w:pPr>
              <w:pStyle w:val="11"/>
              <w:keepNext w:val="0"/>
              <w:keepLines w:val="0"/>
              <w:pageBreakBefore w:val="0"/>
              <w:widowControl w:val="0"/>
              <w:shd w:val="clear" w:color="auto" w:fill="auto"/>
              <w:kinsoku/>
              <w:wordWrap/>
              <w:overflowPunct/>
              <w:topLinePunct w:val="0"/>
              <w:autoSpaceDE w:val="0"/>
              <w:autoSpaceDN w:val="0"/>
              <w:bidi w:val="0"/>
              <w:adjustRightInd w:val="0"/>
              <w:snapToGrid w:val="0"/>
              <w:ind w:left="0" w:leftChars="0" w:right="0" w:rightChars="0" w:firstLine="0" w:firstLineChars="0"/>
              <w:jc w:val="center"/>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r>
      <w:tr w14:paraId="1A025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804" w:type="dxa"/>
            <w:vMerge w:val="continue"/>
            <w:noWrap w:val="0"/>
            <w:vAlign w:val="top"/>
          </w:tcPr>
          <w:p w14:paraId="560B2E1E">
            <w:pPr>
              <w:rPr>
                <w:rFonts w:hint="eastAsia" w:ascii="宋体" w:hAnsi="宋体" w:eastAsia="宋体" w:cs="宋体"/>
                <w:color w:val="auto"/>
                <w:sz w:val="21"/>
                <w:szCs w:val="21"/>
                <w:highlight w:val="none"/>
              </w:rPr>
            </w:pPr>
          </w:p>
        </w:tc>
        <w:tc>
          <w:tcPr>
            <w:tcW w:w="5794" w:type="dxa"/>
            <w:noWrap w:val="0"/>
            <w:vAlign w:val="center"/>
          </w:tcPr>
          <w:p w14:paraId="4074888E">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420" w:firstLineChars="20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全部未安装油气回收装置的</w:t>
            </w:r>
          </w:p>
        </w:tc>
        <w:tc>
          <w:tcPr>
            <w:tcW w:w="1345" w:type="dxa"/>
            <w:noWrap w:val="0"/>
            <w:vAlign w:val="center"/>
          </w:tcPr>
          <w:p w14:paraId="2D106E90">
            <w:pPr>
              <w:pStyle w:val="11"/>
              <w:keepNext w:val="0"/>
              <w:keepLines w:val="0"/>
              <w:pageBreakBefore w:val="0"/>
              <w:widowControl w:val="0"/>
              <w:shd w:val="clear" w:color="auto" w:fill="auto"/>
              <w:kinsoku/>
              <w:wordWrap/>
              <w:overflowPunct/>
              <w:topLinePunct w:val="0"/>
              <w:autoSpaceDE w:val="0"/>
              <w:autoSpaceDN w:val="0"/>
              <w:bidi w:val="0"/>
              <w:adjustRightInd w:val="0"/>
              <w:snapToGrid w:val="0"/>
              <w:ind w:left="0" w:leftChars="0" w:right="0" w:rightChars="0" w:firstLine="0" w:firstLineChars="0"/>
              <w:jc w:val="center"/>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r>
    </w:tbl>
    <w:p w14:paraId="0FE87E8A">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0"/>
        <w:gridCol w:w="5977"/>
        <w:gridCol w:w="1171"/>
      </w:tblGrid>
      <w:tr w14:paraId="10C13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48" w:type="dxa"/>
            <w:gridSpan w:val="3"/>
            <w:noWrap w:val="0"/>
            <w:vAlign w:val="center"/>
          </w:tcPr>
          <w:p w14:paraId="0AC9396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四</w:t>
            </w:r>
            <w:r>
              <w:rPr>
                <w:rFonts w:hint="eastAsia" w:ascii="宋体" w:hAnsi="宋体" w:eastAsia="宋体" w:cs="宋体"/>
                <w:color w:val="auto"/>
                <w:sz w:val="21"/>
                <w:szCs w:val="21"/>
                <w:highlight w:val="none"/>
              </w:rPr>
              <w:t>）大气污染防治类</w:t>
            </w:r>
          </w:p>
        </w:tc>
      </w:tr>
      <w:tr w14:paraId="41DD1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0" w:type="dxa"/>
            <w:noWrap w:val="0"/>
            <w:vAlign w:val="center"/>
          </w:tcPr>
          <w:p w14:paraId="1DEF05D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7148" w:type="dxa"/>
            <w:gridSpan w:val="2"/>
            <w:noWrap w:val="0"/>
            <w:vAlign w:val="center"/>
          </w:tcPr>
          <w:p w14:paraId="5CEEDD56">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w:t>
            </w:r>
          </w:p>
        </w:tc>
      </w:tr>
      <w:tr w14:paraId="3627C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0" w:type="dxa"/>
            <w:noWrap w:val="0"/>
            <w:vAlign w:val="center"/>
          </w:tcPr>
          <w:p w14:paraId="1D9D45C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7148" w:type="dxa"/>
            <w:gridSpan w:val="2"/>
            <w:noWrap w:val="0"/>
            <w:vAlign w:val="center"/>
          </w:tcPr>
          <w:p w14:paraId="03B4EA47">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钢铁、建材、有色金属、石油、化工、制药、矿产开采等企业，未采取集中收集处理、密闭、围挡、遮盖、清扫、洒水等措施，控制、减少粉尘和气态污染物排放的</w:t>
            </w:r>
          </w:p>
        </w:tc>
      </w:tr>
      <w:tr w14:paraId="46198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0" w:type="dxa"/>
            <w:noWrap w:val="0"/>
            <w:vAlign w:val="center"/>
          </w:tcPr>
          <w:p w14:paraId="003CD7D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7148" w:type="dxa"/>
            <w:gridSpan w:val="2"/>
            <w:noWrap w:val="0"/>
            <w:vAlign w:val="center"/>
          </w:tcPr>
          <w:p w14:paraId="43FEE51C">
            <w:pPr>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《中华人民共和国生态环境法典》第二百一十七条　钢铁、建材、有色金属、石油、化工、制药、矿产开采企业和其他工业生产企业，应当加强精细化管理，采取集中收集处理等措施，严格控制粉尘和气态污染物的排放。</w:t>
            </w:r>
          </w:p>
          <w:p w14:paraId="1AD2ED50">
            <w:pPr>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工业生产企业应当采取密闭、围挡、遮盖、清扫、洒水等措施，减少内部物料的堆存、传输、装卸等环节产生的粉尘和气态污染物的排放。</w:t>
            </w:r>
          </w:p>
        </w:tc>
      </w:tr>
      <w:tr w14:paraId="0026A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0" w:type="dxa"/>
            <w:noWrap w:val="0"/>
            <w:vAlign w:val="center"/>
          </w:tcPr>
          <w:p w14:paraId="78C8E9C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7148" w:type="dxa"/>
            <w:gridSpan w:val="2"/>
            <w:noWrap w:val="0"/>
            <w:vAlign w:val="center"/>
          </w:tcPr>
          <w:p w14:paraId="7D5713F8">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《中华人民共和国生态环境法典》第一千一百二十条第一款第五项  违反本法规定，有下列情形之一的，由生态环境主管部门责令改正，处二万元以上二十万元以下的罚款；拒不改正的，责令停产整治：</w:t>
            </w:r>
          </w:p>
          <w:p w14:paraId="7466F135">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（五）钢铁、建材、有色金属、石油、化工、制药、矿产开采企业和其他工业生产企业，未采取集中收集处理、密闭、围挡、遮盖、清扫、洒水等措施，控制、减少粉尘和气态污染物的排放；</w:t>
            </w:r>
          </w:p>
        </w:tc>
      </w:tr>
      <w:tr w14:paraId="0871E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0" w:type="dxa"/>
            <w:noWrap w:val="0"/>
            <w:vAlign w:val="center"/>
          </w:tcPr>
          <w:p w14:paraId="5CAB606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977" w:type="dxa"/>
            <w:noWrap w:val="0"/>
            <w:vAlign w:val="center"/>
          </w:tcPr>
          <w:p w14:paraId="091D097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171" w:type="dxa"/>
            <w:noWrap w:val="0"/>
            <w:vAlign w:val="center"/>
          </w:tcPr>
          <w:p w14:paraId="634818C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47C37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0" w:type="dxa"/>
            <w:vMerge w:val="restart"/>
            <w:noWrap w:val="0"/>
            <w:vAlign w:val="center"/>
          </w:tcPr>
          <w:p w14:paraId="5331ECD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违法事实</w:t>
            </w:r>
          </w:p>
        </w:tc>
        <w:tc>
          <w:tcPr>
            <w:tcW w:w="5977" w:type="dxa"/>
            <w:noWrap w:val="0"/>
            <w:vAlign w:val="center"/>
          </w:tcPr>
          <w:p w14:paraId="12E14030">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已落实集中收集处理、密闭、围挡、遮盖、清扫、洒水等措施，但未按规定使用或管理，造成少量抛洒、泄漏</w:t>
            </w:r>
          </w:p>
        </w:tc>
        <w:tc>
          <w:tcPr>
            <w:tcW w:w="1171" w:type="dxa"/>
            <w:noWrap w:val="0"/>
            <w:vAlign w:val="center"/>
          </w:tcPr>
          <w:p w14:paraId="1ECD06E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493B6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0" w:type="dxa"/>
            <w:vMerge w:val="continue"/>
            <w:noWrap w:val="0"/>
            <w:vAlign w:val="center"/>
          </w:tcPr>
          <w:p w14:paraId="1CC3A2B0">
            <w:pPr>
              <w:jc w:val="center"/>
              <w:rPr>
                <w:rFonts w:hint="eastAsia" w:ascii="宋体" w:hAnsi="宋体" w:eastAsia="宋体" w:cs="宋体"/>
                <w:color w:val="auto"/>
                <w:sz w:val="21"/>
                <w:szCs w:val="21"/>
                <w:highlight w:val="none"/>
              </w:rPr>
            </w:pPr>
          </w:p>
        </w:tc>
        <w:tc>
          <w:tcPr>
            <w:tcW w:w="5977" w:type="dxa"/>
            <w:noWrap w:val="0"/>
            <w:vAlign w:val="center"/>
          </w:tcPr>
          <w:p w14:paraId="71CA71D2">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部分落实集中收集处理、密闭、围挡、遮盖、清扫、洒水等措施</w:t>
            </w:r>
          </w:p>
        </w:tc>
        <w:tc>
          <w:tcPr>
            <w:tcW w:w="1171" w:type="dxa"/>
            <w:noWrap w:val="0"/>
            <w:vAlign w:val="center"/>
          </w:tcPr>
          <w:p w14:paraId="2FF738A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788B8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0" w:type="dxa"/>
            <w:vMerge w:val="continue"/>
            <w:noWrap w:val="0"/>
            <w:vAlign w:val="center"/>
          </w:tcPr>
          <w:p w14:paraId="22706462">
            <w:pPr>
              <w:jc w:val="center"/>
              <w:rPr>
                <w:rFonts w:hint="eastAsia" w:ascii="宋体" w:hAnsi="宋体" w:eastAsia="宋体" w:cs="宋体"/>
                <w:color w:val="auto"/>
                <w:sz w:val="21"/>
                <w:szCs w:val="21"/>
                <w:highlight w:val="none"/>
              </w:rPr>
            </w:pPr>
          </w:p>
        </w:tc>
        <w:tc>
          <w:tcPr>
            <w:tcW w:w="5977" w:type="dxa"/>
            <w:noWrap w:val="0"/>
            <w:vAlign w:val="center"/>
          </w:tcPr>
          <w:p w14:paraId="41D0B065">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未落实集中收集处理、密闭、围挡、遮盖、清扫、洒水等措施</w:t>
            </w:r>
          </w:p>
        </w:tc>
        <w:tc>
          <w:tcPr>
            <w:tcW w:w="1171" w:type="dxa"/>
            <w:noWrap w:val="0"/>
            <w:vAlign w:val="center"/>
          </w:tcPr>
          <w:p w14:paraId="378CBA8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2A413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0" w:type="dxa"/>
            <w:vMerge w:val="restart"/>
            <w:noWrap w:val="0"/>
            <w:vAlign w:val="center"/>
          </w:tcPr>
          <w:p w14:paraId="37AFB079">
            <w:pPr>
              <w:jc w:val="center"/>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违法行为发生地</w:t>
            </w:r>
          </w:p>
        </w:tc>
        <w:tc>
          <w:tcPr>
            <w:tcW w:w="5977" w:type="dxa"/>
            <w:noWrap w:val="0"/>
            <w:vAlign w:val="top"/>
          </w:tcPr>
          <w:p w14:paraId="17341403">
            <w:pPr>
              <w:keepNext w:val="0"/>
              <w:keepLines w:val="0"/>
              <w:pageBreakBefore w:val="0"/>
              <w:kinsoku/>
              <w:wordWrap/>
              <w:overflowPunct/>
              <w:topLinePunct w:val="0"/>
              <w:bidi w:val="0"/>
              <w:ind w:firstLine="420" w:firstLineChars="200"/>
              <w:jc w:val="both"/>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二类环境空气功能区</w:t>
            </w:r>
            <w:r>
              <w:rPr>
                <w:rFonts w:hint="eastAsia" w:ascii="宋体" w:hAnsi="宋体" w:eastAsia="宋体" w:cs="宋体"/>
                <w:color w:val="auto"/>
                <w:sz w:val="21"/>
                <w:szCs w:val="21"/>
                <w:highlight w:val="none"/>
              </w:rPr>
              <w:t>（工业区和农村地区）</w:t>
            </w:r>
          </w:p>
        </w:tc>
        <w:tc>
          <w:tcPr>
            <w:tcW w:w="1171" w:type="dxa"/>
            <w:noWrap w:val="0"/>
            <w:vAlign w:val="center"/>
          </w:tcPr>
          <w:p w14:paraId="798E7A5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51AA1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0" w:type="dxa"/>
            <w:vMerge w:val="continue"/>
            <w:noWrap w:val="0"/>
            <w:vAlign w:val="top"/>
          </w:tcPr>
          <w:p w14:paraId="7532104E">
            <w:pPr>
              <w:rPr>
                <w:rFonts w:hint="eastAsia" w:ascii="宋体" w:hAnsi="宋体" w:eastAsia="宋体" w:cs="宋体"/>
                <w:color w:val="auto"/>
                <w:sz w:val="21"/>
                <w:szCs w:val="21"/>
                <w:highlight w:val="none"/>
              </w:rPr>
            </w:pPr>
          </w:p>
        </w:tc>
        <w:tc>
          <w:tcPr>
            <w:tcW w:w="5977" w:type="dxa"/>
            <w:noWrap w:val="0"/>
            <w:vAlign w:val="top"/>
          </w:tcPr>
          <w:p w14:paraId="52796147">
            <w:pPr>
              <w:keepNext w:val="0"/>
              <w:keepLines w:val="0"/>
              <w:pageBreakBefore w:val="0"/>
              <w:kinsoku/>
              <w:wordWrap/>
              <w:overflowPunct/>
              <w:topLinePunct w:val="0"/>
              <w:bidi w:val="0"/>
              <w:ind w:firstLine="420" w:firstLineChars="200"/>
              <w:jc w:val="both"/>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二类环境空气功能区</w:t>
            </w:r>
            <w:r>
              <w:rPr>
                <w:rFonts w:hint="eastAsia" w:ascii="宋体" w:hAnsi="宋体" w:eastAsia="宋体" w:cs="宋体"/>
                <w:color w:val="auto"/>
                <w:sz w:val="21"/>
                <w:szCs w:val="21"/>
                <w:highlight w:val="none"/>
              </w:rPr>
              <w:t>（居民区、商业交通居民混合区、文化区）</w:t>
            </w:r>
          </w:p>
        </w:tc>
        <w:tc>
          <w:tcPr>
            <w:tcW w:w="1171" w:type="dxa"/>
            <w:noWrap w:val="0"/>
            <w:vAlign w:val="center"/>
          </w:tcPr>
          <w:p w14:paraId="447EE1A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0FB61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0" w:type="dxa"/>
            <w:vMerge w:val="continue"/>
            <w:noWrap w:val="0"/>
            <w:vAlign w:val="top"/>
          </w:tcPr>
          <w:p w14:paraId="4473A49B">
            <w:pPr>
              <w:rPr>
                <w:rFonts w:hint="eastAsia" w:ascii="宋体" w:hAnsi="宋体" w:eastAsia="宋体" w:cs="宋体"/>
                <w:color w:val="auto"/>
                <w:sz w:val="21"/>
                <w:szCs w:val="21"/>
                <w:highlight w:val="none"/>
              </w:rPr>
            </w:pPr>
          </w:p>
        </w:tc>
        <w:tc>
          <w:tcPr>
            <w:tcW w:w="5977" w:type="dxa"/>
            <w:noWrap w:val="0"/>
            <w:vAlign w:val="top"/>
          </w:tcPr>
          <w:p w14:paraId="6C56C1C0">
            <w:pPr>
              <w:keepNext w:val="0"/>
              <w:keepLines w:val="0"/>
              <w:pageBreakBefore w:val="0"/>
              <w:kinsoku/>
              <w:wordWrap/>
              <w:overflowPunct/>
              <w:topLinePunct w:val="0"/>
              <w:bidi w:val="0"/>
              <w:ind w:firstLine="420" w:firstLineChars="200"/>
              <w:jc w:val="both"/>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一类环境空气功能区</w:t>
            </w:r>
          </w:p>
        </w:tc>
        <w:tc>
          <w:tcPr>
            <w:tcW w:w="1171" w:type="dxa"/>
            <w:noWrap w:val="0"/>
            <w:vAlign w:val="center"/>
          </w:tcPr>
          <w:p w14:paraId="3C975C9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bl>
    <w:p w14:paraId="4D28A1C5">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98"/>
        <w:gridCol w:w="5978"/>
        <w:gridCol w:w="1172"/>
      </w:tblGrid>
      <w:tr w14:paraId="6C693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948" w:type="dxa"/>
            <w:gridSpan w:val="3"/>
            <w:noWrap w:val="0"/>
            <w:vAlign w:val="center"/>
          </w:tcPr>
          <w:p w14:paraId="2E5DE08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四</w:t>
            </w:r>
            <w:r>
              <w:rPr>
                <w:rFonts w:hint="eastAsia" w:ascii="宋体" w:hAnsi="宋体" w:eastAsia="宋体" w:cs="宋体"/>
                <w:color w:val="auto"/>
                <w:sz w:val="21"/>
                <w:szCs w:val="21"/>
                <w:highlight w:val="none"/>
              </w:rPr>
              <w:t>）大气污染防治类</w:t>
            </w:r>
          </w:p>
        </w:tc>
      </w:tr>
      <w:tr w14:paraId="3516E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noWrap w:val="0"/>
            <w:vAlign w:val="center"/>
          </w:tcPr>
          <w:p w14:paraId="58B8949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7150" w:type="dxa"/>
            <w:gridSpan w:val="2"/>
            <w:noWrap w:val="0"/>
            <w:vAlign w:val="center"/>
          </w:tcPr>
          <w:p w14:paraId="32FA8D6F">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w:t>
            </w:r>
          </w:p>
        </w:tc>
      </w:tr>
      <w:tr w14:paraId="28254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noWrap w:val="0"/>
            <w:vAlign w:val="center"/>
          </w:tcPr>
          <w:p w14:paraId="2844B7B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7150" w:type="dxa"/>
            <w:gridSpan w:val="2"/>
            <w:noWrap w:val="0"/>
            <w:vAlign w:val="center"/>
          </w:tcPr>
          <w:p w14:paraId="2FBC3259">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工业生产、垃圾填埋或者其他活动中产生的可燃性气体未回收利用，不具备回收利用条件未进行防治污染处理的</w:t>
            </w:r>
          </w:p>
        </w:tc>
      </w:tr>
      <w:tr w14:paraId="33376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noWrap w:val="0"/>
            <w:vAlign w:val="center"/>
          </w:tcPr>
          <w:p w14:paraId="2E58239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7150" w:type="dxa"/>
            <w:gridSpan w:val="2"/>
            <w:noWrap w:val="0"/>
            <w:vAlign w:val="center"/>
          </w:tcPr>
          <w:p w14:paraId="4F48B81E">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《中华人民共和国生态环境法典》第二百一十八条</w:t>
            </w:r>
            <w:r>
              <w:rPr>
                <w:rFonts w:hint="eastAsia" w:ascii="宋体" w:hAnsi="宋体" w:eastAsia="宋体" w:cs="宋体"/>
                <w:color w:val="auto"/>
                <w:sz w:val="21"/>
                <w:szCs w:val="21"/>
                <w:highlight w:val="none"/>
                <w:lang w:val="en-US" w:eastAsia="zh-CN"/>
              </w:rPr>
              <w:t>第一款</w:t>
            </w:r>
            <w:r>
              <w:rPr>
                <w:rFonts w:hint="eastAsia" w:ascii="宋体" w:hAnsi="宋体" w:eastAsia="宋体" w:cs="宋体"/>
                <w:color w:val="auto"/>
                <w:sz w:val="21"/>
                <w:szCs w:val="21"/>
                <w:highlight w:val="none"/>
              </w:rPr>
              <w:t xml:space="preserve">  工业生产、垃圾填埋和其他活动产生的可燃性气体应当回收利用，不具备回收利用条件的，应当进行污染防治处理。</w:t>
            </w:r>
          </w:p>
        </w:tc>
      </w:tr>
      <w:tr w14:paraId="3BA79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noWrap w:val="0"/>
            <w:vAlign w:val="center"/>
          </w:tcPr>
          <w:p w14:paraId="6399566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7150" w:type="dxa"/>
            <w:gridSpan w:val="2"/>
            <w:noWrap w:val="0"/>
            <w:vAlign w:val="center"/>
          </w:tcPr>
          <w:p w14:paraId="2405665D">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《中华人民共和国生态环境法典》第一千一百二十条</w:t>
            </w:r>
            <w:r>
              <w:rPr>
                <w:rFonts w:hint="eastAsia" w:ascii="宋体" w:hAnsi="宋体" w:cs="宋体"/>
                <w:color w:val="auto"/>
                <w:sz w:val="21"/>
                <w:szCs w:val="21"/>
                <w:highlight w:val="none"/>
                <w:lang w:val="en-US" w:eastAsia="zh-CN"/>
              </w:rPr>
              <w:t>第一款第六项</w:t>
            </w:r>
            <w:r>
              <w:rPr>
                <w:rFonts w:hint="eastAsia" w:ascii="宋体" w:hAnsi="宋体" w:eastAsia="宋体" w:cs="宋体"/>
                <w:color w:val="auto"/>
                <w:sz w:val="21"/>
                <w:szCs w:val="21"/>
                <w:highlight w:val="none"/>
              </w:rPr>
              <w:t xml:space="preserve">  违反本法规定，有下列情形之一的，由生态环境主管部门责令改正，处二万元以上二十万元以下的罚款；拒不改正的，责令停产整治：</w:t>
            </w:r>
          </w:p>
          <w:p w14:paraId="474E5DA3">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（六）工业生产、垃圾填埋或者其他活动产生的可燃性气体未回收利用，不具备回收利用条件未进行污染防治处理。</w:t>
            </w:r>
          </w:p>
        </w:tc>
      </w:tr>
      <w:tr w14:paraId="4977C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noWrap w:val="0"/>
            <w:vAlign w:val="center"/>
          </w:tcPr>
          <w:p w14:paraId="2EE0519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978" w:type="dxa"/>
            <w:noWrap w:val="0"/>
            <w:vAlign w:val="center"/>
          </w:tcPr>
          <w:p w14:paraId="4DAB379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172" w:type="dxa"/>
            <w:noWrap w:val="0"/>
            <w:vAlign w:val="center"/>
          </w:tcPr>
          <w:p w14:paraId="5E0AAC5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32C51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vMerge w:val="restart"/>
            <w:noWrap w:val="0"/>
            <w:vAlign w:val="center"/>
          </w:tcPr>
          <w:p w14:paraId="17D020DA">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排污</w:t>
            </w:r>
            <w:r>
              <w:rPr>
                <w:rFonts w:hint="eastAsia" w:ascii="宋体" w:hAnsi="宋体" w:eastAsia="宋体" w:cs="宋体"/>
                <w:color w:val="auto"/>
                <w:sz w:val="21"/>
                <w:szCs w:val="21"/>
                <w:highlight w:val="none"/>
                <w:lang w:val="en-US" w:eastAsia="zh-CN"/>
              </w:rPr>
              <w:t>许可</w:t>
            </w:r>
          </w:p>
          <w:p w14:paraId="2E4024C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管理类别</w:t>
            </w:r>
          </w:p>
        </w:tc>
        <w:tc>
          <w:tcPr>
            <w:tcW w:w="5978" w:type="dxa"/>
            <w:noWrap w:val="0"/>
            <w:vAlign w:val="top"/>
          </w:tcPr>
          <w:p w14:paraId="6D0782AB">
            <w:pPr>
              <w:keepNext w:val="0"/>
              <w:keepLines w:val="0"/>
              <w:pageBreakBefore w:val="0"/>
              <w:widowControl/>
              <w:suppressLineNumbers w:val="0"/>
              <w:kinsoku/>
              <w:wordWrap/>
              <w:overflowPunct/>
              <w:topLinePunct w:val="0"/>
              <w:bidi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未纳入排污许可管理</w:t>
            </w:r>
          </w:p>
        </w:tc>
        <w:tc>
          <w:tcPr>
            <w:tcW w:w="1172" w:type="dxa"/>
            <w:noWrap w:val="0"/>
            <w:vAlign w:val="top"/>
          </w:tcPr>
          <w:p w14:paraId="5CDD0F4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p>
        </w:tc>
      </w:tr>
      <w:tr w14:paraId="3FE8A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vMerge w:val="continue"/>
            <w:noWrap w:val="0"/>
            <w:vAlign w:val="center"/>
          </w:tcPr>
          <w:p w14:paraId="0C2136E1">
            <w:pPr>
              <w:jc w:val="center"/>
              <w:rPr>
                <w:rFonts w:hint="eastAsia" w:ascii="宋体" w:hAnsi="宋体" w:eastAsia="宋体" w:cs="宋体"/>
                <w:color w:val="auto"/>
                <w:sz w:val="21"/>
                <w:szCs w:val="21"/>
                <w:highlight w:val="none"/>
              </w:rPr>
            </w:pPr>
          </w:p>
        </w:tc>
        <w:tc>
          <w:tcPr>
            <w:tcW w:w="5978" w:type="dxa"/>
            <w:noWrap w:val="0"/>
            <w:vAlign w:val="center"/>
          </w:tcPr>
          <w:p w14:paraId="55655047">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312" w:lineRule="exact"/>
              <w:ind w:left="0" w:leftChars="0" w:right="0" w:rightChars="0" w:firstLine="420" w:firstLineChars="20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简化管理</w:t>
            </w:r>
          </w:p>
        </w:tc>
        <w:tc>
          <w:tcPr>
            <w:tcW w:w="1172" w:type="dxa"/>
            <w:noWrap w:val="0"/>
            <w:vAlign w:val="center"/>
          </w:tcPr>
          <w:p w14:paraId="31E48C9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61482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vMerge w:val="continue"/>
            <w:noWrap w:val="0"/>
            <w:vAlign w:val="center"/>
          </w:tcPr>
          <w:p w14:paraId="3B4CCD95">
            <w:pPr>
              <w:jc w:val="center"/>
              <w:rPr>
                <w:rFonts w:hint="eastAsia" w:ascii="宋体" w:hAnsi="宋体" w:eastAsia="宋体" w:cs="宋体"/>
                <w:color w:val="auto"/>
                <w:sz w:val="21"/>
                <w:szCs w:val="21"/>
                <w:highlight w:val="none"/>
              </w:rPr>
            </w:pPr>
          </w:p>
        </w:tc>
        <w:tc>
          <w:tcPr>
            <w:tcW w:w="5978" w:type="dxa"/>
            <w:noWrap w:val="0"/>
            <w:vAlign w:val="center"/>
          </w:tcPr>
          <w:p w14:paraId="3757CCA4">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312" w:lineRule="exact"/>
              <w:ind w:left="0" w:leftChars="0" w:right="0" w:rightChars="0" w:firstLine="420" w:firstLineChars="200"/>
              <w:jc w:val="both"/>
              <w:textAlignment w:val="baseline"/>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重点管理</w:t>
            </w:r>
          </w:p>
        </w:tc>
        <w:tc>
          <w:tcPr>
            <w:tcW w:w="1172" w:type="dxa"/>
            <w:noWrap w:val="0"/>
            <w:vAlign w:val="center"/>
          </w:tcPr>
          <w:p w14:paraId="5ED8DBD5">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r>
      <w:tr w14:paraId="49077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vMerge w:val="continue"/>
            <w:noWrap w:val="0"/>
            <w:vAlign w:val="center"/>
          </w:tcPr>
          <w:p w14:paraId="75B45CA3">
            <w:pPr>
              <w:keepNext w:val="0"/>
              <w:keepLines w:val="0"/>
              <w:pageBreakBefore w:val="0"/>
              <w:widowControl w:val="0"/>
              <w:shd w:val="clear" w:color="auto" w:fill="auto"/>
              <w:kinsoku/>
              <w:wordWrap/>
              <w:overflowPunct/>
              <w:topLinePunct/>
              <w:autoSpaceDE w:val="0"/>
              <w:autoSpaceDN w:val="0"/>
              <w:bidi w:val="0"/>
              <w:adjustRightInd w:val="0"/>
              <w:snapToGrid w:val="0"/>
              <w:spacing w:line="312"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p>
        </w:tc>
        <w:tc>
          <w:tcPr>
            <w:tcW w:w="5978" w:type="dxa"/>
            <w:noWrap w:val="0"/>
            <w:vAlign w:val="center"/>
          </w:tcPr>
          <w:p w14:paraId="7505D084">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312" w:lineRule="exact"/>
              <w:ind w:left="0" w:leftChars="0" w:right="0" w:rightChars="0" w:firstLine="420" w:firstLineChars="20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重点管理（钢铁、石化、化工、电镀、皮革、造纸、冶炼、印染、染料、水泥、煤电、陶瓷、采矿、放射性、危废经营、垃圾焚烧发电、平板玻璃，“两高”项目）</w:t>
            </w:r>
          </w:p>
        </w:tc>
        <w:tc>
          <w:tcPr>
            <w:tcW w:w="1172" w:type="dxa"/>
            <w:noWrap w:val="0"/>
            <w:vAlign w:val="center"/>
          </w:tcPr>
          <w:p w14:paraId="59E4390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36808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vMerge w:val="restart"/>
            <w:noWrap w:val="0"/>
            <w:vAlign w:val="center"/>
          </w:tcPr>
          <w:p w14:paraId="76F4F614">
            <w:pPr>
              <w:jc w:val="center"/>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违法行为发生地</w:t>
            </w:r>
          </w:p>
        </w:tc>
        <w:tc>
          <w:tcPr>
            <w:tcW w:w="5978" w:type="dxa"/>
            <w:noWrap w:val="0"/>
            <w:vAlign w:val="top"/>
          </w:tcPr>
          <w:p w14:paraId="359DED23">
            <w:pPr>
              <w:keepNext w:val="0"/>
              <w:keepLines w:val="0"/>
              <w:pageBreakBefore w:val="0"/>
              <w:kinsoku/>
              <w:wordWrap/>
              <w:overflowPunct/>
              <w:topLinePunct w:val="0"/>
              <w:bidi w:val="0"/>
              <w:ind w:firstLine="420" w:firstLineChars="200"/>
              <w:jc w:val="both"/>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二类环境空气功能区</w:t>
            </w:r>
            <w:r>
              <w:rPr>
                <w:rFonts w:hint="eastAsia" w:ascii="宋体" w:hAnsi="宋体" w:eastAsia="宋体" w:cs="宋体"/>
                <w:color w:val="auto"/>
                <w:sz w:val="21"/>
                <w:szCs w:val="21"/>
                <w:highlight w:val="none"/>
              </w:rPr>
              <w:t>（工业区和农村地区）</w:t>
            </w:r>
          </w:p>
        </w:tc>
        <w:tc>
          <w:tcPr>
            <w:tcW w:w="1172" w:type="dxa"/>
            <w:noWrap w:val="0"/>
            <w:vAlign w:val="center"/>
          </w:tcPr>
          <w:p w14:paraId="68DA131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2B97D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vMerge w:val="continue"/>
            <w:noWrap w:val="0"/>
            <w:vAlign w:val="top"/>
          </w:tcPr>
          <w:p w14:paraId="643ECA3B">
            <w:pPr>
              <w:rPr>
                <w:rFonts w:hint="eastAsia" w:ascii="宋体" w:hAnsi="宋体" w:eastAsia="宋体" w:cs="宋体"/>
                <w:color w:val="auto"/>
                <w:sz w:val="21"/>
                <w:szCs w:val="21"/>
                <w:highlight w:val="none"/>
              </w:rPr>
            </w:pPr>
          </w:p>
        </w:tc>
        <w:tc>
          <w:tcPr>
            <w:tcW w:w="5978" w:type="dxa"/>
            <w:noWrap w:val="0"/>
            <w:vAlign w:val="top"/>
          </w:tcPr>
          <w:p w14:paraId="590AF87F">
            <w:pPr>
              <w:keepNext w:val="0"/>
              <w:keepLines w:val="0"/>
              <w:pageBreakBefore w:val="0"/>
              <w:kinsoku/>
              <w:wordWrap/>
              <w:overflowPunct/>
              <w:topLinePunct w:val="0"/>
              <w:bidi w:val="0"/>
              <w:ind w:firstLine="420" w:firstLineChars="200"/>
              <w:jc w:val="both"/>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二类环境空气功能区</w:t>
            </w:r>
            <w:r>
              <w:rPr>
                <w:rFonts w:hint="eastAsia" w:ascii="宋体" w:hAnsi="宋体" w:eastAsia="宋体" w:cs="宋体"/>
                <w:color w:val="auto"/>
                <w:sz w:val="21"/>
                <w:szCs w:val="21"/>
                <w:highlight w:val="none"/>
              </w:rPr>
              <w:t>（居民区、商业交通居民混合区、文化区）</w:t>
            </w:r>
          </w:p>
        </w:tc>
        <w:tc>
          <w:tcPr>
            <w:tcW w:w="1172" w:type="dxa"/>
            <w:noWrap w:val="0"/>
            <w:vAlign w:val="center"/>
          </w:tcPr>
          <w:p w14:paraId="5315AA9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02362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vMerge w:val="continue"/>
            <w:noWrap w:val="0"/>
            <w:vAlign w:val="top"/>
          </w:tcPr>
          <w:p w14:paraId="37502311">
            <w:pPr>
              <w:rPr>
                <w:rFonts w:hint="eastAsia" w:ascii="宋体" w:hAnsi="宋体" w:eastAsia="宋体" w:cs="宋体"/>
                <w:color w:val="auto"/>
                <w:sz w:val="21"/>
                <w:szCs w:val="21"/>
                <w:highlight w:val="none"/>
              </w:rPr>
            </w:pPr>
          </w:p>
        </w:tc>
        <w:tc>
          <w:tcPr>
            <w:tcW w:w="5978" w:type="dxa"/>
            <w:noWrap w:val="0"/>
            <w:vAlign w:val="top"/>
          </w:tcPr>
          <w:p w14:paraId="42AAD6C9">
            <w:pPr>
              <w:keepNext w:val="0"/>
              <w:keepLines w:val="0"/>
              <w:pageBreakBefore w:val="0"/>
              <w:kinsoku/>
              <w:wordWrap/>
              <w:overflowPunct/>
              <w:topLinePunct w:val="0"/>
              <w:bidi w:val="0"/>
              <w:ind w:firstLine="420" w:firstLineChars="200"/>
              <w:jc w:val="both"/>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一类环境空气功能区</w:t>
            </w:r>
          </w:p>
        </w:tc>
        <w:tc>
          <w:tcPr>
            <w:tcW w:w="1172" w:type="dxa"/>
            <w:noWrap w:val="0"/>
            <w:vAlign w:val="center"/>
          </w:tcPr>
          <w:p w14:paraId="41BD4F2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bl>
    <w:p w14:paraId="52871050">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98"/>
        <w:gridCol w:w="5977"/>
        <w:gridCol w:w="1173"/>
      </w:tblGrid>
      <w:tr w14:paraId="772F2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48" w:type="dxa"/>
            <w:gridSpan w:val="3"/>
            <w:noWrap w:val="0"/>
            <w:vAlign w:val="center"/>
          </w:tcPr>
          <w:p w14:paraId="39CD541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四</w:t>
            </w:r>
            <w:r>
              <w:rPr>
                <w:rFonts w:hint="eastAsia" w:ascii="宋体" w:hAnsi="宋体" w:eastAsia="宋体" w:cs="宋体"/>
                <w:color w:val="auto"/>
                <w:sz w:val="21"/>
                <w:szCs w:val="21"/>
                <w:highlight w:val="none"/>
              </w:rPr>
              <w:t>）大气污染防治类</w:t>
            </w:r>
          </w:p>
        </w:tc>
      </w:tr>
      <w:tr w14:paraId="3D2BE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noWrap w:val="0"/>
            <w:vAlign w:val="center"/>
          </w:tcPr>
          <w:p w14:paraId="72BB057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7150" w:type="dxa"/>
            <w:gridSpan w:val="2"/>
            <w:noWrap w:val="0"/>
            <w:vAlign w:val="center"/>
          </w:tcPr>
          <w:p w14:paraId="0C764967">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13</w:t>
            </w:r>
          </w:p>
        </w:tc>
      </w:tr>
      <w:tr w14:paraId="3847E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noWrap w:val="0"/>
            <w:vAlign w:val="center"/>
          </w:tcPr>
          <w:p w14:paraId="775438D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7150" w:type="dxa"/>
            <w:gridSpan w:val="2"/>
            <w:noWrap w:val="0"/>
            <w:vAlign w:val="center"/>
          </w:tcPr>
          <w:p w14:paraId="15363E72">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可燃性气体回收利用装置不能正常作业，未及时修复或者更新的</w:t>
            </w:r>
          </w:p>
        </w:tc>
      </w:tr>
      <w:tr w14:paraId="7ED63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noWrap w:val="0"/>
            <w:vAlign w:val="center"/>
          </w:tcPr>
          <w:p w14:paraId="2FF3DBB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7150" w:type="dxa"/>
            <w:gridSpan w:val="2"/>
            <w:noWrap w:val="0"/>
            <w:vAlign w:val="center"/>
          </w:tcPr>
          <w:p w14:paraId="243ECD56">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《中华人民共和国生态环境法典》第二百一十八条第二款  可燃性气体回收利用装置不能正常作业的，应当及时修复或者更新。在回收利用装置不能正常作业期间确需排放可燃性气体的，应当将排放的可燃性气体充分燃烧或者采取其他控制大气污染物排放的措施，并向当地生态环境主管部门报告，按照要求限期修复或者更新。</w:t>
            </w:r>
          </w:p>
        </w:tc>
      </w:tr>
      <w:tr w14:paraId="7FC17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noWrap w:val="0"/>
            <w:vAlign w:val="center"/>
          </w:tcPr>
          <w:p w14:paraId="3E360CA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7150" w:type="dxa"/>
            <w:gridSpan w:val="2"/>
            <w:noWrap w:val="0"/>
            <w:vAlign w:val="center"/>
          </w:tcPr>
          <w:p w14:paraId="05767AA2">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《中华人民共和国生态环境法典》第一千一百二十条</w:t>
            </w:r>
            <w:r>
              <w:rPr>
                <w:rFonts w:hint="eastAsia" w:ascii="宋体" w:hAnsi="宋体" w:cs="宋体"/>
                <w:color w:val="auto"/>
                <w:sz w:val="21"/>
                <w:szCs w:val="21"/>
                <w:highlight w:val="none"/>
                <w:lang w:val="en-US" w:eastAsia="zh-CN"/>
              </w:rPr>
              <w:t>第一款第七项</w:t>
            </w:r>
            <w:r>
              <w:rPr>
                <w:rFonts w:hint="eastAsia" w:ascii="宋体" w:hAnsi="宋体" w:eastAsia="宋体" w:cs="宋体"/>
                <w:color w:val="auto"/>
                <w:sz w:val="21"/>
                <w:szCs w:val="21"/>
                <w:highlight w:val="none"/>
              </w:rPr>
              <w:t xml:space="preserve">  违反本法规定，有下列情形之一的，由生态环境主管部门责令改正，处二万元以上二十万元以下的罚款；拒不改正的，责令停产整治：</w:t>
            </w:r>
          </w:p>
          <w:p w14:paraId="2D566BF7">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（七）可燃性气体回收利用装置不能正常作业，未及时修复或者更新；</w:t>
            </w:r>
          </w:p>
        </w:tc>
      </w:tr>
      <w:tr w14:paraId="708C8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noWrap w:val="0"/>
            <w:vAlign w:val="center"/>
          </w:tcPr>
          <w:p w14:paraId="4265387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977" w:type="dxa"/>
            <w:noWrap w:val="0"/>
            <w:vAlign w:val="center"/>
          </w:tcPr>
          <w:p w14:paraId="4845717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173" w:type="dxa"/>
            <w:noWrap w:val="0"/>
            <w:vAlign w:val="center"/>
          </w:tcPr>
          <w:p w14:paraId="66F1E44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2DCAF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vMerge w:val="restart"/>
            <w:noWrap w:val="0"/>
            <w:vAlign w:val="center"/>
          </w:tcPr>
          <w:p w14:paraId="5E5D6AC3">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排污</w:t>
            </w:r>
            <w:r>
              <w:rPr>
                <w:rFonts w:hint="eastAsia" w:ascii="宋体" w:hAnsi="宋体" w:eastAsia="宋体" w:cs="宋体"/>
                <w:color w:val="auto"/>
                <w:sz w:val="21"/>
                <w:szCs w:val="21"/>
                <w:highlight w:val="none"/>
                <w:lang w:val="en-US" w:eastAsia="zh-CN"/>
              </w:rPr>
              <w:t>许可</w:t>
            </w:r>
          </w:p>
          <w:p w14:paraId="5347E00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管理类别</w:t>
            </w:r>
          </w:p>
        </w:tc>
        <w:tc>
          <w:tcPr>
            <w:tcW w:w="5977" w:type="dxa"/>
            <w:noWrap w:val="0"/>
            <w:vAlign w:val="top"/>
          </w:tcPr>
          <w:p w14:paraId="7200B7C0">
            <w:pPr>
              <w:keepNext w:val="0"/>
              <w:keepLines w:val="0"/>
              <w:pageBreakBefore w:val="0"/>
              <w:widowControl/>
              <w:suppressLineNumbers w:val="0"/>
              <w:kinsoku/>
              <w:wordWrap/>
              <w:overflowPunct/>
              <w:topLinePunct w:val="0"/>
              <w:bidi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未纳入排污许可管理</w:t>
            </w:r>
          </w:p>
        </w:tc>
        <w:tc>
          <w:tcPr>
            <w:tcW w:w="1173" w:type="dxa"/>
            <w:noWrap w:val="0"/>
            <w:vAlign w:val="top"/>
          </w:tcPr>
          <w:p w14:paraId="6B8AEEA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p>
        </w:tc>
      </w:tr>
      <w:tr w14:paraId="469CD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vMerge w:val="continue"/>
            <w:noWrap w:val="0"/>
            <w:vAlign w:val="center"/>
          </w:tcPr>
          <w:p w14:paraId="3BCEDD71">
            <w:pPr>
              <w:jc w:val="center"/>
              <w:rPr>
                <w:rFonts w:hint="eastAsia" w:ascii="宋体" w:hAnsi="宋体" w:eastAsia="宋体" w:cs="宋体"/>
                <w:color w:val="auto"/>
                <w:sz w:val="21"/>
                <w:szCs w:val="21"/>
                <w:highlight w:val="none"/>
              </w:rPr>
            </w:pPr>
          </w:p>
        </w:tc>
        <w:tc>
          <w:tcPr>
            <w:tcW w:w="5977" w:type="dxa"/>
            <w:noWrap w:val="0"/>
            <w:vAlign w:val="center"/>
          </w:tcPr>
          <w:p w14:paraId="68C1D63A">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312" w:lineRule="exact"/>
              <w:ind w:left="0" w:leftChars="0" w:right="0" w:rightChars="0" w:firstLine="420" w:firstLineChars="20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简化管理</w:t>
            </w:r>
          </w:p>
        </w:tc>
        <w:tc>
          <w:tcPr>
            <w:tcW w:w="1173" w:type="dxa"/>
            <w:noWrap w:val="0"/>
            <w:vAlign w:val="center"/>
          </w:tcPr>
          <w:p w14:paraId="5AE8FAC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00449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vMerge w:val="continue"/>
            <w:noWrap w:val="0"/>
            <w:vAlign w:val="center"/>
          </w:tcPr>
          <w:p w14:paraId="7D8EADCD">
            <w:pPr>
              <w:jc w:val="center"/>
              <w:rPr>
                <w:rFonts w:hint="eastAsia" w:ascii="宋体" w:hAnsi="宋体" w:eastAsia="宋体" w:cs="宋体"/>
                <w:color w:val="auto"/>
                <w:sz w:val="21"/>
                <w:szCs w:val="21"/>
                <w:highlight w:val="none"/>
              </w:rPr>
            </w:pPr>
          </w:p>
        </w:tc>
        <w:tc>
          <w:tcPr>
            <w:tcW w:w="5977" w:type="dxa"/>
            <w:noWrap w:val="0"/>
            <w:vAlign w:val="center"/>
          </w:tcPr>
          <w:p w14:paraId="70C77658">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312" w:lineRule="exact"/>
              <w:ind w:left="0" w:leftChars="0" w:right="0" w:rightChars="0" w:firstLine="420" w:firstLineChars="200"/>
              <w:jc w:val="both"/>
              <w:textAlignment w:val="baseline"/>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重点管理</w:t>
            </w:r>
          </w:p>
        </w:tc>
        <w:tc>
          <w:tcPr>
            <w:tcW w:w="1173" w:type="dxa"/>
            <w:noWrap w:val="0"/>
            <w:vAlign w:val="center"/>
          </w:tcPr>
          <w:p w14:paraId="223445C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p>
        </w:tc>
      </w:tr>
      <w:tr w14:paraId="1A3E2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vMerge w:val="continue"/>
            <w:noWrap w:val="0"/>
            <w:vAlign w:val="center"/>
          </w:tcPr>
          <w:p w14:paraId="0BF01337">
            <w:pPr>
              <w:keepNext w:val="0"/>
              <w:keepLines w:val="0"/>
              <w:pageBreakBefore w:val="0"/>
              <w:widowControl w:val="0"/>
              <w:shd w:val="clear" w:color="auto" w:fill="auto"/>
              <w:kinsoku/>
              <w:wordWrap/>
              <w:overflowPunct/>
              <w:topLinePunct/>
              <w:autoSpaceDE w:val="0"/>
              <w:autoSpaceDN w:val="0"/>
              <w:bidi w:val="0"/>
              <w:adjustRightInd w:val="0"/>
              <w:snapToGrid w:val="0"/>
              <w:spacing w:line="312"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p>
        </w:tc>
        <w:tc>
          <w:tcPr>
            <w:tcW w:w="5977" w:type="dxa"/>
            <w:noWrap w:val="0"/>
            <w:vAlign w:val="center"/>
          </w:tcPr>
          <w:p w14:paraId="1201960F">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312" w:lineRule="exact"/>
              <w:ind w:left="0" w:leftChars="0" w:right="0" w:rightChars="0" w:firstLine="420" w:firstLineChars="20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重点管理（钢铁、石化、化工、电镀、皮革、造纸、冶炼、印染、染料、水泥、煤电、陶瓷、采矿、放射性、危废经营、垃圾焚烧发电、平板玻璃，“两高”项目）</w:t>
            </w:r>
          </w:p>
        </w:tc>
        <w:tc>
          <w:tcPr>
            <w:tcW w:w="1173" w:type="dxa"/>
            <w:noWrap w:val="0"/>
            <w:vAlign w:val="center"/>
          </w:tcPr>
          <w:p w14:paraId="31EC373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4DA73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vMerge w:val="restart"/>
            <w:noWrap w:val="0"/>
            <w:vAlign w:val="center"/>
          </w:tcPr>
          <w:p w14:paraId="2FCAC2A2">
            <w:pPr>
              <w:jc w:val="center"/>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违法行为发生地</w:t>
            </w:r>
          </w:p>
        </w:tc>
        <w:tc>
          <w:tcPr>
            <w:tcW w:w="5977" w:type="dxa"/>
            <w:noWrap w:val="0"/>
            <w:vAlign w:val="top"/>
          </w:tcPr>
          <w:p w14:paraId="499ADF3E">
            <w:pPr>
              <w:keepNext w:val="0"/>
              <w:keepLines w:val="0"/>
              <w:pageBreakBefore w:val="0"/>
              <w:kinsoku/>
              <w:wordWrap/>
              <w:overflowPunct/>
              <w:topLinePunct w:val="0"/>
              <w:bidi w:val="0"/>
              <w:ind w:firstLine="420" w:firstLineChars="200"/>
              <w:jc w:val="both"/>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二类环境空气功能区</w:t>
            </w:r>
            <w:r>
              <w:rPr>
                <w:rFonts w:hint="eastAsia" w:ascii="宋体" w:hAnsi="宋体" w:eastAsia="宋体" w:cs="宋体"/>
                <w:color w:val="auto"/>
                <w:sz w:val="21"/>
                <w:szCs w:val="21"/>
                <w:highlight w:val="none"/>
              </w:rPr>
              <w:t>（工业区和农村地区）</w:t>
            </w:r>
          </w:p>
        </w:tc>
        <w:tc>
          <w:tcPr>
            <w:tcW w:w="1173" w:type="dxa"/>
            <w:noWrap w:val="0"/>
            <w:vAlign w:val="center"/>
          </w:tcPr>
          <w:p w14:paraId="1CEC54B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184C6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vMerge w:val="continue"/>
            <w:noWrap w:val="0"/>
            <w:vAlign w:val="top"/>
          </w:tcPr>
          <w:p w14:paraId="1A854760">
            <w:pPr>
              <w:rPr>
                <w:rFonts w:hint="eastAsia" w:ascii="宋体" w:hAnsi="宋体" w:eastAsia="宋体" w:cs="宋体"/>
                <w:color w:val="auto"/>
                <w:sz w:val="21"/>
                <w:szCs w:val="21"/>
                <w:highlight w:val="none"/>
              </w:rPr>
            </w:pPr>
          </w:p>
        </w:tc>
        <w:tc>
          <w:tcPr>
            <w:tcW w:w="5977" w:type="dxa"/>
            <w:noWrap w:val="0"/>
            <w:vAlign w:val="top"/>
          </w:tcPr>
          <w:p w14:paraId="6B6D4F99">
            <w:pPr>
              <w:keepNext w:val="0"/>
              <w:keepLines w:val="0"/>
              <w:pageBreakBefore w:val="0"/>
              <w:kinsoku/>
              <w:wordWrap/>
              <w:overflowPunct/>
              <w:topLinePunct w:val="0"/>
              <w:bidi w:val="0"/>
              <w:ind w:firstLine="420" w:firstLineChars="200"/>
              <w:jc w:val="both"/>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二类环境空气功能区</w:t>
            </w:r>
            <w:r>
              <w:rPr>
                <w:rFonts w:hint="eastAsia" w:ascii="宋体" w:hAnsi="宋体" w:eastAsia="宋体" w:cs="宋体"/>
                <w:color w:val="auto"/>
                <w:sz w:val="21"/>
                <w:szCs w:val="21"/>
                <w:highlight w:val="none"/>
              </w:rPr>
              <w:t>（居民区、商业交通居民混合区、文化区）</w:t>
            </w:r>
          </w:p>
        </w:tc>
        <w:tc>
          <w:tcPr>
            <w:tcW w:w="1173" w:type="dxa"/>
            <w:noWrap w:val="0"/>
            <w:vAlign w:val="center"/>
          </w:tcPr>
          <w:p w14:paraId="4667989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1342B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vMerge w:val="continue"/>
            <w:noWrap w:val="0"/>
            <w:vAlign w:val="top"/>
          </w:tcPr>
          <w:p w14:paraId="49D5B8E3">
            <w:pPr>
              <w:rPr>
                <w:rFonts w:hint="eastAsia" w:ascii="宋体" w:hAnsi="宋体" w:eastAsia="宋体" w:cs="宋体"/>
                <w:color w:val="auto"/>
                <w:sz w:val="21"/>
                <w:szCs w:val="21"/>
                <w:highlight w:val="none"/>
              </w:rPr>
            </w:pPr>
          </w:p>
        </w:tc>
        <w:tc>
          <w:tcPr>
            <w:tcW w:w="5977" w:type="dxa"/>
            <w:noWrap w:val="0"/>
            <w:vAlign w:val="top"/>
          </w:tcPr>
          <w:p w14:paraId="303F2A01">
            <w:pPr>
              <w:keepNext w:val="0"/>
              <w:keepLines w:val="0"/>
              <w:pageBreakBefore w:val="0"/>
              <w:kinsoku/>
              <w:wordWrap/>
              <w:overflowPunct/>
              <w:topLinePunct w:val="0"/>
              <w:bidi w:val="0"/>
              <w:ind w:firstLine="420" w:firstLineChars="200"/>
              <w:jc w:val="both"/>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一类环境空气功能区</w:t>
            </w:r>
          </w:p>
        </w:tc>
        <w:tc>
          <w:tcPr>
            <w:tcW w:w="1173" w:type="dxa"/>
            <w:noWrap w:val="0"/>
            <w:vAlign w:val="center"/>
          </w:tcPr>
          <w:p w14:paraId="440D100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bl>
    <w:p w14:paraId="7A7739B8">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98"/>
        <w:gridCol w:w="5977"/>
        <w:gridCol w:w="1173"/>
      </w:tblGrid>
      <w:tr w14:paraId="4A845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48" w:type="dxa"/>
            <w:gridSpan w:val="3"/>
            <w:noWrap w:val="0"/>
            <w:vAlign w:val="center"/>
          </w:tcPr>
          <w:p w14:paraId="77F4B59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四</w:t>
            </w:r>
            <w:r>
              <w:rPr>
                <w:rFonts w:hint="eastAsia" w:ascii="宋体" w:hAnsi="宋体" w:eastAsia="宋体" w:cs="宋体"/>
                <w:color w:val="auto"/>
                <w:sz w:val="21"/>
                <w:szCs w:val="21"/>
                <w:highlight w:val="none"/>
              </w:rPr>
              <w:t>）大气污染防治类</w:t>
            </w:r>
          </w:p>
        </w:tc>
      </w:tr>
      <w:tr w14:paraId="69392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noWrap w:val="0"/>
            <w:vAlign w:val="center"/>
          </w:tcPr>
          <w:p w14:paraId="396501C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7150" w:type="dxa"/>
            <w:gridSpan w:val="2"/>
            <w:noWrap w:val="0"/>
            <w:vAlign w:val="center"/>
          </w:tcPr>
          <w:p w14:paraId="29A127DC">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14</w:t>
            </w:r>
          </w:p>
        </w:tc>
      </w:tr>
      <w:tr w14:paraId="38D00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noWrap w:val="0"/>
            <w:vAlign w:val="center"/>
          </w:tcPr>
          <w:p w14:paraId="57B6351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7150" w:type="dxa"/>
            <w:gridSpan w:val="2"/>
            <w:noWrap w:val="0"/>
            <w:vAlign w:val="center"/>
          </w:tcPr>
          <w:p w14:paraId="5AE09D15">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在可燃性气体回收利用装置不能正常作业期间排放可燃性气体，未采取控制大气污染物排放措施的</w:t>
            </w:r>
          </w:p>
        </w:tc>
      </w:tr>
      <w:tr w14:paraId="56143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noWrap w:val="0"/>
            <w:vAlign w:val="center"/>
          </w:tcPr>
          <w:p w14:paraId="6C464DE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7150" w:type="dxa"/>
            <w:gridSpan w:val="2"/>
            <w:noWrap w:val="0"/>
            <w:vAlign w:val="center"/>
          </w:tcPr>
          <w:p w14:paraId="609DDAE6">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《中华人民共和国生态环境法典》第二百一十八条第二款  可燃性气体回收利用装置不能正常作业的，应当及时修复或者更新。在回收利用装置不能正常作业期间确需排放可燃性气体的，应当将排放的可燃性气体充分燃烧或者采取其他控制大气污染物排放的措施，并向当地生态环境主管部门报告，按照要求限期修复或者更新。</w:t>
            </w:r>
          </w:p>
        </w:tc>
      </w:tr>
      <w:tr w14:paraId="598EB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noWrap w:val="0"/>
            <w:vAlign w:val="center"/>
          </w:tcPr>
          <w:p w14:paraId="4FBF3F8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7150" w:type="dxa"/>
            <w:gridSpan w:val="2"/>
            <w:noWrap w:val="0"/>
            <w:vAlign w:val="center"/>
          </w:tcPr>
          <w:p w14:paraId="5D9846C1">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《中华人民共和国生态环境法典》第一千一百二十条</w:t>
            </w:r>
            <w:r>
              <w:rPr>
                <w:rFonts w:hint="eastAsia" w:ascii="宋体" w:hAnsi="宋体" w:cs="宋体"/>
                <w:color w:val="auto"/>
                <w:sz w:val="21"/>
                <w:szCs w:val="21"/>
                <w:highlight w:val="none"/>
                <w:lang w:val="en-US" w:eastAsia="zh-CN"/>
              </w:rPr>
              <w:t>第一款第八项</w:t>
            </w:r>
            <w:r>
              <w:rPr>
                <w:rFonts w:hint="eastAsia" w:ascii="宋体" w:hAnsi="宋体" w:eastAsia="宋体" w:cs="宋体"/>
                <w:color w:val="auto"/>
                <w:sz w:val="21"/>
                <w:szCs w:val="21"/>
                <w:highlight w:val="none"/>
              </w:rPr>
              <w:t xml:space="preserve">  违反本法规定，有下列情形之一的，由生态环境主管部门责令改正，处二万元以上二十万元以下的罚款；拒不改正的，责令停产整治：</w:t>
            </w:r>
          </w:p>
          <w:p w14:paraId="7363BDCA">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（八）在可燃性气体回收利用装置不能正常作业期间排放可燃性气体，未采取控制大气污染物排放措施。</w:t>
            </w:r>
          </w:p>
        </w:tc>
      </w:tr>
      <w:tr w14:paraId="450D2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noWrap w:val="0"/>
            <w:vAlign w:val="center"/>
          </w:tcPr>
          <w:p w14:paraId="632B70E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977" w:type="dxa"/>
            <w:noWrap w:val="0"/>
            <w:vAlign w:val="center"/>
          </w:tcPr>
          <w:p w14:paraId="0385618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173" w:type="dxa"/>
            <w:noWrap w:val="0"/>
            <w:vAlign w:val="center"/>
          </w:tcPr>
          <w:p w14:paraId="3B0E3F6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7BCD1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vMerge w:val="restart"/>
            <w:noWrap w:val="0"/>
            <w:vAlign w:val="center"/>
          </w:tcPr>
          <w:p w14:paraId="067DD203">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排污</w:t>
            </w:r>
            <w:r>
              <w:rPr>
                <w:rFonts w:hint="eastAsia" w:ascii="宋体" w:hAnsi="宋体" w:eastAsia="宋体" w:cs="宋体"/>
                <w:color w:val="auto"/>
                <w:sz w:val="21"/>
                <w:szCs w:val="21"/>
                <w:highlight w:val="none"/>
                <w:lang w:val="en-US" w:eastAsia="zh-CN"/>
              </w:rPr>
              <w:t>许可</w:t>
            </w:r>
          </w:p>
          <w:p w14:paraId="5EDF203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管理类别</w:t>
            </w:r>
          </w:p>
        </w:tc>
        <w:tc>
          <w:tcPr>
            <w:tcW w:w="5977" w:type="dxa"/>
            <w:noWrap w:val="0"/>
            <w:vAlign w:val="top"/>
          </w:tcPr>
          <w:p w14:paraId="7D76852E">
            <w:pPr>
              <w:keepNext w:val="0"/>
              <w:keepLines w:val="0"/>
              <w:pageBreakBefore w:val="0"/>
              <w:widowControl/>
              <w:suppressLineNumbers w:val="0"/>
              <w:kinsoku/>
              <w:wordWrap/>
              <w:overflowPunct/>
              <w:topLinePunct w:val="0"/>
              <w:bidi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未纳入排污许可管理</w:t>
            </w:r>
          </w:p>
        </w:tc>
        <w:tc>
          <w:tcPr>
            <w:tcW w:w="1173" w:type="dxa"/>
            <w:noWrap w:val="0"/>
            <w:vAlign w:val="top"/>
          </w:tcPr>
          <w:p w14:paraId="53F5D5D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p>
        </w:tc>
      </w:tr>
      <w:tr w14:paraId="39C8B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vMerge w:val="continue"/>
            <w:noWrap w:val="0"/>
            <w:vAlign w:val="center"/>
          </w:tcPr>
          <w:p w14:paraId="72CB2A8F">
            <w:pPr>
              <w:jc w:val="center"/>
              <w:rPr>
                <w:rFonts w:hint="eastAsia" w:ascii="宋体" w:hAnsi="宋体" w:eastAsia="宋体" w:cs="宋体"/>
                <w:color w:val="auto"/>
                <w:sz w:val="21"/>
                <w:szCs w:val="21"/>
                <w:highlight w:val="none"/>
              </w:rPr>
            </w:pPr>
          </w:p>
        </w:tc>
        <w:tc>
          <w:tcPr>
            <w:tcW w:w="5977" w:type="dxa"/>
            <w:noWrap w:val="0"/>
            <w:vAlign w:val="center"/>
          </w:tcPr>
          <w:p w14:paraId="735E3A3E">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312" w:lineRule="exact"/>
              <w:ind w:left="0" w:leftChars="0" w:right="0" w:rightChars="0" w:firstLine="420" w:firstLineChars="20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简化管理</w:t>
            </w:r>
          </w:p>
        </w:tc>
        <w:tc>
          <w:tcPr>
            <w:tcW w:w="1173" w:type="dxa"/>
            <w:noWrap w:val="0"/>
            <w:vAlign w:val="center"/>
          </w:tcPr>
          <w:p w14:paraId="0A56CBE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7A5D4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vMerge w:val="continue"/>
            <w:noWrap w:val="0"/>
            <w:vAlign w:val="center"/>
          </w:tcPr>
          <w:p w14:paraId="1F633F1D">
            <w:pPr>
              <w:jc w:val="center"/>
              <w:rPr>
                <w:rFonts w:hint="eastAsia" w:ascii="宋体" w:hAnsi="宋体" w:eastAsia="宋体" w:cs="宋体"/>
                <w:color w:val="auto"/>
                <w:sz w:val="21"/>
                <w:szCs w:val="21"/>
                <w:highlight w:val="none"/>
              </w:rPr>
            </w:pPr>
          </w:p>
        </w:tc>
        <w:tc>
          <w:tcPr>
            <w:tcW w:w="5977" w:type="dxa"/>
            <w:noWrap w:val="0"/>
            <w:vAlign w:val="center"/>
          </w:tcPr>
          <w:p w14:paraId="32F4302D">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312" w:lineRule="exact"/>
              <w:ind w:left="0" w:leftChars="0" w:right="0" w:rightChars="0" w:firstLine="420" w:firstLineChars="200"/>
              <w:jc w:val="both"/>
              <w:textAlignment w:val="baseline"/>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重点管理</w:t>
            </w:r>
          </w:p>
        </w:tc>
        <w:tc>
          <w:tcPr>
            <w:tcW w:w="1173" w:type="dxa"/>
            <w:noWrap w:val="0"/>
            <w:vAlign w:val="center"/>
          </w:tcPr>
          <w:p w14:paraId="29C1B18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p>
        </w:tc>
      </w:tr>
      <w:tr w14:paraId="52663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vMerge w:val="continue"/>
            <w:noWrap w:val="0"/>
            <w:vAlign w:val="center"/>
          </w:tcPr>
          <w:p w14:paraId="00B800AB">
            <w:pPr>
              <w:keepNext w:val="0"/>
              <w:keepLines w:val="0"/>
              <w:pageBreakBefore w:val="0"/>
              <w:widowControl w:val="0"/>
              <w:shd w:val="clear" w:color="auto" w:fill="auto"/>
              <w:kinsoku/>
              <w:wordWrap/>
              <w:overflowPunct/>
              <w:topLinePunct/>
              <w:autoSpaceDE w:val="0"/>
              <w:autoSpaceDN w:val="0"/>
              <w:bidi w:val="0"/>
              <w:adjustRightInd w:val="0"/>
              <w:snapToGrid w:val="0"/>
              <w:spacing w:line="312"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p>
        </w:tc>
        <w:tc>
          <w:tcPr>
            <w:tcW w:w="5977" w:type="dxa"/>
            <w:noWrap w:val="0"/>
            <w:vAlign w:val="center"/>
          </w:tcPr>
          <w:p w14:paraId="1DD0F1BE">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312" w:lineRule="exact"/>
              <w:ind w:left="0" w:leftChars="0" w:right="0" w:rightChars="0" w:firstLine="420" w:firstLineChars="20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重点管理（钢铁、石化、化工、电镀、皮革、造纸、冶炼、印染、染料、水泥、煤电、陶瓷、采矿、放射性、危废经营、垃圾焚烧发电、平板玻璃，“两高”项目）</w:t>
            </w:r>
          </w:p>
        </w:tc>
        <w:tc>
          <w:tcPr>
            <w:tcW w:w="1173" w:type="dxa"/>
            <w:noWrap w:val="0"/>
            <w:vAlign w:val="center"/>
          </w:tcPr>
          <w:p w14:paraId="25D0050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13988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vMerge w:val="restart"/>
            <w:noWrap w:val="0"/>
            <w:vAlign w:val="center"/>
          </w:tcPr>
          <w:p w14:paraId="7F20FF49">
            <w:pPr>
              <w:jc w:val="center"/>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违法行为发生地</w:t>
            </w:r>
          </w:p>
        </w:tc>
        <w:tc>
          <w:tcPr>
            <w:tcW w:w="5977" w:type="dxa"/>
            <w:noWrap w:val="0"/>
            <w:vAlign w:val="top"/>
          </w:tcPr>
          <w:p w14:paraId="10A666C5">
            <w:pPr>
              <w:keepNext w:val="0"/>
              <w:keepLines w:val="0"/>
              <w:pageBreakBefore w:val="0"/>
              <w:kinsoku/>
              <w:wordWrap/>
              <w:overflowPunct/>
              <w:topLinePunct w:val="0"/>
              <w:bidi w:val="0"/>
              <w:ind w:firstLine="420" w:firstLineChars="200"/>
              <w:jc w:val="both"/>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二类环境空气功能区</w:t>
            </w:r>
            <w:r>
              <w:rPr>
                <w:rFonts w:hint="eastAsia" w:ascii="宋体" w:hAnsi="宋体" w:eastAsia="宋体" w:cs="宋体"/>
                <w:color w:val="auto"/>
                <w:sz w:val="21"/>
                <w:szCs w:val="21"/>
                <w:highlight w:val="none"/>
              </w:rPr>
              <w:t>（工业区和农村地区）</w:t>
            </w:r>
          </w:p>
        </w:tc>
        <w:tc>
          <w:tcPr>
            <w:tcW w:w="1173" w:type="dxa"/>
            <w:noWrap w:val="0"/>
            <w:vAlign w:val="center"/>
          </w:tcPr>
          <w:p w14:paraId="5DBE597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3504A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vMerge w:val="continue"/>
            <w:noWrap w:val="0"/>
            <w:vAlign w:val="top"/>
          </w:tcPr>
          <w:p w14:paraId="30ADB63E">
            <w:pPr>
              <w:rPr>
                <w:rFonts w:hint="eastAsia" w:ascii="宋体" w:hAnsi="宋体" w:eastAsia="宋体" w:cs="宋体"/>
                <w:color w:val="auto"/>
                <w:sz w:val="21"/>
                <w:szCs w:val="21"/>
                <w:highlight w:val="none"/>
              </w:rPr>
            </w:pPr>
          </w:p>
        </w:tc>
        <w:tc>
          <w:tcPr>
            <w:tcW w:w="5977" w:type="dxa"/>
            <w:noWrap w:val="0"/>
            <w:vAlign w:val="top"/>
          </w:tcPr>
          <w:p w14:paraId="491D3097">
            <w:pPr>
              <w:keepNext w:val="0"/>
              <w:keepLines w:val="0"/>
              <w:pageBreakBefore w:val="0"/>
              <w:kinsoku/>
              <w:wordWrap/>
              <w:overflowPunct/>
              <w:topLinePunct w:val="0"/>
              <w:bidi w:val="0"/>
              <w:ind w:firstLine="420" w:firstLineChars="200"/>
              <w:jc w:val="both"/>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二类环境空气功能区</w:t>
            </w:r>
            <w:r>
              <w:rPr>
                <w:rFonts w:hint="eastAsia" w:ascii="宋体" w:hAnsi="宋体" w:eastAsia="宋体" w:cs="宋体"/>
                <w:color w:val="auto"/>
                <w:sz w:val="21"/>
                <w:szCs w:val="21"/>
                <w:highlight w:val="none"/>
              </w:rPr>
              <w:t>（居民区、商业交通居民混合区、文化区）</w:t>
            </w:r>
          </w:p>
        </w:tc>
        <w:tc>
          <w:tcPr>
            <w:tcW w:w="1173" w:type="dxa"/>
            <w:noWrap w:val="0"/>
            <w:vAlign w:val="center"/>
          </w:tcPr>
          <w:p w14:paraId="1B56E4C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67841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vMerge w:val="continue"/>
            <w:noWrap w:val="0"/>
            <w:vAlign w:val="top"/>
          </w:tcPr>
          <w:p w14:paraId="5E0A7E3E">
            <w:pPr>
              <w:rPr>
                <w:rFonts w:hint="eastAsia" w:ascii="宋体" w:hAnsi="宋体" w:eastAsia="宋体" w:cs="宋体"/>
                <w:color w:val="auto"/>
                <w:sz w:val="21"/>
                <w:szCs w:val="21"/>
                <w:highlight w:val="none"/>
              </w:rPr>
            </w:pPr>
          </w:p>
        </w:tc>
        <w:tc>
          <w:tcPr>
            <w:tcW w:w="5977" w:type="dxa"/>
            <w:noWrap w:val="0"/>
            <w:vAlign w:val="top"/>
          </w:tcPr>
          <w:p w14:paraId="233100A7">
            <w:pPr>
              <w:keepNext w:val="0"/>
              <w:keepLines w:val="0"/>
              <w:pageBreakBefore w:val="0"/>
              <w:kinsoku/>
              <w:wordWrap/>
              <w:overflowPunct/>
              <w:topLinePunct w:val="0"/>
              <w:bidi w:val="0"/>
              <w:ind w:firstLine="420" w:firstLineChars="200"/>
              <w:jc w:val="both"/>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一类环境空气功能区</w:t>
            </w:r>
          </w:p>
        </w:tc>
        <w:tc>
          <w:tcPr>
            <w:tcW w:w="1173" w:type="dxa"/>
            <w:noWrap w:val="0"/>
            <w:vAlign w:val="center"/>
          </w:tcPr>
          <w:p w14:paraId="73755CE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bl>
    <w:p w14:paraId="4D9534D2">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98"/>
        <w:gridCol w:w="5827"/>
        <w:gridCol w:w="1323"/>
      </w:tblGrid>
      <w:tr w14:paraId="10D67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48" w:type="dxa"/>
            <w:gridSpan w:val="3"/>
            <w:noWrap w:val="0"/>
            <w:vAlign w:val="center"/>
          </w:tcPr>
          <w:p w14:paraId="4BBBF8D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四</w:t>
            </w:r>
            <w:r>
              <w:rPr>
                <w:rFonts w:hint="eastAsia" w:ascii="宋体" w:hAnsi="宋体" w:eastAsia="宋体" w:cs="宋体"/>
                <w:color w:val="auto"/>
                <w:sz w:val="21"/>
                <w:szCs w:val="21"/>
                <w:highlight w:val="none"/>
              </w:rPr>
              <w:t>）大气污染防治类</w:t>
            </w:r>
          </w:p>
        </w:tc>
      </w:tr>
      <w:tr w14:paraId="348D3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noWrap w:val="0"/>
            <w:vAlign w:val="center"/>
          </w:tcPr>
          <w:p w14:paraId="164BAB6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7150" w:type="dxa"/>
            <w:gridSpan w:val="2"/>
            <w:noWrap w:val="0"/>
            <w:vAlign w:val="center"/>
          </w:tcPr>
          <w:p w14:paraId="30B10503">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15</w:t>
            </w:r>
          </w:p>
        </w:tc>
      </w:tr>
      <w:tr w14:paraId="6248D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noWrap w:val="0"/>
            <w:vAlign w:val="center"/>
          </w:tcPr>
          <w:p w14:paraId="78F928D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7150" w:type="dxa"/>
            <w:gridSpan w:val="2"/>
            <w:noWrap w:val="0"/>
            <w:vAlign w:val="center"/>
          </w:tcPr>
          <w:p w14:paraId="2F68BCA8">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生产不符合大气污染物排放标准的机动车船、非道路移动机械、发动机的</w:t>
            </w:r>
          </w:p>
        </w:tc>
      </w:tr>
      <w:tr w14:paraId="5100F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noWrap w:val="0"/>
            <w:vAlign w:val="center"/>
          </w:tcPr>
          <w:p w14:paraId="382B5F8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7150" w:type="dxa"/>
            <w:gridSpan w:val="2"/>
            <w:noWrap w:val="0"/>
            <w:vAlign w:val="center"/>
          </w:tcPr>
          <w:p w14:paraId="6D3101AF">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《中华人民共和国生态环境法典》第二百二十一条</w:t>
            </w:r>
            <w:r>
              <w:rPr>
                <w:rFonts w:hint="eastAsia" w:ascii="宋体" w:hAnsi="宋体" w:eastAsia="宋体" w:cs="宋体"/>
                <w:color w:val="auto"/>
                <w:sz w:val="21"/>
                <w:szCs w:val="21"/>
                <w:highlight w:val="none"/>
                <w:lang w:val="en-US" w:eastAsia="zh-CN"/>
              </w:rPr>
              <w:t xml:space="preserve">第二款  </w:t>
            </w:r>
            <w:r>
              <w:rPr>
                <w:rFonts w:hint="eastAsia" w:ascii="宋体" w:hAnsi="宋体" w:eastAsia="宋体" w:cs="宋体"/>
                <w:color w:val="auto"/>
                <w:sz w:val="21"/>
                <w:szCs w:val="21"/>
                <w:highlight w:val="none"/>
              </w:rPr>
              <w:t>禁止生产、进口或者销售不符合大气污染物排放标准的机动车船、非道路移动机械及其发动机。</w:t>
            </w:r>
          </w:p>
        </w:tc>
      </w:tr>
      <w:tr w14:paraId="51B52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noWrap w:val="0"/>
            <w:vAlign w:val="center"/>
          </w:tcPr>
          <w:p w14:paraId="4FD6AC2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7150" w:type="dxa"/>
            <w:gridSpan w:val="2"/>
            <w:noWrap w:val="0"/>
            <w:vAlign w:val="center"/>
          </w:tcPr>
          <w:p w14:paraId="1FA6D2D8">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《中华人民共和国生态环境法典》第一千一百二十一条</w:t>
            </w:r>
            <w:r>
              <w:rPr>
                <w:rFonts w:hint="eastAsia" w:ascii="宋体" w:hAnsi="宋体" w:eastAsia="宋体" w:cs="宋体"/>
                <w:color w:val="auto"/>
                <w:sz w:val="21"/>
                <w:szCs w:val="21"/>
                <w:highlight w:val="none"/>
                <w:lang w:val="en-US" w:eastAsia="zh-CN"/>
              </w:rPr>
              <w:t>第一款</w:t>
            </w:r>
            <w:r>
              <w:rPr>
                <w:rFonts w:hint="eastAsia" w:ascii="宋体" w:hAnsi="宋体" w:eastAsia="宋体" w:cs="宋体"/>
                <w:color w:val="auto"/>
                <w:sz w:val="21"/>
                <w:szCs w:val="21"/>
                <w:highlight w:val="none"/>
              </w:rPr>
              <w:t xml:space="preserve">  违反本法规定，生产不符合大气污染物排放标准的机动车船、非道路移动机械、发动机的，由省级以上人民政府生态环境主管部门责令改正，没收违法所得，并处货值金额三倍以下的罚款，没收销毁无法达到污染物排放标准的机动车船、非道路移动机械、发动机；拒不改正的，责令限制生产、停产整治，并由国务院有关生产主管部门按照职责分工责令停止生产该车（船、机）型。</w:t>
            </w:r>
          </w:p>
        </w:tc>
      </w:tr>
      <w:tr w14:paraId="1E791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noWrap w:val="0"/>
            <w:vAlign w:val="center"/>
          </w:tcPr>
          <w:p w14:paraId="0ED31D8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827" w:type="dxa"/>
            <w:noWrap w:val="0"/>
            <w:vAlign w:val="center"/>
          </w:tcPr>
          <w:p w14:paraId="7556FD6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323" w:type="dxa"/>
            <w:noWrap w:val="0"/>
            <w:vAlign w:val="center"/>
          </w:tcPr>
          <w:p w14:paraId="42C15ED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0E645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vMerge w:val="restart"/>
            <w:noWrap w:val="0"/>
            <w:vAlign w:val="center"/>
          </w:tcPr>
          <w:p w14:paraId="33A60EF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生产数量</w:t>
            </w:r>
          </w:p>
        </w:tc>
        <w:tc>
          <w:tcPr>
            <w:tcW w:w="5827" w:type="dxa"/>
            <w:noWrap w:val="0"/>
            <w:vAlign w:val="top"/>
          </w:tcPr>
          <w:p w14:paraId="382A5511">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生产超过污染物排放标准的机动车船、非道路移动机械、发动机的</w:t>
            </w: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台</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以内的</w:t>
            </w:r>
          </w:p>
        </w:tc>
        <w:tc>
          <w:tcPr>
            <w:tcW w:w="1323" w:type="dxa"/>
            <w:noWrap w:val="0"/>
            <w:vAlign w:val="center"/>
          </w:tcPr>
          <w:p w14:paraId="4E205AE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7A775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vMerge w:val="continue"/>
            <w:noWrap w:val="0"/>
            <w:vAlign w:val="center"/>
          </w:tcPr>
          <w:p w14:paraId="39E599D8">
            <w:pPr>
              <w:rPr>
                <w:rFonts w:hint="eastAsia" w:ascii="宋体" w:hAnsi="宋体" w:eastAsia="宋体" w:cs="宋体"/>
                <w:color w:val="auto"/>
                <w:sz w:val="21"/>
                <w:szCs w:val="21"/>
                <w:highlight w:val="none"/>
              </w:rPr>
            </w:pPr>
          </w:p>
        </w:tc>
        <w:tc>
          <w:tcPr>
            <w:tcW w:w="5827" w:type="dxa"/>
            <w:noWrap w:val="0"/>
            <w:vAlign w:val="top"/>
          </w:tcPr>
          <w:p w14:paraId="38AD617B">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生产超过污染物排放标准的机动车船、非道路移动机械、发动机的</w:t>
            </w: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台</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以上</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0辆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台</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以内的</w:t>
            </w:r>
          </w:p>
        </w:tc>
        <w:tc>
          <w:tcPr>
            <w:tcW w:w="1323" w:type="dxa"/>
            <w:noWrap w:val="0"/>
            <w:vAlign w:val="center"/>
          </w:tcPr>
          <w:p w14:paraId="172D31C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79656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vMerge w:val="continue"/>
            <w:noWrap w:val="0"/>
            <w:vAlign w:val="center"/>
          </w:tcPr>
          <w:p w14:paraId="60AF39F9">
            <w:pPr>
              <w:rPr>
                <w:rFonts w:hint="eastAsia" w:ascii="宋体" w:hAnsi="宋体" w:eastAsia="宋体" w:cs="宋体"/>
                <w:color w:val="auto"/>
                <w:sz w:val="21"/>
                <w:szCs w:val="21"/>
                <w:highlight w:val="none"/>
              </w:rPr>
            </w:pPr>
          </w:p>
        </w:tc>
        <w:tc>
          <w:tcPr>
            <w:tcW w:w="5827" w:type="dxa"/>
            <w:noWrap w:val="0"/>
            <w:vAlign w:val="top"/>
          </w:tcPr>
          <w:p w14:paraId="04EBD36D">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生产超过污染物排放标准的机动车船、非道路移动机械、发动机的</w:t>
            </w:r>
            <w:r>
              <w:rPr>
                <w:rFonts w:hint="eastAsia" w:ascii="宋体" w:hAnsi="宋体" w:eastAsia="宋体" w:cs="宋体"/>
                <w:color w:val="auto"/>
                <w:sz w:val="21"/>
                <w:szCs w:val="21"/>
                <w:highlight w:val="none"/>
                <w:lang w:val="en-US" w:eastAsia="zh-CN"/>
              </w:rPr>
              <w:t>50</w:t>
            </w:r>
            <w:r>
              <w:rPr>
                <w:rFonts w:hint="eastAsia" w:ascii="宋体" w:hAnsi="宋体" w:eastAsia="宋体" w:cs="宋体"/>
                <w:color w:val="auto"/>
                <w:sz w:val="21"/>
                <w:szCs w:val="21"/>
                <w:highlight w:val="none"/>
              </w:rPr>
              <w:t>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台</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以上</w:t>
            </w: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0辆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台</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以内的</w:t>
            </w:r>
          </w:p>
        </w:tc>
        <w:tc>
          <w:tcPr>
            <w:tcW w:w="1323" w:type="dxa"/>
            <w:noWrap w:val="0"/>
            <w:vAlign w:val="center"/>
          </w:tcPr>
          <w:p w14:paraId="1E360B52">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r>
      <w:tr w14:paraId="797A8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vMerge w:val="continue"/>
            <w:noWrap w:val="0"/>
            <w:vAlign w:val="center"/>
          </w:tcPr>
          <w:p w14:paraId="19407928">
            <w:pPr>
              <w:rPr>
                <w:rFonts w:hint="eastAsia" w:ascii="宋体" w:hAnsi="宋体" w:eastAsia="宋体" w:cs="宋体"/>
                <w:color w:val="auto"/>
                <w:sz w:val="21"/>
                <w:szCs w:val="21"/>
                <w:highlight w:val="none"/>
              </w:rPr>
            </w:pPr>
          </w:p>
        </w:tc>
        <w:tc>
          <w:tcPr>
            <w:tcW w:w="5827" w:type="dxa"/>
            <w:noWrap w:val="0"/>
            <w:vAlign w:val="top"/>
          </w:tcPr>
          <w:p w14:paraId="6F2A0510">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生产超过污染物排放标准的机动车船、非道路移动机械、发动机的1</w:t>
            </w: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rPr>
              <w:t>0辆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台</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以上的</w:t>
            </w:r>
          </w:p>
        </w:tc>
        <w:tc>
          <w:tcPr>
            <w:tcW w:w="1323" w:type="dxa"/>
            <w:noWrap w:val="0"/>
            <w:vAlign w:val="center"/>
          </w:tcPr>
          <w:p w14:paraId="546767A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46645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vMerge w:val="restart"/>
            <w:noWrap w:val="0"/>
            <w:vAlign w:val="center"/>
          </w:tcPr>
          <w:p w14:paraId="51D2ABB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超标状况</w:t>
            </w:r>
          </w:p>
        </w:tc>
        <w:tc>
          <w:tcPr>
            <w:tcW w:w="5827" w:type="dxa"/>
            <w:noWrap w:val="0"/>
            <w:vAlign w:val="top"/>
          </w:tcPr>
          <w:p w14:paraId="5E5E9744">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污染物测量值超标不足1倍</w:t>
            </w:r>
          </w:p>
        </w:tc>
        <w:tc>
          <w:tcPr>
            <w:tcW w:w="1323" w:type="dxa"/>
            <w:noWrap w:val="0"/>
            <w:vAlign w:val="center"/>
          </w:tcPr>
          <w:p w14:paraId="7D36D5B2">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r>
      <w:tr w14:paraId="79A21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vMerge w:val="continue"/>
            <w:noWrap w:val="0"/>
            <w:vAlign w:val="center"/>
          </w:tcPr>
          <w:p w14:paraId="6005FB06">
            <w:pPr>
              <w:rPr>
                <w:rFonts w:hint="eastAsia" w:ascii="宋体" w:hAnsi="宋体" w:eastAsia="宋体" w:cs="宋体"/>
                <w:color w:val="auto"/>
                <w:sz w:val="21"/>
                <w:szCs w:val="21"/>
                <w:highlight w:val="none"/>
              </w:rPr>
            </w:pPr>
          </w:p>
        </w:tc>
        <w:tc>
          <w:tcPr>
            <w:tcW w:w="5827" w:type="dxa"/>
            <w:noWrap w:val="0"/>
            <w:vAlign w:val="top"/>
          </w:tcPr>
          <w:p w14:paraId="44408BEB">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污染物测量值超标1倍以上不足2倍</w:t>
            </w:r>
          </w:p>
        </w:tc>
        <w:tc>
          <w:tcPr>
            <w:tcW w:w="1323" w:type="dxa"/>
            <w:noWrap w:val="0"/>
            <w:vAlign w:val="center"/>
          </w:tcPr>
          <w:p w14:paraId="1D8934DE">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r>
      <w:tr w14:paraId="6EFE3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vMerge w:val="continue"/>
            <w:noWrap w:val="0"/>
            <w:vAlign w:val="center"/>
          </w:tcPr>
          <w:p w14:paraId="029DC952">
            <w:pPr>
              <w:rPr>
                <w:rFonts w:hint="eastAsia" w:ascii="宋体" w:hAnsi="宋体" w:eastAsia="宋体" w:cs="宋体"/>
                <w:color w:val="auto"/>
                <w:sz w:val="21"/>
                <w:szCs w:val="21"/>
                <w:highlight w:val="none"/>
              </w:rPr>
            </w:pPr>
          </w:p>
        </w:tc>
        <w:tc>
          <w:tcPr>
            <w:tcW w:w="5827" w:type="dxa"/>
            <w:noWrap w:val="0"/>
            <w:vAlign w:val="top"/>
          </w:tcPr>
          <w:p w14:paraId="7A8071F9">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污染物测量值超标2倍以上</w:t>
            </w:r>
          </w:p>
        </w:tc>
        <w:tc>
          <w:tcPr>
            <w:tcW w:w="1323" w:type="dxa"/>
            <w:noWrap w:val="0"/>
            <w:vAlign w:val="center"/>
          </w:tcPr>
          <w:p w14:paraId="46F7DF03">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r>
      <w:tr w14:paraId="74424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vMerge w:val="restart"/>
            <w:noWrap w:val="0"/>
            <w:vAlign w:val="center"/>
          </w:tcPr>
          <w:p w14:paraId="3DA522C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货值金额</w:t>
            </w:r>
          </w:p>
        </w:tc>
        <w:tc>
          <w:tcPr>
            <w:tcW w:w="5827" w:type="dxa"/>
            <w:noWrap w:val="0"/>
            <w:vAlign w:val="center"/>
          </w:tcPr>
          <w:p w14:paraId="0CFFCCBE">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货值金额不超过100万元的</w:t>
            </w:r>
          </w:p>
        </w:tc>
        <w:tc>
          <w:tcPr>
            <w:tcW w:w="1323" w:type="dxa"/>
            <w:noWrap w:val="0"/>
            <w:vAlign w:val="center"/>
          </w:tcPr>
          <w:p w14:paraId="4806315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522C8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vMerge w:val="continue"/>
            <w:noWrap w:val="0"/>
            <w:vAlign w:val="center"/>
          </w:tcPr>
          <w:p w14:paraId="1FA7A809">
            <w:pPr>
              <w:rPr>
                <w:rFonts w:hint="eastAsia" w:ascii="宋体" w:hAnsi="宋体" w:eastAsia="宋体" w:cs="宋体"/>
                <w:color w:val="auto"/>
                <w:sz w:val="21"/>
                <w:szCs w:val="21"/>
                <w:highlight w:val="none"/>
              </w:rPr>
            </w:pPr>
          </w:p>
        </w:tc>
        <w:tc>
          <w:tcPr>
            <w:tcW w:w="5827" w:type="dxa"/>
            <w:noWrap w:val="0"/>
            <w:vAlign w:val="center"/>
          </w:tcPr>
          <w:p w14:paraId="721AF07F">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货值金额100万元以上不足500万元的</w:t>
            </w:r>
          </w:p>
        </w:tc>
        <w:tc>
          <w:tcPr>
            <w:tcW w:w="1323" w:type="dxa"/>
            <w:noWrap w:val="0"/>
            <w:vAlign w:val="center"/>
          </w:tcPr>
          <w:p w14:paraId="5A25EE7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71C84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vMerge w:val="continue"/>
            <w:noWrap w:val="0"/>
            <w:vAlign w:val="center"/>
          </w:tcPr>
          <w:p w14:paraId="491FB8BC">
            <w:pPr>
              <w:rPr>
                <w:rFonts w:hint="eastAsia" w:ascii="宋体" w:hAnsi="宋体" w:eastAsia="宋体" w:cs="宋体"/>
                <w:color w:val="auto"/>
                <w:sz w:val="21"/>
                <w:szCs w:val="21"/>
                <w:highlight w:val="none"/>
              </w:rPr>
            </w:pPr>
          </w:p>
        </w:tc>
        <w:tc>
          <w:tcPr>
            <w:tcW w:w="5827" w:type="dxa"/>
            <w:noWrap w:val="0"/>
            <w:vAlign w:val="bottom"/>
          </w:tcPr>
          <w:p w14:paraId="5C6BB620">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货值金额超过500万元的</w:t>
            </w:r>
          </w:p>
        </w:tc>
        <w:tc>
          <w:tcPr>
            <w:tcW w:w="1323" w:type="dxa"/>
            <w:noWrap w:val="0"/>
            <w:vAlign w:val="center"/>
          </w:tcPr>
          <w:p w14:paraId="44120C2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bl>
    <w:p w14:paraId="598A5A63">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511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63"/>
        <w:gridCol w:w="6045"/>
        <w:gridCol w:w="1339"/>
      </w:tblGrid>
      <w:tr w14:paraId="0805A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9147" w:type="dxa"/>
            <w:gridSpan w:val="3"/>
            <w:noWrap w:val="0"/>
            <w:vAlign w:val="center"/>
          </w:tcPr>
          <w:p w14:paraId="5716D54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四</w:t>
            </w:r>
            <w:r>
              <w:rPr>
                <w:rFonts w:hint="eastAsia" w:ascii="宋体" w:hAnsi="宋体" w:eastAsia="宋体" w:cs="宋体"/>
                <w:color w:val="auto"/>
                <w:sz w:val="21"/>
                <w:szCs w:val="21"/>
                <w:highlight w:val="none"/>
              </w:rPr>
              <w:t>）大气污染防治类</w:t>
            </w:r>
          </w:p>
        </w:tc>
      </w:tr>
      <w:tr w14:paraId="52EB5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63" w:type="dxa"/>
            <w:noWrap w:val="0"/>
            <w:vAlign w:val="center"/>
          </w:tcPr>
          <w:p w14:paraId="13D4B50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7384" w:type="dxa"/>
            <w:gridSpan w:val="2"/>
            <w:noWrap w:val="0"/>
            <w:vAlign w:val="center"/>
          </w:tcPr>
          <w:p w14:paraId="3C1A4A39">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16</w:t>
            </w:r>
          </w:p>
        </w:tc>
      </w:tr>
      <w:tr w14:paraId="44021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63" w:type="dxa"/>
            <w:noWrap w:val="0"/>
            <w:vAlign w:val="center"/>
          </w:tcPr>
          <w:p w14:paraId="4093C50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w:t>
            </w:r>
            <w:bookmarkStart w:id="16" w:name="_Hlk56179488"/>
            <w:r>
              <w:rPr>
                <w:rFonts w:hint="eastAsia" w:ascii="宋体" w:hAnsi="宋体" w:eastAsia="宋体" w:cs="宋体"/>
                <w:color w:val="auto"/>
                <w:sz w:val="21"/>
                <w:szCs w:val="21"/>
                <w:highlight w:val="none"/>
              </w:rPr>
              <w:t>为</w:t>
            </w:r>
          </w:p>
          <w:bookmarkEnd w:id="16"/>
        </w:tc>
        <w:tc>
          <w:tcPr>
            <w:tcW w:w="7384" w:type="dxa"/>
            <w:gridSpan w:val="2"/>
            <w:noWrap w:val="0"/>
            <w:vAlign w:val="center"/>
          </w:tcPr>
          <w:p w14:paraId="425B5F0E">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机动车、非道路移动机械生产企业对发动机、污染控制装置弄虚作假、以次充好，冒充排放检验合格产品出厂销售的</w:t>
            </w:r>
          </w:p>
        </w:tc>
      </w:tr>
      <w:tr w14:paraId="604AD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63" w:type="dxa"/>
            <w:noWrap w:val="0"/>
            <w:vAlign w:val="center"/>
          </w:tcPr>
          <w:p w14:paraId="2209D22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7384" w:type="dxa"/>
            <w:gridSpan w:val="2"/>
            <w:noWrap w:val="0"/>
            <w:vAlign w:val="bottom"/>
          </w:tcPr>
          <w:p w14:paraId="7D35CB22">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《中华人民共和国生态环境法典》第二百二十二条</w:t>
            </w:r>
            <w:r>
              <w:rPr>
                <w:rFonts w:hint="eastAsia" w:ascii="宋体" w:hAnsi="宋体" w:eastAsia="宋体" w:cs="宋体"/>
                <w:color w:val="auto"/>
                <w:sz w:val="21"/>
                <w:szCs w:val="21"/>
                <w:highlight w:val="none"/>
                <w:lang w:val="en-US" w:eastAsia="zh-CN"/>
              </w:rPr>
              <w:t xml:space="preserve">第一款 </w:t>
            </w:r>
            <w:r>
              <w:rPr>
                <w:rFonts w:hint="eastAsia" w:ascii="宋体" w:hAnsi="宋体" w:eastAsia="宋体" w:cs="宋体"/>
                <w:color w:val="auto"/>
                <w:sz w:val="21"/>
                <w:szCs w:val="21"/>
                <w:highlight w:val="none"/>
              </w:rPr>
              <w:t xml:space="preserve"> 机动车、非道路移动机械及其发动机生产企业应当对新生产的机动车、非道路移动机械及其发动机进行排放检验。经检验合格的，方可出厂销售。检验信息应当向社会公开，并报生态环境主管部门备案。</w:t>
            </w:r>
          </w:p>
        </w:tc>
      </w:tr>
      <w:tr w14:paraId="6ACA0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63" w:type="dxa"/>
            <w:noWrap w:val="0"/>
            <w:vAlign w:val="center"/>
          </w:tcPr>
          <w:p w14:paraId="69611F6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7384" w:type="dxa"/>
            <w:gridSpan w:val="2"/>
            <w:noWrap w:val="0"/>
            <w:vAlign w:val="bottom"/>
          </w:tcPr>
          <w:p w14:paraId="384526B6">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《中华人民共和国生态环境法典》第一千一百二十一条第二款  违反本法规定，机动车、非道路移动机械、发动机生产企业对发动机、排放控制系统弄虚作假、以次充好，冒充排放检验合格产品出厂销售的，由省级以上人民政府生态环境主管部门责令停产整治，没收违法所得，并处货值金额一倍以上三倍以下的罚款，没收销毁无法达到污染物排放标准的机动车、非道路移动机械、发动机，并由国务院有关生产主管部门按照职责分工责令停止生产该车（机）型。</w:t>
            </w:r>
          </w:p>
        </w:tc>
      </w:tr>
      <w:tr w14:paraId="641C9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63" w:type="dxa"/>
            <w:noWrap w:val="0"/>
            <w:vAlign w:val="center"/>
          </w:tcPr>
          <w:p w14:paraId="666A88D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6045" w:type="dxa"/>
            <w:noWrap w:val="0"/>
            <w:vAlign w:val="center"/>
          </w:tcPr>
          <w:p w14:paraId="7D77864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339" w:type="dxa"/>
            <w:noWrap w:val="0"/>
            <w:vAlign w:val="center"/>
          </w:tcPr>
          <w:p w14:paraId="6E04977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79CE3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63" w:type="dxa"/>
            <w:vMerge w:val="restart"/>
            <w:noWrap w:val="0"/>
            <w:vAlign w:val="center"/>
          </w:tcPr>
          <w:p w14:paraId="3589434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涉案发动机、排放控制系统数量</w:t>
            </w:r>
          </w:p>
        </w:tc>
        <w:tc>
          <w:tcPr>
            <w:tcW w:w="6045" w:type="dxa"/>
            <w:noWrap w:val="0"/>
            <w:vAlign w:val="bottom"/>
          </w:tcPr>
          <w:p w14:paraId="14F0C2EE">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不足</w:t>
            </w: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台</w:t>
            </w:r>
          </w:p>
        </w:tc>
        <w:tc>
          <w:tcPr>
            <w:tcW w:w="1339" w:type="dxa"/>
            <w:noWrap w:val="0"/>
            <w:vAlign w:val="center"/>
          </w:tcPr>
          <w:p w14:paraId="742342E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6199E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63" w:type="dxa"/>
            <w:vMerge w:val="continue"/>
            <w:noWrap w:val="0"/>
            <w:vAlign w:val="center"/>
          </w:tcPr>
          <w:p w14:paraId="3DD9DE51">
            <w:pPr>
              <w:rPr>
                <w:rFonts w:hint="eastAsia" w:ascii="宋体" w:hAnsi="宋体" w:eastAsia="宋体" w:cs="宋体"/>
                <w:color w:val="auto"/>
                <w:sz w:val="21"/>
                <w:szCs w:val="21"/>
                <w:highlight w:val="none"/>
              </w:rPr>
            </w:pPr>
          </w:p>
        </w:tc>
        <w:tc>
          <w:tcPr>
            <w:tcW w:w="6045" w:type="dxa"/>
            <w:noWrap w:val="0"/>
            <w:vAlign w:val="top"/>
          </w:tcPr>
          <w:p w14:paraId="168FA947">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10台</w:t>
            </w:r>
            <w:r>
              <w:rPr>
                <w:rFonts w:hint="eastAsia" w:ascii="宋体" w:hAnsi="宋体" w:eastAsia="宋体" w:cs="宋体"/>
                <w:color w:val="auto"/>
                <w:sz w:val="21"/>
                <w:szCs w:val="21"/>
                <w:highlight w:val="none"/>
              </w:rPr>
              <w:t>以上</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0</w:t>
            </w:r>
            <w:r>
              <w:rPr>
                <w:rFonts w:hint="eastAsia" w:ascii="宋体" w:hAnsi="宋体" w:eastAsia="宋体" w:cs="宋体"/>
                <w:color w:val="auto"/>
                <w:sz w:val="21"/>
                <w:szCs w:val="21"/>
                <w:highlight w:val="none"/>
                <w:lang w:val="en-US" w:eastAsia="zh-CN"/>
              </w:rPr>
              <w:t>台</w:t>
            </w:r>
            <w:r>
              <w:rPr>
                <w:rFonts w:hint="eastAsia" w:ascii="宋体" w:hAnsi="宋体" w:eastAsia="宋体" w:cs="宋体"/>
                <w:color w:val="auto"/>
                <w:sz w:val="21"/>
                <w:szCs w:val="21"/>
                <w:highlight w:val="none"/>
              </w:rPr>
              <w:t>以内</w:t>
            </w:r>
          </w:p>
        </w:tc>
        <w:tc>
          <w:tcPr>
            <w:tcW w:w="1339" w:type="dxa"/>
            <w:noWrap w:val="0"/>
            <w:vAlign w:val="center"/>
          </w:tcPr>
          <w:p w14:paraId="100BBE9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31CE9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63" w:type="dxa"/>
            <w:vMerge w:val="continue"/>
            <w:noWrap w:val="0"/>
            <w:vAlign w:val="center"/>
          </w:tcPr>
          <w:p w14:paraId="5CF1E4B4">
            <w:pPr>
              <w:rPr>
                <w:rFonts w:hint="eastAsia" w:ascii="宋体" w:hAnsi="宋体" w:eastAsia="宋体" w:cs="宋体"/>
                <w:color w:val="auto"/>
                <w:sz w:val="21"/>
                <w:szCs w:val="21"/>
                <w:highlight w:val="none"/>
              </w:rPr>
            </w:pPr>
          </w:p>
        </w:tc>
        <w:tc>
          <w:tcPr>
            <w:tcW w:w="6045" w:type="dxa"/>
            <w:noWrap w:val="0"/>
            <w:vAlign w:val="top"/>
          </w:tcPr>
          <w:p w14:paraId="25E78D58">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50台</w:t>
            </w:r>
            <w:r>
              <w:rPr>
                <w:rFonts w:hint="eastAsia" w:ascii="宋体" w:hAnsi="宋体" w:eastAsia="宋体" w:cs="宋体"/>
                <w:color w:val="auto"/>
                <w:sz w:val="21"/>
                <w:szCs w:val="21"/>
                <w:highlight w:val="none"/>
              </w:rPr>
              <w:t>以上</w:t>
            </w: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0</w:t>
            </w:r>
            <w:r>
              <w:rPr>
                <w:rFonts w:hint="eastAsia" w:ascii="宋体" w:hAnsi="宋体" w:eastAsia="宋体" w:cs="宋体"/>
                <w:color w:val="auto"/>
                <w:sz w:val="21"/>
                <w:szCs w:val="21"/>
                <w:highlight w:val="none"/>
                <w:lang w:val="en-US" w:eastAsia="zh-CN"/>
              </w:rPr>
              <w:t>台</w:t>
            </w:r>
            <w:r>
              <w:rPr>
                <w:rFonts w:hint="eastAsia" w:ascii="宋体" w:hAnsi="宋体" w:eastAsia="宋体" w:cs="宋体"/>
                <w:color w:val="auto"/>
                <w:sz w:val="21"/>
                <w:szCs w:val="21"/>
                <w:highlight w:val="none"/>
              </w:rPr>
              <w:t>以内</w:t>
            </w:r>
          </w:p>
        </w:tc>
        <w:tc>
          <w:tcPr>
            <w:tcW w:w="1339" w:type="dxa"/>
            <w:noWrap w:val="0"/>
            <w:vAlign w:val="center"/>
          </w:tcPr>
          <w:p w14:paraId="5ED8A0EF">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4</w:t>
            </w:r>
          </w:p>
        </w:tc>
      </w:tr>
      <w:tr w14:paraId="0549F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63" w:type="dxa"/>
            <w:vMerge w:val="continue"/>
            <w:noWrap w:val="0"/>
            <w:vAlign w:val="center"/>
          </w:tcPr>
          <w:p w14:paraId="10B39303">
            <w:pPr>
              <w:rPr>
                <w:rFonts w:hint="eastAsia" w:ascii="宋体" w:hAnsi="宋体" w:eastAsia="宋体" w:cs="宋体"/>
                <w:color w:val="auto"/>
                <w:sz w:val="21"/>
                <w:szCs w:val="21"/>
                <w:highlight w:val="none"/>
              </w:rPr>
            </w:pPr>
          </w:p>
        </w:tc>
        <w:tc>
          <w:tcPr>
            <w:tcW w:w="6045" w:type="dxa"/>
            <w:noWrap w:val="0"/>
            <w:vAlign w:val="top"/>
          </w:tcPr>
          <w:p w14:paraId="7E76E1ED">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rPr>
              <w:t>0</w:t>
            </w:r>
            <w:r>
              <w:rPr>
                <w:rFonts w:hint="eastAsia" w:ascii="宋体" w:hAnsi="宋体" w:eastAsia="宋体" w:cs="宋体"/>
                <w:color w:val="auto"/>
                <w:sz w:val="21"/>
                <w:szCs w:val="21"/>
                <w:highlight w:val="none"/>
                <w:lang w:val="en-US" w:eastAsia="zh-CN"/>
              </w:rPr>
              <w:t>台</w:t>
            </w:r>
            <w:r>
              <w:rPr>
                <w:rFonts w:hint="eastAsia" w:ascii="宋体" w:hAnsi="宋体" w:eastAsia="宋体" w:cs="宋体"/>
                <w:color w:val="auto"/>
                <w:sz w:val="21"/>
                <w:szCs w:val="21"/>
                <w:highlight w:val="none"/>
              </w:rPr>
              <w:t>以上</w:t>
            </w:r>
          </w:p>
        </w:tc>
        <w:tc>
          <w:tcPr>
            <w:tcW w:w="1339" w:type="dxa"/>
            <w:noWrap w:val="0"/>
            <w:vAlign w:val="center"/>
          </w:tcPr>
          <w:p w14:paraId="3159C672">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r>
      <w:tr w14:paraId="56A48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63" w:type="dxa"/>
            <w:vMerge w:val="restart"/>
            <w:noWrap w:val="0"/>
            <w:vAlign w:val="center"/>
          </w:tcPr>
          <w:p w14:paraId="0011CFC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货值金额</w:t>
            </w:r>
          </w:p>
        </w:tc>
        <w:tc>
          <w:tcPr>
            <w:tcW w:w="6045" w:type="dxa"/>
            <w:noWrap w:val="0"/>
            <w:vAlign w:val="center"/>
          </w:tcPr>
          <w:p w14:paraId="71AF95D6">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货值金额不超过100万元的</w:t>
            </w:r>
          </w:p>
        </w:tc>
        <w:tc>
          <w:tcPr>
            <w:tcW w:w="1339" w:type="dxa"/>
            <w:noWrap w:val="0"/>
            <w:vAlign w:val="center"/>
          </w:tcPr>
          <w:p w14:paraId="4431CC7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38376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63" w:type="dxa"/>
            <w:vMerge w:val="continue"/>
            <w:noWrap w:val="0"/>
            <w:vAlign w:val="center"/>
          </w:tcPr>
          <w:p w14:paraId="09BC6F38">
            <w:pPr>
              <w:rPr>
                <w:rFonts w:hint="eastAsia" w:ascii="宋体" w:hAnsi="宋体" w:eastAsia="宋体" w:cs="宋体"/>
                <w:color w:val="auto"/>
                <w:sz w:val="21"/>
                <w:szCs w:val="21"/>
                <w:highlight w:val="none"/>
              </w:rPr>
            </w:pPr>
          </w:p>
        </w:tc>
        <w:tc>
          <w:tcPr>
            <w:tcW w:w="6045" w:type="dxa"/>
            <w:noWrap w:val="0"/>
            <w:vAlign w:val="center"/>
          </w:tcPr>
          <w:p w14:paraId="636FF0A9">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货值金额100万元以上不足500万元的</w:t>
            </w:r>
          </w:p>
        </w:tc>
        <w:tc>
          <w:tcPr>
            <w:tcW w:w="1339" w:type="dxa"/>
            <w:noWrap w:val="0"/>
            <w:vAlign w:val="center"/>
          </w:tcPr>
          <w:p w14:paraId="6FCADFB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56629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63" w:type="dxa"/>
            <w:vMerge w:val="continue"/>
            <w:noWrap w:val="0"/>
            <w:vAlign w:val="center"/>
          </w:tcPr>
          <w:p w14:paraId="6D16DA2C">
            <w:pPr>
              <w:rPr>
                <w:rFonts w:hint="eastAsia" w:ascii="宋体" w:hAnsi="宋体" w:eastAsia="宋体" w:cs="宋体"/>
                <w:color w:val="auto"/>
                <w:sz w:val="21"/>
                <w:szCs w:val="21"/>
                <w:highlight w:val="none"/>
              </w:rPr>
            </w:pPr>
          </w:p>
        </w:tc>
        <w:tc>
          <w:tcPr>
            <w:tcW w:w="6045" w:type="dxa"/>
            <w:noWrap w:val="0"/>
            <w:vAlign w:val="bottom"/>
          </w:tcPr>
          <w:p w14:paraId="26D94037">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货值金额超过500万元的</w:t>
            </w:r>
          </w:p>
        </w:tc>
        <w:tc>
          <w:tcPr>
            <w:tcW w:w="1339" w:type="dxa"/>
            <w:noWrap w:val="0"/>
            <w:vAlign w:val="center"/>
          </w:tcPr>
          <w:p w14:paraId="1EC21D6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bl>
    <w:p w14:paraId="6919FDE9">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0"/>
        <w:gridCol w:w="5823"/>
        <w:gridCol w:w="1325"/>
      </w:tblGrid>
      <w:tr w14:paraId="0D6FE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48" w:type="dxa"/>
            <w:gridSpan w:val="3"/>
            <w:noWrap w:val="0"/>
            <w:vAlign w:val="center"/>
          </w:tcPr>
          <w:p w14:paraId="438E417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四</w:t>
            </w:r>
            <w:r>
              <w:rPr>
                <w:rFonts w:hint="eastAsia" w:ascii="宋体" w:hAnsi="宋体" w:eastAsia="宋体" w:cs="宋体"/>
                <w:color w:val="auto"/>
                <w:sz w:val="21"/>
                <w:szCs w:val="21"/>
                <w:highlight w:val="none"/>
              </w:rPr>
              <w:t>）大气污染防治类</w:t>
            </w:r>
          </w:p>
        </w:tc>
      </w:tr>
      <w:tr w14:paraId="2CC39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0" w:type="dxa"/>
            <w:noWrap w:val="0"/>
            <w:vAlign w:val="center"/>
          </w:tcPr>
          <w:p w14:paraId="4DBD12B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7148" w:type="dxa"/>
            <w:gridSpan w:val="2"/>
            <w:noWrap w:val="0"/>
            <w:vAlign w:val="center"/>
          </w:tcPr>
          <w:p w14:paraId="5F302F49">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17</w:t>
            </w:r>
          </w:p>
        </w:tc>
      </w:tr>
      <w:tr w14:paraId="1365F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0" w:type="dxa"/>
            <w:noWrap w:val="0"/>
            <w:vAlign w:val="center"/>
          </w:tcPr>
          <w:p w14:paraId="2A043B7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w:t>
            </w:r>
            <w:bookmarkStart w:id="17" w:name="_Hlk56179502"/>
            <w:r>
              <w:rPr>
                <w:rFonts w:hint="eastAsia" w:ascii="宋体" w:hAnsi="宋体" w:eastAsia="宋体" w:cs="宋体"/>
                <w:color w:val="auto"/>
                <w:sz w:val="21"/>
                <w:szCs w:val="21"/>
                <w:highlight w:val="none"/>
              </w:rPr>
              <w:t>为</w:t>
            </w:r>
          </w:p>
          <w:bookmarkEnd w:id="17"/>
        </w:tc>
        <w:tc>
          <w:tcPr>
            <w:tcW w:w="7148" w:type="dxa"/>
            <w:gridSpan w:val="2"/>
            <w:noWrap w:val="0"/>
            <w:vAlign w:val="center"/>
          </w:tcPr>
          <w:p w14:paraId="7B03E69F">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机动车生产、进口企业未按照规定向社会公布其生产、进口机动车车型的排放检验信息或者污染控制技术信息的</w:t>
            </w:r>
          </w:p>
        </w:tc>
      </w:tr>
      <w:tr w14:paraId="767FB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0" w:type="dxa"/>
            <w:noWrap w:val="0"/>
            <w:vAlign w:val="center"/>
          </w:tcPr>
          <w:p w14:paraId="0CCB7AC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7148" w:type="dxa"/>
            <w:gridSpan w:val="2"/>
            <w:noWrap w:val="0"/>
            <w:vAlign w:val="bottom"/>
          </w:tcPr>
          <w:p w14:paraId="1BBD6760">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《中华人民共和国生态环境法典》第二百二十六条</w:t>
            </w:r>
            <w:r>
              <w:rPr>
                <w:rFonts w:hint="eastAsia" w:ascii="宋体" w:hAnsi="宋体" w:eastAsia="宋体" w:cs="宋体"/>
                <w:color w:val="auto"/>
                <w:sz w:val="21"/>
                <w:szCs w:val="21"/>
                <w:highlight w:val="none"/>
                <w:lang w:val="en-US" w:eastAsia="zh-CN"/>
              </w:rPr>
              <w:t>第一款</w:t>
            </w:r>
            <w:r>
              <w:rPr>
                <w:rFonts w:hint="eastAsia" w:ascii="宋体" w:hAnsi="宋体" w:eastAsia="宋体" w:cs="宋体"/>
                <w:color w:val="auto"/>
                <w:sz w:val="21"/>
                <w:szCs w:val="21"/>
                <w:highlight w:val="none"/>
              </w:rPr>
              <w:t xml:space="preserve">  机动车、非道路移动机械的生产、进口企业应当向社会公开其生产、进口机动车车型、非道路移动机械机型的排放检验信息、污染控制技术信息和有关维修技术信息。</w:t>
            </w:r>
          </w:p>
        </w:tc>
      </w:tr>
      <w:tr w14:paraId="539E3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0" w:type="dxa"/>
            <w:noWrap w:val="0"/>
            <w:vAlign w:val="center"/>
          </w:tcPr>
          <w:p w14:paraId="2B25F2A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7148" w:type="dxa"/>
            <w:gridSpan w:val="2"/>
            <w:noWrap w:val="0"/>
            <w:vAlign w:val="bottom"/>
          </w:tcPr>
          <w:p w14:paraId="7B3C02D0">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《中华人民共和国生态环境法典》第一千一百二十三条第一款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违反本法规定，机动车、非道路移动机械生产、进口企业未按照规定向社会公开其生产、进口机动车车型、非道路移动机械机型的排放检验信息或者污染控制技术信息的，由省级以上人民政府生态环境主管部门责令改正，处五万元以上五十万元以下的罚款。</w:t>
            </w:r>
          </w:p>
        </w:tc>
      </w:tr>
      <w:tr w14:paraId="20B72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0" w:type="dxa"/>
            <w:noWrap w:val="0"/>
            <w:vAlign w:val="center"/>
          </w:tcPr>
          <w:p w14:paraId="50EA26B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823" w:type="dxa"/>
            <w:noWrap w:val="0"/>
            <w:vAlign w:val="center"/>
          </w:tcPr>
          <w:p w14:paraId="446EE92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325" w:type="dxa"/>
            <w:noWrap w:val="0"/>
            <w:vAlign w:val="center"/>
          </w:tcPr>
          <w:p w14:paraId="03F6F41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19EDF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0" w:type="dxa"/>
            <w:vMerge w:val="restart"/>
            <w:noWrap w:val="0"/>
            <w:vAlign w:val="center"/>
          </w:tcPr>
          <w:p w14:paraId="398BBCF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违法事实</w:t>
            </w:r>
          </w:p>
        </w:tc>
        <w:tc>
          <w:tcPr>
            <w:tcW w:w="5823" w:type="dxa"/>
            <w:noWrap w:val="0"/>
            <w:vAlign w:val="bottom"/>
          </w:tcPr>
          <w:p w14:paraId="343E7DB9">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已向社会公开其生产、进口机动车车型的排放检验信息或者污染控制技术信息的，但是信息不全的</w:t>
            </w:r>
          </w:p>
        </w:tc>
        <w:tc>
          <w:tcPr>
            <w:tcW w:w="1325" w:type="dxa"/>
            <w:noWrap w:val="0"/>
            <w:vAlign w:val="center"/>
          </w:tcPr>
          <w:p w14:paraId="6C35015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3283A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0" w:type="dxa"/>
            <w:vMerge w:val="continue"/>
            <w:noWrap w:val="0"/>
            <w:vAlign w:val="center"/>
          </w:tcPr>
          <w:p w14:paraId="0565101A">
            <w:pPr>
              <w:rPr>
                <w:rFonts w:hint="eastAsia" w:ascii="宋体" w:hAnsi="宋体" w:eastAsia="宋体" w:cs="宋体"/>
                <w:color w:val="auto"/>
                <w:sz w:val="21"/>
                <w:szCs w:val="21"/>
                <w:highlight w:val="none"/>
              </w:rPr>
            </w:pPr>
          </w:p>
        </w:tc>
        <w:tc>
          <w:tcPr>
            <w:tcW w:w="5823" w:type="dxa"/>
            <w:noWrap w:val="0"/>
            <w:vAlign w:val="top"/>
          </w:tcPr>
          <w:p w14:paraId="2AE8B564">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未向社会公开其生产、进口机动车车型的排放检验信息或者污染控制技术信息的</w:t>
            </w:r>
          </w:p>
        </w:tc>
        <w:tc>
          <w:tcPr>
            <w:tcW w:w="1325" w:type="dxa"/>
            <w:noWrap w:val="0"/>
            <w:vAlign w:val="center"/>
          </w:tcPr>
          <w:p w14:paraId="61C4BDC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507FB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0" w:type="dxa"/>
            <w:vMerge w:val="continue"/>
            <w:noWrap w:val="0"/>
            <w:vAlign w:val="center"/>
          </w:tcPr>
          <w:p w14:paraId="0DADAB7D">
            <w:pPr>
              <w:rPr>
                <w:rFonts w:hint="eastAsia" w:ascii="宋体" w:hAnsi="宋体" w:eastAsia="宋体" w:cs="宋体"/>
                <w:color w:val="auto"/>
                <w:sz w:val="21"/>
                <w:szCs w:val="21"/>
                <w:highlight w:val="none"/>
              </w:rPr>
            </w:pPr>
          </w:p>
        </w:tc>
        <w:tc>
          <w:tcPr>
            <w:tcW w:w="5823" w:type="dxa"/>
            <w:noWrap w:val="0"/>
            <w:vAlign w:val="bottom"/>
          </w:tcPr>
          <w:p w14:paraId="574AEA37">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在向社会公开其生产、进口机动车车型的排放检验信息或者污染控制技术信息中弄虚作假的</w:t>
            </w:r>
          </w:p>
        </w:tc>
        <w:tc>
          <w:tcPr>
            <w:tcW w:w="1325" w:type="dxa"/>
            <w:noWrap w:val="0"/>
            <w:vAlign w:val="center"/>
          </w:tcPr>
          <w:p w14:paraId="59AB476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09F53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0" w:type="dxa"/>
            <w:vMerge w:val="restart"/>
            <w:noWrap w:val="0"/>
            <w:vAlign w:val="center"/>
          </w:tcPr>
          <w:p w14:paraId="52C07B7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涉及未公开的车型或机型种类</w:t>
            </w:r>
          </w:p>
        </w:tc>
        <w:tc>
          <w:tcPr>
            <w:tcW w:w="5823" w:type="dxa"/>
            <w:noWrap w:val="0"/>
            <w:vAlign w:val="center"/>
          </w:tcPr>
          <w:p w14:paraId="68A3B94F">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1种</w:t>
            </w:r>
          </w:p>
        </w:tc>
        <w:tc>
          <w:tcPr>
            <w:tcW w:w="1325" w:type="dxa"/>
            <w:noWrap w:val="0"/>
            <w:vAlign w:val="center"/>
          </w:tcPr>
          <w:p w14:paraId="14A9F83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1983E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0" w:type="dxa"/>
            <w:vMerge w:val="continue"/>
            <w:noWrap w:val="0"/>
            <w:vAlign w:val="center"/>
          </w:tcPr>
          <w:p w14:paraId="7223CBA4">
            <w:pPr>
              <w:rPr>
                <w:rFonts w:hint="eastAsia" w:ascii="宋体" w:hAnsi="宋体" w:eastAsia="宋体" w:cs="宋体"/>
                <w:color w:val="auto"/>
                <w:sz w:val="21"/>
                <w:szCs w:val="21"/>
                <w:highlight w:val="none"/>
              </w:rPr>
            </w:pPr>
          </w:p>
        </w:tc>
        <w:tc>
          <w:tcPr>
            <w:tcW w:w="5823" w:type="dxa"/>
            <w:noWrap w:val="0"/>
            <w:vAlign w:val="bottom"/>
          </w:tcPr>
          <w:p w14:paraId="0B5017B1">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2种及以上不足5种</w:t>
            </w:r>
          </w:p>
        </w:tc>
        <w:tc>
          <w:tcPr>
            <w:tcW w:w="1325" w:type="dxa"/>
            <w:noWrap w:val="0"/>
            <w:vAlign w:val="center"/>
          </w:tcPr>
          <w:p w14:paraId="48BC16BE">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w:t>
            </w:r>
          </w:p>
        </w:tc>
      </w:tr>
      <w:tr w14:paraId="2F69F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0" w:type="dxa"/>
            <w:vMerge w:val="continue"/>
            <w:noWrap w:val="0"/>
            <w:vAlign w:val="center"/>
          </w:tcPr>
          <w:p w14:paraId="09A41878">
            <w:pPr>
              <w:rPr>
                <w:rFonts w:hint="eastAsia" w:ascii="宋体" w:hAnsi="宋体" w:eastAsia="宋体" w:cs="宋体"/>
                <w:color w:val="auto"/>
                <w:sz w:val="21"/>
                <w:szCs w:val="21"/>
                <w:highlight w:val="none"/>
              </w:rPr>
            </w:pPr>
          </w:p>
        </w:tc>
        <w:tc>
          <w:tcPr>
            <w:tcW w:w="5823" w:type="dxa"/>
            <w:noWrap w:val="0"/>
            <w:vAlign w:val="bottom"/>
          </w:tcPr>
          <w:p w14:paraId="63F651DD">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5种及以上不足10种</w:t>
            </w:r>
          </w:p>
        </w:tc>
        <w:tc>
          <w:tcPr>
            <w:tcW w:w="1325" w:type="dxa"/>
            <w:noWrap w:val="0"/>
            <w:vAlign w:val="center"/>
          </w:tcPr>
          <w:p w14:paraId="7A93094A">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3</w:t>
            </w:r>
          </w:p>
        </w:tc>
      </w:tr>
      <w:tr w14:paraId="49112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0" w:type="dxa"/>
            <w:vMerge w:val="continue"/>
            <w:noWrap w:val="0"/>
            <w:vAlign w:val="center"/>
          </w:tcPr>
          <w:p w14:paraId="6C256F2E">
            <w:pPr>
              <w:rPr>
                <w:rFonts w:hint="eastAsia" w:ascii="宋体" w:hAnsi="宋体" w:eastAsia="宋体" w:cs="宋体"/>
                <w:color w:val="auto"/>
                <w:sz w:val="21"/>
                <w:szCs w:val="21"/>
                <w:highlight w:val="none"/>
              </w:rPr>
            </w:pPr>
          </w:p>
        </w:tc>
        <w:tc>
          <w:tcPr>
            <w:tcW w:w="5823" w:type="dxa"/>
            <w:noWrap w:val="0"/>
            <w:vAlign w:val="bottom"/>
          </w:tcPr>
          <w:p w14:paraId="4FED8B08">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10种及以上不足15种</w:t>
            </w:r>
          </w:p>
        </w:tc>
        <w:tc>
          <w:tcPr>
            <w:tcW w:w="1325" w:type="dxa"/>
            <w:noWrap w:val="0"/>
            <w:vAlign w:val="center"/>
          </w:tcPr>
          <w:p w14:paraId="1AF148A3">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r>
      <w:tr w14:paraId="7660D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0" w:type="dxa"/>
            <w:vMerge w:val="continue"/>
            <w:noWrap w:val="0"/>
            <w:vAlign w:val="center"/>
          </w:tcPr>
          <w:p w14:paraId="105C2B23">
            <w:pPr>
              <w:rPr>
                <w:rFonts w:hint="eastAsia" w:ascii="宋体" w:hAnsi="宋体" w:eastAsia="宋体" w:cs="宋体"/>
                <w:color w:val="auto"/>
                <w:sz w:val="21"/>
                <w:szCs w:val="21"/>
                <w:highlight w:val="none"/>
              </w:rPr>
            </w:pPr>
          </w:p>
        </w:tc>
        <w:tc>
          <w:tcPr>
            <w:tcW w:w="5823" w:type="dxa"/>
            <w:noWrap w:val="0"/>
            <w:vAlign w:val="bottom"/>
          </w:tcPr>
          <w:p w14:paraId="27B37A1E">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15种及以上</w:t>
            </w:r>
          </w:p>
        </w:tc>
        <w:tc>
          <w:tcPr>
            <w:tcW w:w="1325" w:type="dxa"/>
            <w:noWrap w:val="0"/>
            <w:vAlign w:val="center"/>
          </w:tcPr>
          <w:p w14:paraId="3EFACA40">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r>
    </w:tbl>
    <w:p w14:paraId="00BDC8F0">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p w14:paraId="28D48B54">
      <w:pPr>
        <w:rPr>
          <w:rFonts w:hint="eastAsia" w:ascii="宋体" w:hAnsi="宋体" w:eastAsia="宋体" w:cs="宋体"/>
          <w:sz w:val="21"/>
          <w:szCs w:val="21"/>
          <w:highlight w:val="none"/>
        </w:rPr>
      </w:pP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98"/>
        <w:gridCol w:w="5827"/>
        <w:gridCol w:w="1323"/>
      </w:tblGrid>
      <w:tr w14:paraId="10847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48" w:type="dxa"/>
            <w:gridSpan w:val="3"/>
            <w:noWrap w:val="0"/>
            <w:vAlign w:val="center"/>
          </w:tcPr>
          <w:p w14:paraId="56D7637A">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四</w:t>
            </w:r>
            <w:r>
              <w:rPr>
                <w:rFonts w:hint="eastAsia" w:ascii="宋体" w:hAnsi="宋体" w:eastAsia="宋体" w:cs="宋体"/>
                <w:color w:val="auto"/>
                <w:sz w:val="21"/>
                <w:szCs w:val="21"/>
                <w:highlight w:val="none"/>
              </w:rPr>
              <w:t>）大气污染防治类</w:t>
            </w:r>
          </w:p>
        </w:tc>
      </w:tr>
      <w:tr w14:paraId="1D96D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noWrap w:val="0"/>
            <w:vAlign w:val="center"/>
          </w:tcPr>
          <w:p w14:paraId="5D40327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7150" w:type="dxa"/>
            <w:gridSpan w:val="2"/>
            <w:noWrap w:val="0"/>
            <w:vAlign w:val="center"/>
          </w:tcPr>
          <w:p w14:paraId="0EBB6589">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18</w:t>
            </w:r>
          </w:p>
        </w:tc>
      </w:tr>
      <w:tr w14:paraId="23A16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noWrap w:val="0"/>
            <w:vAlign w:val="center"/>
          </w:tcPr>
          <w:p w14:paraId="2B8751B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7150" w:type="dxa"/>
            <w:gridSpan w:val="2"/>
            <w:noWrap w:val="0"/>
            <w:vAlign w:val="center"/>
          </w:tcPr>
          <w:p w14:paraId="333CEDA1">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生产、进口或者销售能够篡改、屏蔽、伪造机动车、非道路移动机械、发动机排放检验数据的装置或者为虚假排放检验提供条件的检验设备的</w:t>
            </w:r>
          </w:p>
        </w:tc>
      </w:tr>
      <w:tr w14:paraId="1A179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noWrap w:val="0"/>
            <w:vAlign w:val="center"/>
          </w:tcPr>
          <w:p w14:paraId="2246E8F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7150" w:type="dxa"/>
            <w:gridSpan w:val="2"/>
            <w:noWrap w:val="0"/>
            <w:vAlign w:val="bottom"/>
          </w:tcPr>
          <w:p w14:paraId="1D762E46">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《中华人民共和国生态环境法典》第二百三十三条  禁止生产、进口或者销售用于篡改、屏蔽、伪造机动车船、非道路移动机械及其发动机排放检验数据的装置和为虚假排放检验提供条件的检验设备。</w:t>
            </w:r>
          </w:p>
        </w:tc>
      </w:tr>
      <w:tr w14:paraId="0EAE4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noWrap w:val="0"/>
            <w:vAlign w:val="center"/>
          </w:tcPr>
          <w:p w14:paraId="0E872EF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7150" w:type="dxa"/>
            <w:gridSpan w:val="2"/>
            <w:noWrap w:val="0"/>
            <w:vAlign w:val="bottom"/>
          </w:tcPr>
          <w:p w14:paraId="48A6FA31">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《中华人民共和国生态环境法典》第一千一百二十五条  违反本法规定，生产、进口或者销售能够篡改、屏蔽、伪造机动车船、非道路移动机械、发动机排放检验数据的装置或者为虚假排放检验提供条件的检验设备的，由生态环境主管部门、市场监督管理部门、海关按照职责分工没收违法所得，没收销毁违法装置和检验设备，并处货值金额一倍以上五倍以下的罚款，货值金额不足五万元的，以五万元计算</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w:t>
            </w:r>
          </w:p>
        </w:tc>
      </w:tr>
      <w:tr w14:paraId="62181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noWrap w:val="0"/>
            <w:vAlign w:val="center"/>
          </w:tcPr>
          <w:p w14:paraId="7D10691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827" w:type="dxa"/>
            <w:noWrap w:val="0"/>
            <w:vAlign w:val="center"/>
          </w:tcPr>
          <w:p w14:paraId="27754E5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323" w:type="dxa"/>
            <w:noWrap w:val="0"/>
            <w:vAlign w:val="center"/>
          </w:tcPr>
          <w:p w14:paraId="7075D4F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30AD0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vMerge w:val="restart"/>
            <w:noWrap w:val="0"/>
            <w:vAlign w:val="center"/>
          </w:tcPr>
          <w:p w14:paraId="67E4BE88">
            <w:pPr>
              <w:ind w:left="0" w:leftChars="0" w:right="0" w:rightChars="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违法事实</w:t>
            </w:r>
          </w:p>
        </w:tc>
        <w:tc>
          <w:tcPr>
            <w:tcW w:w="5827" w:type="dxa"/>
            <w:noWrap w:val="0"/>
            <w:vAlign w:val="center"/>
          </w:tcPr>
          <w:p w14:paraId="2CEE7727">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涉案装置或检验设备数量不足10台</w:t>
            </w:r>
          </w:p>
        </w:tc>
        <w:tc>
          <w:tcPr>
            <w:tcW w:w="1323" w:type="dxa"/>
            <w:noWrap w:val="0"/>
            <w:vAlign w:val="center"/>
          </w:tcPr>
          <w:p w14:paraId="4A1343A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08C51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vMerge w:val="continue"/>
            <w:noWrap w:val="0"/>
            <w:vAlign w:val="center"/>
          </w:tcPr>
          <w:p w14:paraId="2E9BFF76">
            <w:pPr>
              <w:ind w:left="0" w:leftChars="0" w:right="0" w:rightChars="0"/>
              <w:jc w:val="center"/>
              <w:textAlignment w:val="center"/>
              <w:rPr>
                <w:rFonts w:hint="eastAsia" w:ascii="宋体" w:hAnsi="宋体" w:eastAsia="宋体" w:cs="宋体"/>
                <w:color w:val="auto"/>
                <w:sz w:val="21"/>
                <w:szCs w:val="21"/>
                <w:highlight w:val="none"/>
              </w:rPr>
            </w:pPr>
          </w:p>
        </w:tc>
        <w:tc>
          <w:tcPr>
            <w:tcW w:w="5827" w:type="dxa"/>
            <w:noWrap w:val="0"/>
            <w:vAlign w:val="center"/>
          </w:tcPr>
          <w:p w14:paraId="4CA42E54">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涉案装置或检验设备数量10台以上不足50台</w:t>
            </w:r>
          </w:p>
        </w:tc>
        <w:tc>
          <w:tcPr>
            <w:tcW w:w="1323" w:type="dxa"/>
            <w:noWrap w:val="0"/>
            <w:vAlign w:val="center"/>
          </w:tcPr>
          <w:p w14:paraId="64C9C72E">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3</w:t>
            </w:r>
          </w:p>
        </w:tc>
      </w:tr>
      <w:tr w14:paraId="4E16C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vMerge w:val="continue"/>
            <w:noWrap w:val="0"/>
            <w:vAlign w:val="center"/>
          </w:tcPr>
          <w:p w14:paraId="764019BE">
            <w:pPr>
              <w:ind w:left="0" w:leftChars="0" w:right="0" w:rightChars="0"/>
              <w:jc w:val="center"/>
              <w:textAlignment w:val="center"/>
              <w:rPr>
                <w:rFonts w:hint="eastAsia" w:ascii="宋体" w:hAnsi="宋体" w:eastAsia="宋体" w:cs="宋体"/>
                <w:color w:val="auto"/>
                <w:sz w:val="21"/>
                <w:szCs w:val="21"/>
                <w:highlight w:val="none"/>
              </w:rPr>
            </w:pPr>
          </w:p>
        </w:tc>
        <w:tc>
          <w:tcPr>
            <w:tcW w:w="5827" w:type="dxa"/>
            <w:noWrap w:val="0"/>
            <w:vAlign w:val="center"/>
          </w:tcPr>
          <w:p w14:paraId="1E983A58">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涉案装置或检验设备数量50台以上不足100台</w:t>
            </w:r>
          </w:p>
        </w:tc>
        <w:tc>
          <w:tcPr>
            <w:tcW w:w="1323" w:type="dxa"/>
            <w:noWrap w:val="0"/>
            <w:vAlign w:val="center"/>
          </w:tcPr>
          <w:p w14:paraId="5344D2BD">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4</w:t>
            </w:r>
          </w:p>
        </w:tc>
      </w:tr>
      <w:tr w14:paraId="2F0A3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vMerge w:val="continue"/>
            <w:noWrap w:val="0"/>
            <w:vAlign w:val="center"/>
          </w:tcPr>
          <w:p w14:paraId="645C443A">
            <w:pPr>
              <w:ind w:left="0" w:leftChars="0" w:right="0" w:rightChars="0"/>
              <w:jc w:val="center"/>
              <w:textAlignment w:val="center"/>
              <w:rPr>
                <w:rFonts w:hint="eastAsia" w:ascii="宋体" w:hAnsi="宋体" w:eastAsia="宋体" w:cs="宋体"/>
                <w:color w:val="auto"/>
                <w:sz w:val="21"/>
                <w:szCs w:val="21"/>
                <w:highlight w:val="none"/>
              </w:rPr>
            </w:pPr>
          </w:p>
        </w:tc>
        <w:tc>
          <w:tcPr>
            <w:tcW w:w="5827" w:type="dxa"/>
            <w:noWrap w:val="0"/>
            <w:vAlign w:val="center"/>
          </w:tcPr>
          <w:p w14:paraId="1147BB8C">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涉案装置或检验设备数量100台以上</w:t>
            </w:r>
          </w:p>
        </w:tc>
        <w:tc>
          <w:tcPr>
            <w:tcW w:w="1323" w:type="dxa"/>
            <w:noWrap w:val="0"/>
            <w:vAlign w:val="center"/>
          </w:tcPr>
          <w:p w14:paraId="2F702271">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5</w:t>
            </w:r>
          </w:p>
        </w:tc>
      </w:tr>
    </w:tbl>
    <w:p w14:paraId="6C13511E">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98"/>
        <w:gridCol w:w="5827"/>
        <w:gridCol w:w="1323"/>
      </w:tblGrid>
      <w:tr w14:paraId="143DE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48" w:type="dxa"/>
            <w:gridSpan w:val="3"/>
            <w:noWrap w:val="0"/>
            <w:vAlign w:val="center"/>
          </w:tcPr>
          <w:p w14:paraId="07D0827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四</w:t>
            </w:r>
            <w:r>
              <w:rPr>
                <w:rFonts w:hint="eastAsia" w:ascii="宋体" w:hAnsi="宋体" w:eastAsia="宋体" w:cs="宋体"/>
                <w:color w:val="auto"/>
                <w:sz w:val="21"/>
                <w:szCs w:val="21"/>
                <w:highlight w:val="none"/>
              </w:rPr>
              <w:t>）大气污染防治类</w:t>
            </w:r>
          </w:p>
        </w:tc>
      </w:tr>
      <w:tr w14:paraId="43306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noWrap w:val="0"/>
            <w:vAlign w:val="center"/>
          </w:tcPr>
          <w:p w14:paraId="5EF4850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7150" w:type="dxa"/>
            <w:gridSpan w:val="2"/>
            <w:noWrap w:val="0"/>
            <w:vAlign w:val="center"/>
          </w:tcPr>
          <w:p w14:paraId="54939F74">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19</w:t>
            </w:r>
          </w:p>
        </w:tc>
      </w:tr>
      <w:tr w14:paraId="040D2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noWrap w:val="0"/>
            <w:vAlign w:val="center"/>
          </w:tcPr>
          <w:p w14:paraId="354067C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w:t>
            </w:r>
            <w:bookmarkStart w:id="18" w:name="_Hlk56180804"/>
            <w:r>
              <w:rPr>
                <w:rFonts w:hint="eastAsia" w:ascii="宋体" w:hAnsi="宋体" w:eastAsia="宋体" w:cs="宋体"/>
                <w:color w:val="auto"/>
                <w:sz w:val="21"/>
                <w:szCs w:val="21"/>
                <w:highlight w:val="none"/>
              </w:rPr>
              <w:t>为</w:t>
            </w:r>
          </w:p>
          <w:bookmarkEnd w:id="18"/>
        </w:tc>
        <w:tc>
          <w:tcPr>
            <w:tcW w:w="7150" w:type="dxa"/>
            <w:gridSpan w:val="2"/>
            <w:noWrap w:val="0"/>
            <w:vAlign w:val="top"/>
          </w:tcPr>
          <w:p w14:paraId="3175294B">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装卸物料未采取密闭或者喷淋等方式控制扬尘排放的</w:t>
            </w:r>
          </w:p>
        </w:tc>
      </w:tr>
      <w:tr w14:paraId="1CB6F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noWrap w:val="0"/>
            <w:vAlign w:val="center"/>
          </w:tcPr>
          <w:p w14:paraId="7B6F48A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7150" w:type="dxa"/>
            <w:gridSpan w:val="2"/>
            <w:noWrap w:val="0"/>
            <w:vAlign w:val="bottom"/>
          </w:tcPr>
          <w:p w14:paraId="1EEBBCF7">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《中华人民共和国生态环境法典》第二百四十一条第二款  装卸物料应当采取密闭或者喷淋等方式防治扬尘污染。</w:t>
            </w:r>
          </w:p>
        </w:tc>
      </w:tr>
      <w:tr w14:paraId="09F81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noWrap w:val="0"/>
            <w:vAlign w:val="center"/>
          </w:tcPr>
          <w:p w14:paraId="6F67C8F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7150" w:type="dxa"/>
            <w:gridSpan w:val="2"/>
            <w:noWrap w:val="0"/>
            <w:vAlign w:val="bottom"/>
          </w:tcPr>
          <w:p w14:paraId="5F740B5A">
            <w:pPr>
              <w:ind w:firstLine="420" w:firstLineChars="200"/>
              <w:rPr>
                <w:rFonts w:hint="eastAsia" w:ascii="宋体" w:hAnsi="宋体" w:eastAsia="宋体" w:cs="宋体"/>
                <w:color w:val="auto"/>
                <w:sz w:val="21"/>
                <w:szCs w:val="21"/>
                <w:highlight w:val="none"/>
                <w:lang w:eastAsia="zh-TW"/>
              </w:rPr>
            </w:pPr>
            <w:r>
              <w:rPr>
                <w:rFonts w:hint="eastAsia" w:ascii="宋体" w:hAnsi="宋体" w:eastAsia="宋体" w:cs="宋体"/>
                <w:color w:val="auto"/>
                <w:sz w:val="21"/>
                <w:szCs w:val="21"/>
                <w:highlight w:val="none"/>
                <w:lang w:eastAsia="zh-TW"/>
              </w:rPr>
              <w:t>《中华人民共和国生态环境法典》第一千一百三十条第一项  违反本法规定，有下列情形之一的，由生态环境等部门按照职责分工责令改正，处一万元以上十万元以下的罚款；拒不改正的，责令停工整治或者停业整治：</w:t>
            </w:r>
          </w:p>
          <w:p w14:paraId="0F4BEC79">
            <w:pPr>
              <w:ind w:firstLine="420" w:firstLineChars="200"/>
              <w:rPr>
                <w:rFonts w:hint="eastAsia" w:ascii="宋体" w:hAnsi="宋体" w:eastAsia="宋体" w:cs="宋体"/>
                <w:color w:val="auto"/>
                <w:sz w:val="21"/>
                <w:szCs w:val="21"/>
                <w:highlight w:val="none"/>
                <w:lang w:eastAsia="zh-TW"/>
              </w:rPr>
            </w:pPr>
            <w:r>
              <w:rPr>
                <w:rFonts w:hint="eastAsia" w:ascii="宋体" w:hAnsi="宋体" w:eastAsia="宋体" w:cs="宋体"/>
                <w:color w:val="auto"/>
                <w:sz w:val="21"/>
                <w:szCs w:val="21"/>
                <w:highlight w:val="none"/>
                <w:lang w:eastAsia="zh-TW"/>
              </w:rPr>
              <w:t>（一）装卸物料未采取密闭或者喷淋等方式控制扬尘排放的；</w:t>
            </w:r>
          </w:p>
        </w:tc>
      </w:tr>
      <w:tr w14:paraId="1A51F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noWrap w:val="0"/>
            <w:vAlign w:val="center"/>
          </w:tcPr>
          <w:p w14:paraId="2451A8C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827" w:type="dxa"/>
            <w:noWrap w:val="0"/>
            <w:vAlign w:val="center"/>
          </w:tcPr>
          <w:p w14:paraId="057CC5F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323" w:type="dxa"/>
            <w:noWrap w:val="0"/>
            <w:vAlign w:val="center"/>
          </w:tcPr>
          <w:p w14:paraId="4A3E9C8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60E6C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vMerge w:val="restart"/>
            <w:noWrap w:val="0"/>
            <w:vAlign w:val="center"/>
          </w:tcPr>
          <w:p w14:paraId="64DE0D6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违法事实</w:t>
            </w:r>
          </w:p>
        </w:tc>
        <w:tc>
          <w:tcPr>
            <w:tcW w:w="5827" w:type="dxa"/>
            <w:noWrap w:val="0"/>
            <w:vAlign w:val="bottom"/>
          </w:tcPr>
          <w:p w14:paraId="0C8F3532">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密闭不严，或喷淋不及时的</w:t>
            </w:r>
          </w:p>
        </w:tc>
        <w:tc>
          <w:tcPr>
            <w:tcW w:w="1323" w:type="dxa"/>
            <w:noWrap w:val="0"/>
            <w:vAlign w:val="center"/>
          </w:tcPr>
          <w:p w14:paraId="61EEDC3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096B7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vMerge w:val="continue"/>
            <w:noWrap w:val="0"/>
            <w:vAlign w:val="center"/>
          </w:tcPr>
          <w:p w14:paraId="6AE4434D">
            <w:pPr>
              <w:rPr>
                <w:rFonts w:hint="eastAsia" w:ascii="宋体" w:hAnsi="宋体" w:eastAsia="宋体" w:cs="宋体"/>
                <w:color w:val="auto"/>
                <w:sz w:val="21"/>
                <w:szCs w:val="21"/>
                <w:highlight w:val="none"/>
              </w:rPr>
            </w:pPr>
          </w:p>
        </w:tc>
        <w:tc>
          <w:tcPr>
            <w:tcW w:w="5827" w:type="dxa"/>
            <w:noWrap w:val="0"/>
            <w:vAlign w:val="bottom"/>
          </w:tcPr>
          <w:p w14:paraId="6511D308">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未采取防治扬尘污染措施的</w:t>
            </w:r>
          </w:p>
        </w:tc>
        <w:tc>
          <w:tcPr>
            <w:tcW w:w="1323" w:type="dxa"/>
            <w:noWrap w:val="0"/>
            <w:vAlign w:val="bottom"/>
          </w:tcPr>
          <w:p w14:paraId="6B1B054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20216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vMerge w:val="restart"/>
            <w:noWrap w:val="0"/>
            <w:vAlign w:val="center"/>
          </w:tcPr>
          <w:p w14:paraId="009BC93E">
            <w:pPr>
              <w:jc w:val="center"/>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违法行为发生地</w:t>
            </w:r>
          </w:p>
        </w:tc>
        <w:tc>
          <w:tcPr>
            <w:tcW w:w="5827" w:type="dxa"/>
            <w:noWrap w:val="0"/>
            <w:vAlign w:val="top"/>
          </w:tcPr>
          <w:p w14:paraId="1F7D2747">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二类环境空气功能区</w:t>
            </w:r>
            <w:r>
              <w:rPr>
                <w:rFonts w:hint="eastAsia" w:ascii="宋体" w:hAnsi="宋体" w:eastAsia="宋体" w:cs="宋体"/>
                <w:color w:val="auto"/>
                <w:sz w:val="21"/>
                <w:szCs w:val="21"/>
                <w:highlight w:val="none"/>
              </w:rPr>
              <w:t>（工业区和农村地区）</w:t>
            </w:r>
          </w:p>
        </w:tc>
        <w:tc>
          <w:tcPr>
            <w:tcW w:w="1323" w:type="dxa"/>
            <w:noWrap w:val="0"/>
            <w:vAlign w:val="bottom"/>
          </w:tcPr>
          <w:p w14:paraId="615595B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3BCB1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vMerge w:val="continue"/>
            <w:noWrap w:val="0"/>
            <w:vAlign w:val="center"/>
          </w:tcPr>
          <w:p w14:paraId="3A8E8C93">
            <w:pPr>
              <w:rPr>
                <w:rFonts w:hint="eastAsia" w:ascii="宋体" w:hAnsi="宋体" w:eastAsia="宋体" w:cs="宋体"/>
                <w:color w:val="auto"/>
                <w:sz w:val="21"/>
                <w:szCs w:val="21"/>
                <w:highlight w:val="none"/>
              </w:rPr>
            </w:pPr>
          </w:p>
        </w:tc>
        <w:tc>
          <w:tcPr>
            <w:tcW w:w="5827" w:type="dxa"/>
            <w:noWrap w:val="0"/>
            <w:vAlign w:val="top"/>
          </w:tcPr>
          <w:p w14:paraId="6282732C">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二类环境空气功能区</w:t>
            </w:r>
            <w:r>
              <w:rPr>
                <w:rFonts w:hint="eastAsia" w:ascii="宋体" w:hAnsi="宋体" w:eastAsia="宋体" w:cs="宋体"/>
                <w:color w:val="auto"/>
                <w:sz w:val="21"/>
                <w:szCs w:val="21"/>
                <w:highlight w:val="none"/>
              </w:rPr>
              <w:t>（居民区、商业交通居民混合区、文化区）</w:t>
            </w:r>
          </w:p>
        </w:tc>
        <w:tc>
          <w:tcPr>
            <w:tcW w:w="1323" w:type="dxa"/>
            <w:noWrap w:val="0"/>
            <w:vAlign w:val="center"/>
          </w:tcPr>
          <w:p w14:paraId="6824679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4409D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vMerge w:val="continue"/>
            <w:noWrap w:val="0"/>
            <w:vAlign w:val="center"/>
          </w:tcPr>
          <w:p w14:paraId="4BECE77D">
            <w:pPr>
              <w:rPr>
                <w:rFonts w:hint="eastAsia" w:ascii="宋体" w:hAnsi="宋体" w:eastAsia="宋体" w:cs="宋体"/>
                <w:color w:val="auto"/>
                <w:sz w:val="21"/>
                <w:szCs w:val="21"/>
                <w:highlight w:val="none"/>
              </w:rPr>
            </w:pPr>
          </w:p>
        </w:tc>
        <w:tc>
          <w:tcPr>
            <w:tcW w:w="5827" w:type="dxa"/>
            <w:noWrap w:val="0"/>
            <w:vAlign w:val="top"/>
          </w:tcPr>
          <w:p w14:paraId="19CDBF52">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一类环境空气功能区</w:t>
            </w:r>
          </w:p>
        </w:tc>
        <w:tc>
          <w:tcPr>
            <w:tcW w:w="1323" w:type="dxa"/>
            <w:noWrap w:val="0"/>
            <w:vAlign w:val="bottom"/>
          </w:tcPr>
          <w:p w14:paraId="465B881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bl>
    <w:p w14:paraId="4A700B07">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38"/>
        <w:gridCol w:w="5709"/>
        <w:gridCol w:w="1276"/>
      </w:tblGrid>
      <w:tr w14:paraId="03CBE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3" w:type="dxa"/>
            <w:gridSpan w:val="3"/>
            <w:noWrap w:val="0"/>
            <w:vAlign w:val="center"/>
          </w:tcPr>
          <w:p w14:paraId="5E8DA4E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四</w:t>
            </w:r>
            <w:r>
              <w:rPr>
                <w:rFonts w:hint="eastAsia" w:ascii="宋体" w:hAnsi="宋体" w:eastAsia="宋体" w:cs="宋体"/>
                <w:color w:val="auto"/>
                <w:sz w:val="21"/>
                <w:szCs w:val="21"/>
                <w:highlight w:val="none"/>
              </w:rPr>
              <w:t>）大气污染防治类</w:t>
            </w:r>
          </w:p>
        </w:tc>
      </w:tr>
      <w:tr w14:paraId="3A058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38" w:type="dxa"/>
            <w:noWrap w:val="0"/>
            <w:vAlign w:val="center"/>
          </w:tcPr>
          <w:p w14:paraId="4AFDCF0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985" w:type="dxa"/>
            <w:gridSpan w:val="2"/>
            <w:noWrap w:val="0"/>
            <w:vAlign w:val="center"/>
          </w:tcPr>
          <w:p w14:paraId="37F7358A">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20</w:t>
            </w:r>
          </w:p>
        </w:tc>
      </w:tr>
      <w:tr w14:paraId="2E472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38" w:type="dxa"/>
            <w:noWrap w:val="0"/>
            <w:vAlign w:val="center"/>
          </w:tcPr>
          <w:p w14:paraId="4F6E392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6985" w:type="dxa"/>
            <w:gridSpan w:val="2"/>
            <w:noWrap w:val="0"/>
            <w:vAlign w:val="center"/>
          </w:tcPr>
          <w:p w14:paraId="095F39D5">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未密闭煤炭、煤矸石、煤渣、煤灰、水泥、石灰、石膏、砂土等易产生扬尘的物料的</w:t>
            </w:r>
          </w:p>
        </w:tc>
      </w:tr>
      <w:tr w14:paraId="1AA9D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38" w:type="dxa"/>
            <w:noWrap w:val="0"/>
            <w:vAlign w:val="center"/>
          </w:tcPr>
          <w:p w14:paraId="7C6ED18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6985" w:type="dxa"/>
            <w:gridSpan w:val="2"/>
            <w:noWrap w:val="0"/>
            <w:vAlign w:val="top"/>
          </w:tcPr>
          <w:p w14:paraId="2509A938">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《中华人民共和国生态环境法典》第二百四十三条第一款  贮存煤炭、煤矸石、煤渣、煤灰、水泥、石灰、石膏、砂土、铁矿石等易产生扬尘的物料应当密闭；不能密闭的，应当设置不低于堆放物高度的严密围挡，并采取有效覆盖措施防治扬尘污染。</w:t>
            </w:r>
          </w:p>
        </w:tc>
      </w:tr>
      <w:tr w14:paraId="46EFD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38" w:type="dxa"/>
            <w:noWrap w:val="0"/>
            <w:vAlign w:val="center"/>
          </w:tcPr>
          <w:p w14:paraId="35FBEE4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6985" w:type="dxa"/>
            <w:gridSpan w:val="2"/>
            <w:noWrap w:val="0"/>
            <w:vAlign w:val="top"/>
          </w:tcPr>
          <w:p w14:paraId="4A8796CC">
            <w:pPr>
              <w:ind w:firstLine="420" w:firstLineChars="200"/>
              <w:rPr>
                <w:rFonts w:hint="eastAsia" w:ascii="宋体" w:hAnsi="宋体" w:eastAsia="宋体" w:cs="宋体"/>
                <w:color w:val="auto"/>
                <w:sz w:val="21"/>
                <w:szCs w:val="21"/>
                <w:highlight w:val="none"/>
                <w:lang w:eastAsia="zh-TW"/>
              </w:rPr>
            </w:pPr>
            <w:r>
              <w:rPr>
                <w:rFonts w:hint="eastAsia" w:ascii="宋体" w:hAnsi="宋体" w:eastAsia="宋体" w:cs="宋体"/>
                <w:color w:val="auto"/>
                <w:sz w:val="21"/>
                <w:szCs w:val="21"/>
                <w:highlight w:val="none"/>
                <w:lang w:eastAsia="zh-TW"/>
              </w:rPr>
              <w:t>《中华人民共和国生态环境法典》第一千一百三十条</w:t>
            </w:r>
            <w:r>
              <w:rPr>
                <w:rFonts w:hint="eastAsia" w:ascii="宋体" w:hAnsi="宋体" w:eastAsia="宋体" w:cs="宋体"/>
                <w:color w:val="auto"/>
                <w:sz w:val="21"/>
                <w:szCs w:val="21"/>
                <w:highlight w:val="none"/>
                <w:lang w:val="en-US" w:eastAsia="zh-CN"/>
              </w:rPr>
              <w:t>第二项</w:t>
            </w:r>
            <w:r>
              <w:rPr>
                <w:rFonts w:hint="eastAsia" w:ascii="宋体" w:hAnsi="宋体" w:eastAsia="宋体" w:cs="宋体"/>
                <w:color w:val="auto"/>
                <w:sz w:val="21"/>
                <w:szCs w:val="21"/>
                <w:highlight w:val="none"/>
                <w:lang w:eastAsia="zh-TW"/>
              </w:rPr>
              <w:t xml:space="preserve">  违反本法规定，有下列情形之一的，由生态环境等部门按照职责分工责令改正，处一万元以上十万元以下的罚款；拒不改正的，责令停工整治或者停业整治：</w:t>
            </w:r>
          </w:p>
          <w:p w14:paraId="0EA110EF">
            <w:pPr>
              <w:ind w:firstLine="420" w:firstLineChars="200"/>
              <w:rPr>
                <w:rFonts w:hint="eastAsia" w:ascii="宋体" w:hAnsi="宋体" w:eastAsia="宋体" w:cs="宋体"/>
                <w:color w:val="auto"/>
                <w:sz w:val="21"/>
                <w:szCs w:val="21"/>
                <w:highlight w:val="none"/>
                <w:lang w:eastAsia="zh-TW"/>
              </w:rPr>
            </w:pPr>
            <w:r>
              <w:rPr>
                <w:rFonts w:hint="eastAsia" w:ascii="宋体" w:hAnsi="宋体" w:eastAsia="宋体" w:cs="宋体"/>
                <w:color w:val="auto"/>
                <w:sz w:val="21"/>
                <w:szCs w:val="21"/>
                <w:highlight w:val="none"/>
                <w:lang w:eastAsia="zh-TW"/>
              </w:rPr>
              <w:t>（二）未密闭贮存煤炭、煤矸石、煤渣、煤灰、水泥、石灰、石膏、砂土、铁矿石等易产生扬尘的物料；</w:t>
            </w:r>
          </w:p>
        </w:tc>
      </w:tr>
      <w:tr w14:paraId="3C518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38" w:type="dxa"/>
            <w:noWrap w:val="0"/>
            <w:vAlign w:val="center"/>
          </w:tcPr>
          <w:p w14:paraId="75DF2DD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709" w:type="dxa"/>
            <w:noWrap w:val="0"/>
            <w:vAlign w:val="center"/>
          </w:tcPr>
          <w:p w14:paraId="3360B2F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276" w:type="dxa"/>
            <w:noWrap w:val="0"/>
            <w:vAlign w:val="center"/>
          </w:tcPr>
          <w:p w14:paraId="35FD3CC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56B6C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38" w:type="dxa"/>
            <w:vMerge w:val="restart"/>
            <w:noWrap w:val="0"/>
            <w:vAlign w:val="center"/>
          </w:tcPr>
          <w:p w14:paraId="31C09A7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违法事实</w:t>
            </w:r>
          </w:p>
        </w:tc>
        <w:tc>
          <w:tcPr>
            <w:tcW w:w="5709" w:type="dxa"/>
            <w:noWrap w:val="0"/>
            <w:vAlign w:val="center"/>
          </w:tcPr>
          <w:p w14:paraId="291AD196">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已采取密闭措施但密闭不严导致扬尘污染的</w:t>
            </w:r>
          </w:p>
        </w:tc>
        <w:tc>
          <w:tcPr>
            <w:tcW w:w="1276" w:type="dxa"/>
            <w:noWrap w:val="0"/>
            <w:vAlign w:val="center"/>
          </w:tcPr>
          <w:p w14:paraId="7C0A4BC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2925C6EB">
        <w:tblPrEx>
          <w:tblCellMar>
            <w:top w:w="0" w:type="dxa"/>
            <w:left w:w="108" w:type="dxa"/>
            <w:bottom w:w="0" w:type="dxa"/>
            <w:right w:w="108" w:type="dxa"/>
          </w:tblCellMar>
        </w:tblPrEx>
        <w:trPr>
          <w:jc w:val="center"/>
        </w:trPr>
        <w:tc>
          <w:tcPr>
            <w:tcW w:w="1538" w:type="dxa"/>
            <w:vMerge w:val="continue"/>
            <w:noWrap w:val="0"/>
            <w:vAlign w:val="center"/>
          </w:tcPr>
          <w:p w14:paraId="0DDDC11A">
            <w:pPr>
              <w:rPr>
                <w:rFonts w:hint="eastAsia" w:ascii="宋体" w:hAnsi="宋体" w:eastAsia="宋体" w:cs="宋体"/>
                <w:color w:val="auto"/>
                <w:sz w:val="21"/>
                <w:szCs w:val="21"/>
                <w:highlight w:val="none"/>
              </w:rPr>
            </w:pPr>
          </w:p>
        </w:tc>
        <w:tc>
          <w:tcPr>
            <w:tcW w:w="5709" w:type="dxa"/>
            <w:noWrap w:val="0"/>
            <w:vAlign w:val="bottom"/>
          </w:tcPr>
          <w:p w14:paraId="72FD83F2">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采取部分密闭设施导致扬尘污染的</w:t>
            </w:r>
          </w:p>
        </w:tc>
        <w:tc>
          <w:tcPr>
            <w:tcW w:w="1276" w:type="dxa"/>
            <w:noWrap w:val="0"/>
            <w:vAlign w:val="center"/>
          </w:tcPr>
          <w:p w14:paraId="1A1F570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58D73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38" w:type="dxa"/>
            <w:vMerge w:val="continue"/>
            <w:noWrap w:val="0"/>
            <w:vAlign w:val="center"/>
          </w:tcPr>
          <w:p w14:paraId="3E89DAB5">
            <w:pPr>
              <w:rPr>
                <w:rFonts w:hint="eastAsia" w:ascii="宋体" w:hAnsi="宋体" w:eastAsia="宋体" w:cs="宋体"/>
                <w:color w:val="auto"/>
                <w:sz w:val="21"/>
                <w:szCs w:val="21"/>
                <w:highlight w:val="none"/>
              </w:rPr>
            </w:pPr>
          </w:p>
        </w:tc>
        <w:tc>
          <w:tcPr>
            <w:tcW w:w="5709" w:type="dxa"/>
            <w:noWrap w:val="0"/>
            <w:vAlign w:val="bottom"/>
          </w:tcPr>
          <w:p w14:paraId="30D8F875">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未采取密闭设施的</w:t>
            </w:r>
          </w:p>
        </w:tc>
        <w:tc>
          <w:tcPr>
            <w:tcW w:w="1276" w:type="dxa"/>
            <w:noWrap w:val="0"/>
            <w:vAlign w:val="bottom"/>
          </w:tcPr>
          <w:p w14:paraId="024560F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1EC54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38" w:type="dxa"/>
            <w:vMerge w:val="restart"/>
            <w:noWrap w:val="0"/>
            <w:vAlign w:val="center"/>
          </w:tcPr>
          <w:p w14:paraId="77EECD9C">
            <w:pPr>
              <w:jc w:val="center"/>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违法行为发生地</w:t>
            </w:r>
          </w:p>
        </w:tc>
        <w:tc>
          <w:tcPr>
            <w:tcW w:w="5709" w:type="dxa"/>
            <w:noWrap w:val="0"/>
            <w:vAlign w:val="top"/>
          </w:tcPr>
          <w:p w14:paraId="5B6D826E">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二类环境空气功能区</w:t>
            </w:r>
            <w:r>
              <w:rPr>
                <w:rFonts w:hint="eastAsia" w:ascii="宋体" w:hAnsi="宋体" w:eastAsia="宋体" w:cs="宋体"/>
                <w:color w:val="auto"/>
                <w:sz w:val="21"/>
                <w:szCs w:val="21"/>
                <w:highlight w:val="none"/>
              </w:rPr>
              <w:t>（工业区和农村地区）</w:t>
            </w:r>
          </w:p>
        </w:tc>
        <w:tc>
          <w:tcPr>
            <w:tcW w:w="1276" w:type="dxa"/>
            <w:noWrap w:val="0"/>
            <w:vAlign w:val="bottom"/>
          </w:tcPr>
          <w:p w14:paraId="0B5CADB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3CA50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38" w:type="dxa"/>
            <w:vMerge w:val="continue"/>
            <w:noWrap w:val="0"/>
            <w:vAlign w:val="center"/>
          </w:tcPr>
          <w:p w14:paraId="6D1C757A">
            <w:pPr>
              <w:rPr>
                <w:rFonts w:hint="eastAsia" w:ascii="宋体" w:hAnsi="宋体" w:eastAsia="宋体" w:cs="宋体"/>
                <w:color w:val="auto"/>
                <w:sz w:val="21"/>
                <w:szCs w:val="21"/>
                <w:highlight w:val="none"/>
              </w:rPr>
            </w:pPr>
          </w:p>
        </w:tc>
        <w:tc>
          <w:tcPr>
            <w:tcW w:w="5709" w:type="dxa"/>
            <w:noWrap w:val="0"/>
            <w:vAlign w:val="top"/>
          </w:tcPr>
          <w:p w14:paraId="1A1C3529">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二类环境空气功能区</w:t>
            </w:r>
            <w:r>
              <w:rPr>
                <w:rFonts w:hint="eastAsia" w:ascii="宋体" w:hAnsi="宋体" w:eastAsia="宋体" w:cs="宋体"/>
                <w:color w:val="auto"/>
                <w:sz w:val="21"/>
                <w:szCs w:val="21"/>
                <w:highlight w:val="none"/>
              </w:rPr>
              <w:t>（居民区、商业交通居民混合区、文化区）</w:t>
            </w:r>
          </w:p>
        </w:tc>
        <w:tc>
          <w:tcPr>
            <w:tcW w:w="1276" w:type="dxa"/>
            <w:noWrap w:val="0"/>
            <w:vAlign w:val="bottom"/>
          </w:tcPr>
          <w:p w14:paraId="4D8E163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35712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38" w:type="dxa"/>
            <w:vMerge w:val="continue"/>
            <w:noWrap w:val="0"/>
            <w:vAlign w:val="center"/>
          </w:tcPr>
          <w:p w14:paraId="0C8EC9B6">
            <w:pPr>
              <w:rPr>
                <w:rFonts w:hint="eastAsia" w:ascii="宋体" w:hAnsi="宋体" w:eastAsia="宋体" w:cs="宋体"/>
                <w:color w:val="auto"/>
                <w:sz w:val="21"/>
                <w:szCs w:val="21"/>
                <w:highlight w:val="none"/>
              </w:rPr>
            </w:pPr>
          </w:p>
        </w:tc>
        <w:tc>
          <w:tcPr>
            <w:tcW w:w="5709" w:type="dxa"/>
            <w:noWrap w:val="0"/>
            <w:vAlign w:val="top"/>
          </w:tcPr>
          <w:p w14:paraId="3CE1C5A6">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一类环境空气功能区</w:t>
            </w:r>
          </w:p>
        </w:tc>
        <w:tc>
          <w:tcPr>
            <w:tcW w:w="1276" w:type="dxa"/>
            <w:noWrap w:val="0"/>
            <w:vAlign w:val="bottom"/>
          </w:tcPr>
          <w:p w14:paraId="5ABD95E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38E21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38" w:type="dxa"/>
            <w:vMerge w:val="restart"/>
            <w:noWrap w:val="0"/>
            <w:vAlign w:val="center"/>
          </w:tcPr>
          <w:p w14:paraId="778FD53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占地面积</w:t>
            </w:r>
          </w:p>
        </w:tc>
        <w:tc>
          <w:tcPr>
            <w:tcW w:w="5709" w:type="dxa"/>
            <w:noWrap w:val="0"/>
            <w:vAlign w:val="center"/>
          </w:tcPr>
          <w:p w14:paraId="7482964B">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占地面积</w:t>
            </w:r>
            <w:r>
              <w:rPr>
                <w:rFonts w:hint="eastAsia" w:ascii="宋体" w:hAnsi="宋体" w:cs="宋体"/>
                <w:color w:val="auto"/>
                <w:sz w:val="21"/>
                <w:szCs w:val="21"/>
                <w:highlight w:val="none"/>
                <w:lang w:val="en-US" w:eastAsia="zh-CN"/>
              </w:rPr>
              <w:t>100</w:t>
            </w:r>
            <w:r>
              <w:rPr>
                <w:rFonts w:hint="eastAsia" w:ascii="宋体" w:hAnsi="宋体" w:cs="宋体"/>
                <w:color w:val="auto"/>
                <w:sz w:val="21"/>
                <w:szCs w:val="21"/>
                <w:highlight w:val="none"/>
                <w:lang w:eastAsia="zh-CN"/>
              </w:rPr>
              <w:t>平方米</w:t>
            </w:r>
            <w:r>
              <w:rPr>
                <w:rFonts w:hint="eastAsia" w:ascii="宋体" w:hAnsi="宋体" w:eastAsia="宋体" w:cs="宋体"/>
                <w:color w:val="auto"/>
                <w:sz w:val="21"/>
                <w:szCs w:val="21"/>
                <w:highlight w:val="none"/>
              </w:rPr>
              <w:t>以内的</w:t>
            </w:r>
          </w:p>
        </w:tc>
        <w:tc>
          <w:tcPr>
            <w:tcW w:w="1276" w:type="dxa"/>
            <w:noWrap w:val="0"/>
            <w:vAlign w:val="bottom"/>
          </w:tcPr>
          <w:p w14:paraId="451CA73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15FD1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38" w:type="dxa"/>
            <w:vMerge w:val="continue"/>
            <w:noWrap w:val="0"/>
            <w:vAlign w:val="center"/>
          </w:tcPr>
          <w:p w14:paraId="3920F4C5">
            <w:pPr>
              <w:rPr>
                <w:rFonts w:hint="eastAsia" w:ascii="宋体" w:hAnsi="宋体" w:eastAsia="宋体" w:cs="宋体"/>
                <w:color w:val="auto"/>
                <w:sz w:val="21"/>
                <w:szCs w:val="21"/>
                <w:highlight w:val="none"/>
              </w:rPr>
            </w:pPr>
          </w:p>
        </w:tc>
        <w:tc>
          <w:tcPr>
            <w:tcW w:w="5709" w:type="dxa"/>
            <w:noWrap w:val="0"/>
            <w:vAlign w:val="center"/>
          </w:tcPr>
          <w:p w14:paraId="0DAFF7CB">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占地面积100</w:t>
            </w:r>
            <w:r>
              <w:rPr>
                <w:rFonts w:hint="eastAsia" w:ascii="宋体" w:hAnsi="宋体" w:cs="宋体"/>
                <w:color w:val="auto"/>
                <w:sz w:val="21"/>
                <w:szCs w:val="21"/>
                <w:highlight w:val="none"/>
                <w:lang w:eastAsia="zh-CN"/>
              </w:rPr>
              <w:t>平方米</w:t>
            </w:r>
            <w:r>
              <w:rPr>
                <w:rFonts w:hint="eastAsia" w:ascii="宋体" w:hAnsi="宋体" w:eastAsia="宋体" w:cs="宋体"/>
                <w:color w:val="auto"/>
                <w:sz w:val="21"/>
                <w:szCs w:val="21"/>
                <w:highlight w:val="none"/>
              </w:rPr>
              <w:t>以上500</w:t>
            </w:r>
            <w:r>
              <w:rPr>
                <w:rFonts w:hint="eastAsia" w:ascii="宋体" w:hAnsi="宋体" w:cs="宋体"/>
                <w:color w:val="auto"/>
                <w:sz w:val="21"/>
                <w:szCs w:val="21"/>
                <w:highlight w:val="none"/>
                <w:lang w:eastAsia="zh-CN"/>
              </w:rPr>
              <w:t>平方米</w:t>
            </w:r>
            <w:r>
              <w:rPr>
                <w:rFonts w:hint="eastAsia" w:ascii="宋体" w:hAnsi="宋体" w:eastAsia="宋体" w:cs="宋体"/>
                <w:color w:val="auto"/>
                <w:sz w:val="21"/>
                <w:szCs w:val="21"/>
                <w:highlight w:val="none"/>
              </w:rPr>
              <w:t>以内的</w:t>
            </w:r>
          </w:p>
        </w:tc>
        <w:tc>
          <w:tcPr>
            <w:tcW w:w="1276" w:type="dxa"/>
            <w:noWrap w:val="0"/>
            <w:vAlign w:val="bottom"/>
          </w:tcPr>
          <w:p w14:paraId="747CD55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34EE9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38" w:type="dxa"/>
            <w:vMerge w:val="continue"/>
            <w:noWrap w:val="0"/>
            <w:vAlign w:val="center"/>
          </w:tcPr>
          <w:p w14:paraId="6BCFB5C9">
            <w:pPr>
              <w:rPr>
                <w:rFonts w:hint="eastAsia" w:ascii="宋体" w:hAnsi="宋体" w:eastAsia="宋体" w:cs="宋体"/>
                <w:color w:val="auto"/>
                <w:sz w:val="21"/>
                <w:szCs w:val="21"/>
                <w:highlight w:val="none"/>
              </w:rPr>
            </w:pPr>
          </w:p>
        </w:tc>
        <w:tc>
          <w:tcPr>
            <w:tcW w:w="5709" w:type="dxa"/>
            <w:noWrap w:val="0"/>
            <w:vAlign w:val="center"/>
          </w:tcPr>
          <w:p w14:paraId="10166067">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占地面积500</w:t>
            </w:r>
            <w:r>
              <w:rPr>
                <w:rFonts w:hint="eastAsia" w:ascii="宋体" w:hAnsi="宋体" w:cs="宋体"/>
                <w:color w:val="auto"/>
                <w:sz w:val="21"/>
                <w:szCs w:val="21"/>
                <w:highlight w:val="none"/>
                <w:lang w:eastAsia="zh-CN"/>
              </w:rPr>
              <w:t>平方米</w:t>
            </w:r>
            <w:r>
              <w:rPr>
                <w:rFonts w:hint="eastAsia" w:ascii="宋体" w:hAnsi="宋体" w:eastAsia="宋体" w:cs="宋体"/>
                <w:color w:val="auto"/>
                <w:sz w:val="21"/>
                <w:szCs w:val="21"/>
                <w:highlight w:val="none"/>
              </w:rPr>
              <w:t>以上的</w:t>
            </w:r>
          </w:p>
        </w:tc>
        <w:tc>
          <w:tcPr>
            <w:tcW w:w="1276" w:type="dxa"/>
            <w:noWrap w:val="0"/>
            <w:vAlign w:val="bottom"/>
          </w:tcPr>
          <w:p w14:paraId="746DBC2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bl>
    <w:p w14:paraId="4529B264">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98"/>
        <w:gridCol w:w="5827"/>
        <w:gridCol w:w="1323"/>
      </w:tblGrid>
      <w:tr w14:paraId="7A738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48" w:type="dxa"/>
            <w:gridSpan w:val="3"/>
            <w:noWrap w:val="0"/>
            <w:vAlign w:val="center"/>
          </w:tcPr>
          <w:p w14:paraId="21F403A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四</w:t>
            </w:r>
            <w:r>
              <w:rPr>
                <w:rFonts w:hint="eastAsia" w:ascii="宋体" w:hAnsi="宋体" w:eastAsia="宋体" w:cs="宋体"/>
                <w:color w:val="auto"/>
                <w:sz w:val="21"/>
                <w:szCs w:val="21"/>
                <w:highlight w:val="none"/>
              </w:rPr>
              <w:t>）大气污染防治类</w:t>
            </w:r>
          </w:p>
        </w:tc>
      </w:tr>
      <w:tr w14:paraId="4BD59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noWrap w:val="0"/>
            <w:vAlign w:val="center"/>
          </w:tcPr>
          <w:p w14:paraId="7ED0A40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7150" w:type="dxa"/>
            <w:gridSpan w:val="2"/>
            <w:noWrap w:val="0"/>
            <w:vAlign w:val="center"/>
          </w:tcPr>
          <w:p w14:paraId="18FDF7A2">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w:t>
            </w:r>
          </w:p>
        </w:tc>
      </w:tr>
      <w:tr w14:paraId="56DD4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noWrap w:val="0"/>
            <w:vAlign w:val="center"/>
          </w:tcPr>
          <w:p w14:paraId="4D4A173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7150" w:type="dxa"/>
            <w:gridSpan w:val="2"/>
            <w:noWrap w:val="0"/>
            <w:vAlign w:val="center"/>
          </w:tcPr>
          <w:p w14:paraId="052D7BF1">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对不能密闭的易产生扬尘的物料，未设置不低于堆放物高度的严密围挡，或者未采取有效覆盖措施防治扬尘污染的</w:t>
            </w:r>
          </w:p>
        </w:tc>
      </w:tr>
      <w:tr w14:paraId="492F6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noWrap w:val="0"/>
            <w:vAlign w:val="center"/>
          </w:tcPr>
          <w:p w14:paraId="4A7C5CD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7150" w:type="dxa"/>
            <w:gridSpan w:val="2"/>
            <w:noWrap w:val="0"/>
            <w:vAlign w:val="bottom"/>
          </w:tcPr>
          <w:p w14:paraId="7448F864">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《中华人民共和国生态环境法典》第二百四十三条</w:t>
            </w:r>
            <w:r>
              <w:rPr>
                <w:rFonts w:hint="eastAsia" w:ascii="宋体" w:hAnsi="宋体" w:eastAsia="宋体" w:cs="宋体"/>
                <w:color w:val="auto"/>
                <w:sz w:val="21"/>
                <w:szCs w:val="21"/>
                <w:highlight w:val="none"/>
                <w:lang w:val="en-US" w:eastAsia="zh-CN"/>
              </w:rPr>
              <w:t>第一款</w:t>
            </w:r>
            <w:r>
              <w:rPr>
                <w:rFonts w:hint="eastAsia" w:ascii="宋体" w:hAnsi="宋体" w:eastAsia="宋体" w:cs="宋体"/>
                <w:color w:val="auto"/>
                <w:sz w:val="21"/>
                <w:szCs w:val="21"/>
                <w:highlight w:val="none"/>
              </w:rPr>
              <w:t xml:space="preserve">  贮存煤炭、煤矸石、煤渣、煤灰、水泥、石灰、石膏、砂土、铁矿石等易产生扬尘的物料应当密闭；不能密闭的，应当设置不低于堆放物高度的严密围挡，并采取有效覆盖措施防治扬尘污染。</w:t>
            </w:r>
          </w:p>
        </w:tc>
      </w:tr>
      <w:tr w14:paraId="4121C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noWrap w:val="0"/>
            <w:vAlign w:val="center"/>
          </w:tcPr>
          <w:p w14:paraId="101F680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7150" w:type="dxa"/>
            <w:gridSpan w:val="2"/>
            <w:noWrap w:val="0"/>
            <w:vAlign w:val="bottom"/>
          </w:tcPr>
          <w:p w14:paraId="07A2E056">
            <w:pPr>
              <w:ind w:firstLine="420" w:firstLineChars="200"/>
              <w:rPr>
                <w:rFonts w:hint="eastAsia" w:ascii="宋体" w:hAnsi="宋体" w:eastAsia="宋体" w:cs="宋体"/>
                <w:color w:val="auto"/>
                <w:sz w:val="21"/>
                <w:szCs w:val="21"/>
                <w:highlight w:val="none"/>
                <w:lang w:eastAsia="zh-TW"/>
              </w:rPr>
            </w:pPr>
            <w:r>
              <w:rPr>
                <w:rFonts w:hint="eastAsia" w:ascii="宋体" w:hAnsi="宋体" w:eastAsia="宋体" w:cs="宋体"/>
                <w:color w:val="auto"/>
                <w:sz w:val="21"/>
                <w:szCs w:val="21"/>
                <w:highlight w:val="none"/>
                <w:lang w:eastAsia="zh-TW"/>
              </w:rPr>
              <w:t>《中华人民共和国生态环境法典》第一千一百三十条</w:t>
            </w:r>
            <w:r>
              <w:rPr>
                <w:rFonts w:hint="eastAsia" w:ascii="宋体" w:hAnsi="宋体" w:eastAsia="宋体" w:cs="宋体"/>
                <w:color w:val="auto"/>
                <w:sz w:val="21"/>
                <w:szCs w:val="21"/>
                <w:highlight w:val="none"/>
                <w:lang w:val="en-US" w:eastAsia="zh-CN"/>
              </w:rPr>
              <w:t>第</w:t>
            </w:r>
            <w:r>
              <w:rPr>
                <w:rFonts w:hint="eastAsia" w:ascii="宋体" w:hAnsi="宋体" w:cs="宋体"/>
                <w:color w:val="auto"/>
                <w:sz w:val="21"/>
                <w:szCs w:val="21"/>
                <w:highlight w:val="none"/>
                <w:lang w:val="en-US" w:eastAsia="zh-CN"/>
              </w:rPr>
              <w:t>三</w:t>
            </w:r>
            <w:r>
              <w:rPr>
                <w:rFonts w:hint="eastAsia" w:ascii="宋体" w:hAnsi="宋体" w:eastAsia="宋体" w:cs="宋体"/>
                <w:color w:val="auto"/>
                <w:sz w:val="21"/>
                <w:szCs w:val="21"/>
                <w:highlight w:val="none"/>
                <w:lang w:val="en-US" w:eastAsia="zh-CN"/>
              </w:rPr>
              <w:t>项</w:t>
            </w:r>
            <w:r>
              <w:rPr>
                <w:rFonts w:hint="eastAsia" w:ascii="宋体" w:hAnsi="宋体" w:eastAsia="宋体" w:cs="宋体"/>
                <w:color w:val="auto"/>
                <w:sz w:val="21"/>
                <w:szCs w:val="21"/>
                <w:highlight w:val="none"/>
                <w:lang w:eastAsia="zh-TW"/>
              </w:rPr>
              <w:t xml:space="preserve">  违反本法规定，有下列情形之一的，由生态环境等部门按照职责分工责令改正，处一万元以上十万元以下的罚款；拒不改正的，责令停工整治或者停业整治：</w:t>
            </w:r>
          </w:p>
          <w:p w14:paraId="26FEBC2F">
            <w:pPr>
              <w:ind w:firstLine="420" w:firstLineChars="200"/>
              <w:rPr>
                <w:rFonts w:hint="eastAsia" w:ascii="宋体" w:hAnsi="宋体" w:eastAsia="宋体" w:cs="宋体"/>
                <w:color w:val="auto"/>
                <w:sz w:val="21"/>
                <w:szCs w:val="21"/>
                <w:highlight w:val="none"/>
                <w:lang w:eastAsia="zh-TW"/>
              </w:rPr>
            </w:pPr>
            <w:r>
              <w:rPr>
                <w:rFonts w:hint="eastAsia" w:ascii="宋体" w:hAnsi="宋体" w:eastAsia="宋体" w:cs="宋体"/>
                <w:color w:val="auto"/>
                <w:sz w:val="21"/>
                <w:szCs w:val="21"/>
                <w:highlight w:val="none"/>
                <w:lang w:eastAsia="zh-TW"/>
              </w:rPr>
              <w:t>（三）对不能密闭的易产生扬尘的物料，未设置不低于堆放物高度的严密围挡，或者未采取有效覆盖措施防治扬尘污染的；</w:t>
            </w:r>
          </w:p>
        </w:tc>
      </w:tr>
      <w:tr w14:paraId="37198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noWrap w:val="0"/>
            <w:vAlign w:val="center"/>
          </w:tcPr>
          <w:p w14:paraId="578D721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827" w:type="dxa"/>
            <w:noWrap w:val="0"/>
            <w:vAlign w:val="center"/>
          </w:tcPr>
          <w:p w14:paraId="01C41D8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323" w:type="dxa"/>
            <w:noWrap w:val="0"/>
            <w:vAlign w:val="center"/>
          </w:tcPr>
          <w:p w14:paraId="4921549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260E5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vMerge w:val="restart"/>
            <w:noWrap w:val="0"/>
            <w:vAlign w:val="center"/>
          </w:tcPr>
          <w:p w14:paraId="25ACBE0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违法事实</w:t>
            </w:r>
          </w:p>
        </w:tc>
        <w:tc>
          <w:tcPr>
            <w:tcW w:w="5827" w:type="dxa"/>
            <w:noWrap w:val="0"/>
            <w:vAlign w:val="bottom"/>
          </w:tcPr>
          <w:p w14:paraId="3E5E89F0">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未规范采取防治扬尘污染措施，或者围挡高度低于堆放物高度的</w:t>
            </w:r>
          </w:p>
        </w:tc>
        <w:tc>
          <w:tcPr>
            <w:tcW w:w="1323" w:type="dxa"/>
            <w:noWrap w:val="0"/>
            <w:vAlign w:val="center"/>
          </w:tcPr>
          <w:p w14:paraId="5A4F7C3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58E26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vMerge w:val="continue"/>
            <w:noWrap w:val="0"/>
            <w:vAlign w:val="center"/>
          </w:tcPr>
          <w:p w14:paraId="06E41F3A">
            <w:pPr>
              <w:rPr>
                <w:rFonts w:hint="eastAsia" w:ascii="宋体" w:hAnsi="宋体" w:eastAsia="宋体" w:cs="宋体"/>
                <w:color w:val="auto"/>
                <w:sz w:val="21"/>
                <w:szCs w:val="21"/>
                <w:highlight w:val="none"/>
              </w:rPr>
            </w:pPr>
          </w:p>
        </w:tc>
        <w:tc>
          <w:tcPr>
            <w:tcW w:w="5827" w:type="dxa"/>
            <w:noWrap w:val="0"/>
            <w:vAlign w:val="bottom"/>
          </w:tcPr>
          <w:p w14:paraId="777C259B">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未采取防治扬尘污染措施或者设置围挡的</w:t>
            </w:r>
          </w:p>
        </w:tc>
        <w:tc>
          <w:tcPr>
            <w:tcW w:w="1323" w:type="dxa"/>
            <w:noWrap w:val="0"/>
            <w:vAlign w:val="bottom"/>
          </w:tcPr>
          <w:p w14:paraId="71BD78A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3FF6B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vMerge w:val="restart"/>
            <w:noWrap w:val="0"/>
            <w:vAlign w:val="center"/>
          </w:tcPr>
          <w:p w14:paraId="15456BD7">
            <w:pPr>
              <w:jc w:val="center"/>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违法行为发生地</w:t>
            </w:r>
          </w:p>
        </w:tc>
        <w:tc>
          <w:tcPr>
            <w:tcW w:w="5827" w:type="dxa"/>
            <w:noWrap w:val="0"/>
            <w:vAlign w:val="top"/>
          </w:tcPr>
          <w:p w14:paraId="3B2D0515">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二类环境空气功能区</w:t>
            </w:r>
            <w:r>
              <w:rPr>
                <w:rFonts w:hint="eastAsia" w:ascii="宋体" w:hAnsi="宋体" w:eastAsia="宋体" w:cs="宋体"/>
                <w:color w:val="auto"/>
                <w:sz w:val="21"/>
                <w:szCs w:val="21"/>
                <w:highlight w:val="none"/>
              </w:rPr>
              <w:t>（工业区和农村地区）</w:t>
            </w:r>
          </w:p>
        </w:tc>
        <w:tc>
          <w:tcPr>
            <w:tcW w:w="1323" w:type="dxa"/>
            <w:noWrap w:val="0"/>
            <w:vAlign w:val="bottom"/>
          </w:tcPr>
          <w:p w14:paraId="0ECAF3D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428F4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vMerge w:val="continue"/>
            <w:noWrap w:val="0"/>
            <w:vAlign w:val="center"/>
          </w:tcPr>
          <w:p w14:paraId="522CA3D8">
            <w:pPr>
              <w:rPr>
                <w:rFonts w:hint="eastAsia" w:ascii="宋体" w:hAnsi="宋体" w:eastAsia="宋体" w:cs="宋体"/>
                <w:color w:val="auto"/>
                <w:sz w:val="21"/>
                <w:szCs w:val="21"/>
                <w:highlight w:val="none"/>
              </w:rPr>
            </w:pPr>
          </w:p>
        </w:tc>
        <w:tc>
          <w:tcPr>
            <w:tcW w:w="5827" w:type="dxa"/>
            <w:noWrap w:val="0"/>
            <w:vAlign w:val="top"/>
          </w:tcPr>
          <w:p w14:paraId="6D1CB394">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二类环境空气功能区</w:t>
            </w:r>
            <w:r>
              <w:rPr>
                <w:rFonts w:hint="eastAsia" w:ascii="宋体" w:hAnsi="宋体" w:eastAsia="宋体" w:cs="宋体"/>
                <w:color w:val="auto"/>
                <w:sz w:val="21"/>
                <w:szCs w:val="21"/>
                <w:highlight w:val="none"/>
              </w:rPr>
              <w:t>（居民区、商业交通居民混合区、文化区）</w:t>
            </w:r>
          </w:p>
        </w:tc>
        <w:tc>
          <w:tcPr>
            <w:tcW w:w="1323" w:type="dxa"/>
            <w:noWrap w:val="0"/>
            <w:vAlign w:val="center"/>
          </w:tcPr>
          <w:p w14:paraId="44E9CCE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05A43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vMerge w:val="continue"/>
            <w:noWrap w:val="0"/>
            <w:vAlign w:val="center"/>
          </w:tcPr>
          <w:p w14:paraId="6B228489">
            <w:pPr>
              <w:rPr>
                <w:rFonts w:hint="eastAsia" w:ascii="宋体" w:hAnsi="宋体" w:eastAsia="宋体" w:cs="宋体"/>
                <w:color w:val="auto"/>
                <w:sz w:val="21"/>
                <w:szCs w:val="21"/>
                <w:highlight w:val="none"/>
              </w:rPr>
            </w:pPr>
          </w:p>
        </w:tc>
        <w:tc>
          <w:tcPr>
            <w:tcW w:w="5827" w:type="dxa"/>
            <w:noWrap w:val="0"/>
            <w:vAlign w:val="top"/>
          </w:tcPr>
          <w:p w14:paraId="573127FA">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一类环境空气功能区</w:t>
            </w:r>
          </w:p>
        </w:tc>
        <w:tc>
          <w:tcPr>
            <w:tcW w:w="1323" w:type="dxa"/>
            <w:noWrap w:val="0"/>
            <w:vAlign w:val="bottom"/>
          </w:tcPr>
          <w:p w14:paraId="65264FA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4107C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vMerge w:val="restart"/>
            <w:noWrap w:val="0"/>
            <w:vAlign w:val="center"/>
          </w:tcPr>
          <w:p w14:paraId="6098CBB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占地面积</w:t>
            </w:r>
          </w:p>
        </w:tc>
        <w:tc>
          <w:tcPr>
            <w:tcW w:w="5827" w:type="dxa"/>
            <w:noWrap w:val="0"/>
            <w:vAlign w:val="center"/>
          </w:tcPr>
          <w:p w14:paraId="7BE5742A">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不足占地面积lOO</w:t>
            </w:r>
            <w:r>
              <w:rPr>
                <w:rFonts w:hint="eastAsia" w:ascii="宋体" w:hAnsi="宋体" w:cs="宋体"/>
                <w:color w:val="auto"/>
                <w:sz w:val="21"/>
                <w:szCs w:val="21"/>
                <w:highlight w:val="none"/>
                <w:lang w:eastAsia="zh-CN"/>
              </w:rPr>
              <w:t>平方米</w:t>
            </w:r>
            <w:r>
              <w:rPr>
                <w:rFonts w:hint="eastAsia" w:ascii="宋体" w:hAnsi="宋体" w:eastAsia="宋体" w:cs="宋体"/>
                <w:color w:val="auto"/>
                <w:sz w:val="21"/>
                <w:szCs w:val="21"/>
                <w:highlight w:val="none"/>
              </w:rPr>
              <w:t>的</w:t>
            </w:r>
          </w:p>
        </w:tc>
        <w:tc>
          <w:tcPr>
            <w:tcW w:w="1323" w:type="dxa"/>
            <w:noWrap w:val="0"/>
            <w:vAlign w:val="bottom"/>
          </w:tcPr>
          <w:p w14:paraId="1308975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6786A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vMerge w:val="continue"/>
            <w:noWrap w:val="0"/>
            <w:vAlign w:val="center"/>
          </w:tcPr>
          <w:p w14:paraId="0100F147">
            <w:pPr>
              <w:rPr>
                <w:rFonts w:hint="eastAsia" w:ascii="宋体" w:hAnsi="宋体" w:eastAsia="宋体" w:cs="宋体"/>
                <w:color w:val="auto"/>
                <w:sz w:val="21"/>
                <w:szCs w:val="21"/>
                <w:highlight w:val="none"/>
              </w:rPr>
            </w:pPr>
          </w:p>
        </w:tc>
        <w:tc>
          <w:tcPr>
            <w:tcW w:w="5827" w:type="dxa"/>
            <w:noWrap w:val="0"/>
            <w:vAlign w:val="center"/>
          </w:tcPr>
          <w:p w14:paraId="7DC3B598">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占地面积100</w:t>
            </w:r>
            <w:r>
              <w:rPr>
                <w:rFonts w:hint="eastAsia" w:ascii="宋体" w:hAnsi="宋体" w:cs="宋体"/>
                <w:color w:val="auto"/>
                <w:sz w:val="21"/>
                <w:szCs w:val="21"/>
                <w:highlight w:val="none"/>
                <w:lang w:eastAsia="zh-CN"/>
              </w:rPr>
              <w:t>平方米</w:t>
            </w:r>
            <w:r>
              <w:rPr>
                <w:rFonts w:hint="eastAsia" w:ascii="宋体" w:hAnsi="宋体" w:eastAsia="宋体" w:cs="宋体"/>
                <w:color w:val="auto"/>
                <w:sz w:val="21"/>
                <w:szCs w:val="21"/>
                <w:highlight w:val="none"/>
              </w:rPr>
              <w:t>以上不足500</w:t>
            </w:r>
            <w:r>
              <w:rPr>
                <w:rFonts w:hint="eastAsia" w:ascii="宋体" w:hAnsi="宋体" w:cs="宋体"/>
                <w:color w:val="auto"/>
                <w:sz w:val="21"/>
                <w:szCs w:val="21"/>
                <w:highlight w:val="none"/>
                <w:lang w:eastAsia="zh-CN"/>
              </w:rPr>
              <w:t>平方米</w:t>
            </w:r>
            <w:r>
              <w:rPr>
                <w:rFonts w:hint="eastAsia" w:ascii="宋体" w:hAnsi="宋体" w:eastAsia="宋体" w:cs="宋体"/>
                <w:color w:val="auto"/>
                <w:sz w:val="21"/>
                <w:szCs w:val="21"/>
                <w:highlight w:val="none"/>
              </w:rPr>
              <w:t>的</w:t>
            </w:r>
          </w:p>
        </w:tc>
        <w:tc>
          <w:tcPr>
            <w:tcW w:w="1323" w:type="dxa"/>
            <w:noWrap w:val="0"/>
            <w:vAlign w:val="bottom"/>
          </w:tcPr>
          <w:p w14:paraId="0E40FC7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01C86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vMerge w:val="continue"/>
            <w:noWrap w:val="0"/>
            <w:vAlign w:val="center"/>
          </w:tcPr>
          <w:p w14:paraId="5BC4393F">
            <w:pPr>
              <w:rPr>
                <w:rFonts w:hint="eastAsia" w:ascii="宋体" w:hAnsi="宋体" w:eastAsia="宋体" w:cs="宋体"/>
                <w:color w:val="auto"/>
                <w:sz w:val="21"/>
                <w:szCs w:val="21"/>
                <w:highlight w:val="none"/>
              </w:rPr>
            </w:pPr>
          </w:p>
        </w:tc>
        <w:tc>
          <w:tcPr>
            <w:tcW w:w="5827" w:type="dxa"/>
            <w:noWrap w:val="0"/>
            <w:vAlign w:val="center"/>
          </w:tcPr>
          <w:p w14:paraId="016E56FD">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占地面积500</w:t>
            </w:r>
            <w:r>
              <w:rPr>
                <w:rFonts w:hint="eastAsia" w:ascii="宋体" w:hAnsi="宋体" w:cs="宋体"/>
                <w:color w:val="auto"/>
                <w:sz w:val="21"/>
                <w:szCs w:val="21"/>
                <w:highlight w:val="none"/>
                <w:lang w:eastAsia="zh-CN"/>
              </w:rPr>
              <w:t>平方米</w:t>
            </w:r>
            <w:r>
              <w:rPr>
                <w:rFonts w:hint="eastAsia" w:ascii="宋体" w:hAnsi="宋体" w:eastAsia="宋体" w:cs="宋体"/>
                <w:color w:val="auto"/>
                <w:sz w:val="21"/>
                <w:szCs w:val="21"/>
                <w:highlight w:val="none"/>
              </w:rPr>
              <w:t>以上的</w:t>
            </w:r>
          </w:p>
        </w:tc>
        <w:tc>
          <w:tcPr>
            <w:tcW w:w="1323" w:type="dxa"/>
            <w:noWrap w:val="0"/>
            <w:vAlign w:val="bottom"/>
          </w:tcPr>
          <w:p w14:paraId="3FA83C6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bl>
    <w:p w14:paraId="3F9D6AD5">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2"/>
        <w:gridCol w:w="5806"/>
        <w:gridCol w:w="1340"/>
      </w:tblGrid>
      <w:tr w14:paraId="79C59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48" w:type="dxa"/>
            <w:gridSpan w:val="3"/>
            <w:noWrap w:val="0"/>
            <w:vAlign w:val="center"/>
          </w:tcPr>
          <w:p w14:paraId="150DB86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四</w:t>
            </w:r>
            <w:r>
              <w:rPr>
                <w:rFonts w:hint="eastAsia" w:ascii="宋体" w:hAnsi="宋体" w:eastAsia="宋体" w:cs="宋体"/>
                <w:color w:val="auto"/>
                <w:sz w:val="21"/>
                <w:szCs w:val="21"/>
                <w:highlight w:val="none"/>
              </w:rPr>
              <w:t>）大气污染防治类</w:t>
            </w:r>
          </w:p>
        </w:tc>
      </w:tr>
      <w:tr w14:paraId="7159D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2" w:type="dxa"/>
            <w:noWrap w:val="0"/>
            <w:vAlign w:val="center"/>
          </w:tcPr>
          <w:p w14:paraId="3F5EB92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7146" w:type="dxa"/>
            <w:gridSpan w:val="2"/>
            <w:noWrap w:val="0"/>
            <w:vAlign w:val="center"/>
          </w:tcPr>
          <w:p w14:paraId="68C71421">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w:t>
            </w:r>
          </w:p>
        </w:tc>
      </w:tr>
      <w:tr w14:paraId="7B0E9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2" w:type="dxa"/>
            <w:noWrap w:val="0"/>
            <w:vAlign w:val="center"/>
          </w:tcPr>
          <w:p w14:paraId="2788626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w:t>
            </w:r>
            <w:bookmarkStart w:id="19" w:name="_Hlk56180824"/>
            <w:r>
              <w:rPr>
                <w:rFonts w:hint="eastAsia" w:ascii="宋体" w:hAnsi="宋体" w:eastAsia="宋体" w:cs="宋体"/>
                <w:color w:val="auto"/>
                <w:sz w:val="21"/>
                <w:szCs w:val="21"/>
                <w:highlight w:val="none"/>
              </w:rPr>
              <w:t>为</w:t>
            </w:r>
          </w:p>
          <w:bookmarkEnd w:id="19"/>
        </w:tc>
        <w:tc>
          <w:tcPr>
            <w:tcW w:w="7146" w:type="dxa"/>
            <w:gridSpan w:val="2"/>
            <w:noWrap w:val="0"/>
            <w:vAlign w:val="top"/>
          </w:tcPr>
          <w:p w14:paraId="598CD41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单位存放煤炭、煤矸石、煤渣、煤灰等物料，未采取防燃措施的</w:t>
            </w:r>
          </w:p>
        </w:tc>
      </w:tr>
      <w:tr w14:paraId="2C6C6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2" w:type="dxa"/>
            <w:noWrap w:val="0"/>
            <w:vAlign w:val="center"/>
          </w:tcPr>
          <w:p w14:paraId="324C842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7146" w:type="dxa"/>
            <w:gridSpan w:val="2"/>
            <w:noWrap w:val="0"/>
            <w:vAlign w:val="bottom"/>
          </w:tcPr>
          <w:p w14:paraId="57C77A7E">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《中华人民共和国生态环境法典》第二百零四条第二款  单位存放煤炭、煤矸石、煤渣、煤灰等物料，应当采取防燃措施，防止大气污染。</w:t>
            </w:r>
          </w:p>
        </w:tc>
      </w:tr>
      <w:tr w14:paraId="79942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2" w:type="dxa"/>
            <w:noWrap w:val="0"/>
            <w:vAlign w:val="center"/>
          </w:tcPr>
          <w:p w14:paraId="420E03E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7146" w:type="dxa"/>
            <w:gridSpan w:val="2"/>
            <w:noWrap w:val="0"/>
            <w:vAlign w:val="bottom"/>
          </w:tcPr>
          <w:p w14:paraId="7FEC6662">
            <w:pPr>
              <w:ind w:firstLine="420" w:firstLineChars="200"/>
              <w:rPr>
                <w:rFonts w:hint="eastAsia" w:ascii="宋体" w:hAnsi="宋体" w:eastAsia="宋体" w:cs="宋体"/>
                <w:color w:val="auto"/>
                <w:sz w:val="21"/>
                <w:szCs w:val="21"/>
                <w:highlight w:val="none"/>
                <w:lang w:eastAsia="zh-TW"/>
              </w:rPr>
            </w:pPr>
            <w:r>
              <w:rPr>
                <w:rFonts w:hint="eastAsia" w:ascii="宋体" w:hAnsi="宋体" w:eastAsia="宋体" w:cs="宋体"/>
                <w:color w:val="auto"/>
                <w:sz w:val="21"/>
                <w:szCs w:val="21"/>
                <w:highlight w:val="none"/>
                <w:lang w:eastAsia="zh-TW"/>
              </w:rPr>
              <w:t>《中华人民共和国生态环境法典》第一千一百三十条</w:t>
            </w:r>
            <w:r>
              <w:rPr>
                <w:rFonts w:hint="eastAsia" w:ascii="宋体" w:hAnsi="宋体" w:eastAsia="宋体" w:cs="宋体"/>
                <w:color w:val="auto"/>
                <w:sz w:val="21"/>
                <w:szCs w:val="21"/>
                <w:highlight w:val="none"/>
                <w:lang w:val="en-US" w:eastAsia="zh-CN"/>
              </w:rPr>
              <w:t>第四项</w:t>
            </w:r>
            <w:r>
              <w:rPr>
                <w:rFonts w:hint="eastAsia" w:ascii="宋体" w:hAnsi="宋体" w:eastAsia="宋体" w:cs="宋体"/>
                <w:color w:val="auto"/>
                <w:sz w:val="21"/>
                <w:szCs w:val="21"/>
                <w:highlight w:val="none"/>
                <w:lang w:eastAsia="zh-TW"/>
              </w:rPr>
              <w:t xml:space="preserve">  违反本法规定，有下列情形之一的，由生态环境等部门按照职责分工责令改正，处一万元以上十万元以下的罚款；拒不改正的，责令停工整治或者停业整治：</w:t>
            </w:r>
          </w:p>
          <w:p w14:paraId="798C9184">
            <w:pPr>
              <w:ind w:firstLine="420" w:firstLineChars="200"/>
              <w:rPr>
                <w:rFonts w:hint="eastAsia" w:ascii="宋体" w:hAnsi="宋体" w:eastAsia="宋体" w:cs="宋体"/>
                <w:color w:val="auto"/>
                <w:sz w:val="21"/>
                <w:szCs w:val="21"/>
                <w:highlight w:val="none"/>
                <w:lang w:eastAsia="zh-TW"/>
              </w:rPr>
            </w:pPr>
            <w:r>
              <w:rPr>
                <w:rFonts w:hint="eastAsia" w:ascii="宋体" w:hAnsi="宋体" w:eastAsia="宋体" w:cs="宋体"/>
                <w:color w:val="auto"/>
                <w:sz w:val="21"/>
                <w:szCs w:val="21"/>
                <w:highlight w:val="none"/>
                <w:lang w:eastAsia="zh-TW"/>
              </w:rPr>
              <w:t>（四）单位存放煤炭、煤矸石、煤渣、煤灰等物料，未采取防燃措施；</w:t>
            </w:r>
          </w:p>
        </w:tc>
      </w:tr>
      <w:tr w14:paraId="3118D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2" w:type="dxa"/>
            <w:noWrap w:val="0"/>
            <w:vAlign w:val="center"/>
          </w:tcPr>
          <w:p w14:paraId="511A5C4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806" w:type="dxa"/>
            <w:noWrap w:val="0"/>
            <w:vAlign w:val="center"/>
          </w:tcPr>
          <w:p w14:paraId="0CEB5AE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340" w:type="dxa"/>
            <w:noWrap w:val="0"/>
            <w:vAlign w:val="center"/>
          </w:tcPr>
          <w:p w14:paraId="4D1359D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1B01A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2" w:type="dxa"/>
            <w:vMerge w:val="restart"/>
            <w:noWrap w:val="0"/>
            <w:vAlign w:val="center"/>
          </w:tcPr>
          <w:p w14:paraId="1A3F733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违法事实</w:t>
            </w:r>
          </w:p>
        </w:tc>
        <w:tc>
          <w:tcPr>
            <w:tcW w:w="5806" w:type="dxa"/>
            <w:noWrap w:val="0"/>
            <w:vAlign w:val="center"/>
          </w:tcPr>
          <w:p w14:paraId="1962AD26">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未规范采取防燃措施的</w:t>
            </w:r>
          </w:p>
        </w:tc>
        <w:tc>
          <w:tcPr>
            <w:tcW w:w="1340" w:type="dxa"/>
            <w:noWrap w:val="0"/>
            <w:vAlign w:val="center"/>
          </w:tcPr>
          <w:p w14:paraId="4EE5BE3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64CDA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2" w:type="dxa"/>
            <w:vMerge w:val="continue"/>
            <w:noWrap w:val="0"/>
            <w:vAlign w:val="center"/>
          </w:tcPr>
          <w:p w14:paraId="319E7D50">
            <w:pPr>
              <w:rPr>
                <w:rFonts w:hint="eastAsia" w:ascii="宋体" w:hAnsi="宋体" w:eastAsia="宋体" w:cs="宋体"/>
                <w:color w:val="auto"/>
                <w:sz w:val="21"/>
                <w:szCs w:val="21"/>
                <w:highlight w:val="none"/>
              </w:rPr>
            </w:pPr>
          </w:p>
        </w:tc>
        <w:tc>
          <w:tcPr>
            <w:tcW w:w="5806" w:type="dxa"/>
            <w:noWrap w:val="0"/>
            <w:vAlign w:val="bottom"/>
          </w:tcPr>
          <w:p w14:paraId="01A44358">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部分物料采取防燃措施的</w:t>
            </w:r>
          </w:p>
        </w:tc>
        <w:tc>
          <w:tcPr>
            <w:tcW w:w="1340" w:type="dxa"/>
            <w:noWrap w:val="0"/>
            <w:vAlign w:val="bottom"/>
          </w:tcPr>
          <w:p w14:paraId="384978A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41813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2" w:type="dxa"/>
            <w:vMerge w:val="continue"/>
            <w:noWrap w:val="0"/>
            <w:vAlign w:val="center"/>
          </w:tcPr>
          <w:p w14:paraId="4AA80D56">
            <w:pPr>
              <w:rPr>
                <w:rFonts w:hint="eastAsia" w:ascii="宋体" w:hAnsi="宋体" w:eastAsia="宋体" w:cs="宋体"/>
                <w:color w:val="auto"/>
                <w:sz w:val="21"/>
                <w:szCs w:val="21"/>
                <w:highlight w:val="none"/>
              </w:rPr>
            </w:pPr>
          </w:p>
        </w:tc>
        <w:tc>
          <w:tcPr>
            <w:tcW w:w="5806" w:type="dxa"/>
            <w:noWrap w:val="0"/>
            <w:vAlign w:val="bottom"/>
          </w:tcPr>
          <w:p w14:paraId="1F210C88">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未采取防燃措施的</w:t>
            </w:r>
          </w:p>
        </w:tc>
        <w:tc>
          <w:tcPr>
            <w:tcW w:w="1340" w:type="dxa"/>
            <w:noWrap w:val="0"/>
            <w:vAlign w:val="bottom"/>
          </w:tcPr>
          <w:p w14:paraId="66FCEAC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22DE4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2" w:type="dxa"/>
            <w:vMerge w:val="restart"/>
            <w:noWrap w:val="0"/>
            <w:vAlign w:val="center"/>
          </w:tcPr>
          <w:p w14:paraId="6A41396D">
            <w:pPr>
              <w:jc w:val="center"/>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违法行为发生地</w:t>
            </w:r>
          </w:p>
        </w:tc>
        <w:tc>
          <w:tcPr>
            <w:tcW w:w="5806" w:type="dxa"/>
            <w:noWrap w:val="0"/>
            <w:vAlign w:val="top"/>
          </w:tcPr>
          <w:p w14:paraId="4DFF8F21">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二类环境空气功能区</w:t>
            </w:r>
            <w:r>
              <w:rPr>
                <w:rFonts w:hint="eastAsia" w:ascii="宋体" w:hAnsi="宋体" w:eastAsia="宋体" w:cs="宋体"/>
                <w:color w:val="auto"/>
                <w:sz w:val="21"/>
                <w:szCs w:val="21"/>
                <w:highlight w:val="none"/>
              </w:rPr>
              <w:t>（工业区和农村地区）</w:t>
            </w:r>
          </w:p>
        </w:tc>
        <w:tc>
          <w:tcPr>
            <w:tcW w:w="1340" w:type="dxa"/>
            <w:noWrap w:val="0"/>
            <w:vAlign w:val="bottom"/>
          </w:tcPr>
          <w:p w14:paraId="75CD292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25405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2" w:type="dxa"/>
            <w:vMerge w:val="continue"/>
            <w:noWrap w:val="0"/>
            <w:vAlign w:val="center"/>
          </w:tcPr>
          <w:p w14:paraId="3EE1A260">
            <w:pPr>
              <w:rPr>
                <w:rFonts w:hint="eastAsia" w:ascii="宋体" w:hAnsi="宋体" w:eastAsia="宋体" w:cs="宋体"/>
                <w:color w:val="auto"/>
                <w:sz w:val="21"/>
                <w:szCs w:val="21"/>
                <w:highlight w:val="none"/>
              </w:rPr>
            </w:pPr>
          </w:p>
        </w:tc>
        <w:tc>
          <w:tcPr>
            <w:tcW w:w="5806" w:type="dxa"/>
            <w:noWrap w:val="0"/>
            <w:vAlign w:val="top"/>
          </w:tcPr>
          <w:p w14:paraId="1874F298">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二类环境空气功能区</w:t>
            </w:r>
            <w:r>
              <w:rPr>
                <w:rFonts w:hint="eastAsia" w:ascii="宋体" w:hAnsi="宋体" w:eastAsia="宋体" w:cs="宋体"/>
                <w:color w:val="auto"/>
                <w:sz w:val="21"/>
                <w:szCs w:val="21"/>
                <w:highlight w:val="none"/>
              </w:rPr>
              <w:t>（居民区、商业交通居民混合区、文化区）</w:t>
            </w:r>
          </w:p>
        </w:tc>
        <w:tc>
          <w:tcPr>
            <w:tcW w:w="1340" w:type="dxa"/>
            <w:noWrap w:val="0"/>
            <w:vAlign w:val="center"/>
          </w:tcPr>
          <w:p w14:paraId="4BF8CF6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50291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2" w:type="dxa"/>
            <w:vMerge w:val="continue"/>
            <w:noWrap w:val="0"/>
            <w:vAlign w:val="center"/>
          </w:tcPr>
          <w:p w14:paraId="60C55DC1">
            <w:pPr>
              <w:rPr>
                <w:rFonts w:hint="eastAsia" w:ascii="宋体" w:hAnsi="宋体" w:eastAsia="宋体" w:cs="宋体"/>
                <w:color w:val="auto"/>
                <w:sz w:val="21"/>
                <w:szCs w:val="21"/>
                <w:highlight w:val="none"/>
              </w:rPr>
            </w:pPr>
          </w:p>
        </w:tc>
        <w:tc>
          <w:tcPr>
            <w:tcW w:w="5806" w:type="dxa"/>
            <w:noWrap w:val="0"/>
            <w:vAlign w:val="top"/>
          </w:tcPr>
          <w:p w14:paraId="52589B66">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一类环境空气功能区</w:t>
            </w:r>
          </w:p>
        </w:tc>
        <w:tc>
          <w:tcPr>
            <w:tcW w:w="1340" w:type="dxa"/>
            <w:noWrap w:val="0"/>
            <w:vAlign w:val="bottom"/>
          </w:tcPr>
          <w:p w14:paraId="70D0F07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75533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2" w:type="dxa"/>
            <w:vMerge w:val="restart"/>
            <w:noWrap w:val="0"/>
            <w:vAlign w:val="center"/>
          </w:tcPr>
          <w:p w14:paraId="355B324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物料存放量</w:t>
            </w:r>
          </w:p>
        </w:tc>
        <w:tc>
          <w:tcPr>
            <w:tcW w:w="5806" w:type="dxa"/>
            <w:noWrap w:val="0"/>
            <w:vAlign w:val="center"/>
          </w:tcPr>
          <w:p w14:paraId="52DC619C">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不足2吨</w:t>
            </w:r>
          </w:p>
        </w:tc>
        <w:tc>
          <w:tcPr>
            <w:tcW w:w="1340" w:type="dxa"/>
            <w:noWrap w:val="0"/>
            <w:vAlign w:val="center"/>
          </w:tcPr>
          <w:p w14:paraId="0D7DEBB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416D1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2" w:type="dxa"/>
            <w:vMerge w:val="continue"/>
            <w:noWrap w:val="0"/>
            <w:vAlign w:val="center"/>
          </w:tcPr>
          <w:p w14:paraId="175B1D32">
            <w:pPr>
              <w:rPr>
                <w:rFonts w:hint="eastAsia" w:ascii="宋体" w:hAnsi="宋体" w:eastAsia="宋体" w:cs="宋体"/>
                <w:color w:val="auto"/>
                <w:sz w:val="21"/>
                <w:szCs w:val="21"/>
                <w:highlight w:val="none"/>
              </w:rPr>
            </w:pPr>
          </w:p>
        </w:tc>
        <w:tc>
          <w:tcPr>
            <w:tcW w:w="5806" w:type="dxa"/>
            <w:noWrap w:val="0"/>
            <w:vAlign w:val="bottom"/>
          </w:tcPr>
          <w:p w14:paraId="04C5AA37">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2吨以上不足10吨</w:t>
            </w:r>
          </w:p>
        </w:tc>
        <w:tc>
          <w:tcPr>
            <w:tcW w:w="1340" w:type="dxa"/>
            <w:noWrap w:val="0"/>
            <w:vAlign w:val="bottom"/>
          </w:tcPr>
          <w:p w14:paraId="7C2EFC3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3CC89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2" w:type="dxa"/>
            <w:vMerge w:val="continue"/>
            <w:noWrap w:val="0"/>
            <w:vAlign w:val="center"/>
          </w:tcPr>
          <w:p w14:paraId="48B7C6C3">
            <w:pPr>
              <w:rPr>
                <w:rFonts w:hint="eastAsia" w:ascii="宋体" w:hAnsi="宋体" w:eastAsia="宋体" w:cs="宋体"/>
                <w:color w:val="auto"/>
                <w:sz w:val="21"/>
                <w:szCs w:val="21"/>
                <w:highlight w:val="none"/>
              </w:rPr>
            </w:pPr>
          </w:p>
        </w:tc>
        <w:tc>
          <w:tcPr>
            <w:tcW w:w="5806" w:type="dxa"/>
            <w:noWrap w:val="0"/>
            <w:vAlign w:val="bottom"/>
          </w:tcPr>
          <w:p w14:paraId="0F6DC6E2">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10吨以上</w:t>
            </w:r>
          </w:p>
        </w:tc>
        <w:tc>
          <w:tcPr>
            <w:tcW w:w="1340" w:type="dxa"/>
            <w:noWrap w:val="0"/>
            <w:vAlign w:val="bottom"/>
          </w:tcPr>
          <w:p w14:paraId="6C840FE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bl>
    <w:p w14:paraId="1468674C">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98"/>
        <w:gridCol w:w="5827"/>
        <w:gridCol w:w="1323"/>
      </w:tblGrid>
      <w:tr w14:paraId="44AF2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48" w:type="dxa"/>
            <w:gridSpan w:val="3"/>
            <w:noWrap w:val="0"/>
            <w:vAlign w:val="center"/>
          </w:tcPr>
          <w:p w14:paraId="57CE84A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四</w:t>
            </w:r>
            <w:r>
              <w:rPr>
                <w:rFonts w:hint="eastAsia" w:ascii="宋体" w:hAnsi="宋体" w:eastAsia="宋体" w:cs="宋体"/>
                <w:color w:val="auto"/>
                <w:sz w:val="21"/>
                <w:szCs w:val="21"/>
                <w:highlight w:val="none"/>
              </w:rPr>
              <w:t>）大气污染防治类</w:t>
            </w:r>
          </w:p>
        </w:tc>
      </w:tr>
      <w:tr w14:paraId="6BC28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noWrap w:val="0"/>
            <w:vAlign w:val="center"/>
          </w:tcPr>
          <w:p w14:paraId="0FA78C8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7150" w:type="dxa"/>
            <w:gridSpan w:val="2"/>
            <w:noWrap w:val="0"/>
            <w:vAlign w:val="center"/>
          </w:tcPr>
          <w:p w14:paraId="1B7AA3A3">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23</w:t>
            </w:r>
          </w:p>
        </w:tc>
      </w:tr>
      <w:tr w14:paraId="50D25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noWrap w:val="0"/>
            <w:vAlign w:val="center"/>
          </w:tcPr>
          <w:p w14:paraId="572ACEF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7150" w:type="dxa"/>
            <w:gridSpan w:val="2"/>
            <w:noWrap w:val="0"/>
            <w:vAlign w:val="top"/>
          </w:tcPr>
          <w:p w14:paraId="0A61C09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码头、矿山、填埋场和消纳场未采取有效措施防治扬尘污染的</w:t>
            </w:r>
          </w:p>
        </w:tc>
      </w:tr>
      <w:tr w14:paraId="4B012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noWrap w:val="0"/>
            <w:vAlign w:val="center"/>
          </w:tcPr>
          <w:p w14:paraId="29A88F9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7150" w:type="dxa"/>
            <w:gridSpan w:val="2"/>
            <w:noWrap w:val="0"/>
            <w:vAlign w:val="bottom"/>
          </w:tcPr>
          <w:p w14:paraId="50A136C9">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《中华人民共和国生态环境法典》第二百四十三条第二款  码头、矿山、填埋场和消纳场应当实施分区作业，并采取有效措施防治扬尘污染。</w:t>
            </w:r>
          </w:p>
        </w:tc>
      </w:tr>
      <w:tr w14:paraId="1B3A9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noWrap w:val="0"/>
            <w:vAlign w:val="center"/>
          </w:tcPr>
          <w:p w14:paraId="7620675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7150" w:type="dxa"/>
            <w:gridSpan w:val="2"/>
            <w:noWrap w:val="0"/>
            <w:vAlign w:val="bottom"/>
          </w:tcPr>
          <w:p w14:paraId="45C5DAF4">
            <w:pPr>
              <w:ind w:firstLine="420" w:firstLineChars="200"/>
              <w:rPr>
                <w:rFonts w:hint="eastAsia" w:ascii="宋体" w:hAnsi="宋体" w:eastAsia="宋体" w:cs="宋体"/>
                <w:color w:val="auto"/>
                <w:sz w:val="21"/>
                <w:szCs w:val="21"/>
                <w:highlight w:val="none"/>
              </w:rPr>
            </w:pPr>
          </w:p>
          <w:p w14:paraId="4EE338DF">
            <w:pPr>
              <w:ind w:firstLine="420" w:firstLineChars="200"/>
              <w:rPr>
                <w:rFonts w:hint="eastAsia" w:ascii="宋体" w:hAnsi="宋体" w:eastAsia="宋体" w:cs="宋体"/>
                <w:color w:val="auto"/>
                <w:sz w:val="21"/>
                <w:szCs w:val="21"/>
                <w:highlight w:val="none"/>
                <w:lang w:eastAsia="zh-TW"/>
              </w:rPr>
            </w:pPr>
            <w:r>
              <w:rPr>
                <w:rFonts w:hint="eastAsia" w:ascii="宋体" w:hAnsi="宋体" w:eastAsia="宋体" w:cs="宋体"/>
                <w:color w:val="auto"/>
                <w:sz w:val="21"/>
                <w:szCs w:val="21"/>
                <w:highlight w:val="none"/>
                <w:lang w:eastAsia="zh-TW"/>
              </w:rPr>
              <w:t>《中华人民共和国生态环境法典》第一千一百三十条</w:t>
            </w:r>
            <w:r>
              <w:rPr>
                <w:rFonts w:hint="eastAsia" w:ascii="宋体" w:hAnsi="宋体" w:eastAsia="宋体" w:cs="宋体"/>
                <w:color w:val="auto"/>
                <w:sz w:val="21"/>
                <w:szCs w:val="21"/>
                <w:highlight w:val="none"/>
                <w:lang w:val="en-US" w:eastAsia="zh-CN"/>
              </w:rPr>
              <w:t>第五项</w:t>
            </w:r>
            <w:r>
              <w:rPr>
                <w:rFonts w:hint="eastAsia" w:ascii="宋体" w:hAnsi="宋体" w:eastAsia="宋体" w:cs="宋体"/>
                <w:color w:val="auto"/>
                <w:sz w:val="21"/>
                <w:szCs w:val="21"/>
                <w:highlight w:val="none"/>
                <w:lang w:eastAsia="zh-TW"/>
              </w:rPr>
              <w:t xml:space="preserve">  违反本法规定，有下列情形之一的，由生态环境等部门按照职责分工责令改正，处一万元以上十万元以下的罚款；拒不改正的，责令停工整治或者停业整治：</w:t>
            </w:r>
          </w:p>
          <w:p w14:paraId="75E4AA0D">
            <w:pPr>
              <w:ind w:firstLine="420" w:firstLineChars="200"/>
              <w:rPr>
                <w:rFonts w:hint="eastAsia" w:ascii="宋体" w:hAnsi="宋体" w:eastAsia="宋体" w:cs="宋体"/>
                <w:color w:val="auto"/>
                <w:sz w:val="21"/>
                <w:szCs w:val="21"/>
                <w:highlight w:val="none"/>
                <w:lang w:eastAsia="zh-TW"/>
              </w:rPr>
            </w:pPr>
            <w:r>
              <w:rPr>
                <w:rFonts w:hint="eastAsia" w:ascii="宋体" w:hAnsi="宋体" w:eastAsia="宋体" w:cs="宋体"/>
                <w:color w:val="auto"/>
                <w:sz w:val="21"/>
                <w:szCs w:val="21"/>
                <w:highlight w:val="none"/>
                <w:lang w:eastAsia="zh-TW"/>
              </w:rPr>
              <w:t>（五）码头、矿山、填埋场和消纳场未采取有效措施防治扬尘污染的；</w:t>
            </w:r>
          </w:p>
        </w:tc>
      </w:tr>
      <w:tr w14:paraId="32EBB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noWrap w:val="0"/>
            <w:vAlign w:val="center"/>
          </w:tcPr>
          <w:p w14:paraId="7628257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827" w:type="dxa"/>
            <w:noWrap w:val="0"/>
            <w:vAlign w:val="center"/>
          </w:tcPr>
          <w:p w14:paraId="255632D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323" w:type="dxa"/>
            <w:noWrap w:val="0"/>
            <w:vAlign w:val="center"/>
          </w:tcPr>
          <w:p w14:paraId="43D8528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42EE5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vMerge w:val="restart"/>
            <w:noWrap w:val="0"/>
            <w:vAlign w:val="center"/>
          </w:tcPr>
          <w:p w14:paraId="12A009F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违法事实</w:t>
            </w:r>
          </w:p>
        </w:tc>
        <w:tc>
          <w:tcPr>
            <w:tcW w:w="5827" w:type="dxa"/>
            <w:noWrap w:val="0"/>
            <w:vAlign w:val="bottom"/>
          </w:tcPr>
          <w:p w14:paraId="5E94B843">
            <w:pPr>
              <w:keepNext w:val="0"/>
              <w:keepLines w:val="0"/>
              <w:pageBreakBefore w:val="0"/>
              <w:widowControl w:val="0"/>
              <w:kinsoku/>
              <w:wordWrap/>
              <w:overflowPunct/>
              <w:topLinePunct w:val="0"/>
              <w:bidi w:val="0"/>
              <w:adjustRightInd/>
              <w:snapToGrid/>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未分区，已采取措施</w:t>
            </w:r>
          </w:p>
        </w:tc>
        <w:tc>
          <w:tcPr>
            <w:tcW w:w="1323" w:type="dxa"/>
            <w:noWrap w:val="0"/>
            <w:vAlign w:val="center"/>
          </w:tcPr>
          <w:p w14:paraId="27B1C4B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3F1CC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vMerge w:val="continue"/>
            <w:noWrap w:val="0"/>
            <w:vAlign w:val="center"/>
          </w:tcPr>
          <w:p w14:paraId="7E2063E0">
            <w:pPr>
              <w:rPr>
                <w:rFonts w:hint="eastAsia" w:ascii="宋体" w:hAnsi="宋体" w:eastAsia="宋体" w:cs="宋体"/>
                <w:color w:val="auto"/>
                <w:sz w:val="21"/>
                <w:szCs w:val="21"/>
                <w:highlight w:val="none"/>
              </w:rPr>
            </w:pPr>
          </w:p>
        </w:tc>
        <w:tc>
          <w:tcPr>
            <w:tcW w:w="5827" w:type="dxa"/>
            <w:noWrap w:val="0"/>
            <w:vAlign w:val="bottom"/>
          </w:tcPr>
          <w:p w14:paraId="68A26E10">
            <w:pPr>
              <w:keepNext w:val="0"/>
              <w:keepLines w:val="0"/>
              <w:pageBreakBefore w:val="0"/>
              <w:widowControl w:val="0"/>
              <w:kinsoku/>
              <w:wordWrap/>
              <w:overflowPunct/>
              <w:topLinePunct w:val="0"/>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已分区，未采取措施</w:t>
            </w:r>
          </w:p>
        </w:tc>
        <w:tc>
          <w:tcPr>
            <w:tcW w:w="1323" w:type="dxa"/>
            <w:noWrap w:val="0"/>
            <w:vAlign w:val="bottom"/>
          </w:tcPr>
          <w:p w14:paraId="4E11D5D2">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3</w:t>
            </w:r>
          </w:p>
        </w:tc>
      </w:tr>
      <w:tr w14:paraId="60470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8" w:type="dxa"/>
            <w:vMerge w:val="continue"/>
            <w:noWrap w:val="0"/>
            <w:vAlign w:val="center"/>
          </w:tcPr>
          <w:p w14:paraId="780F3DF8">
            <w:pPr>
              <w:rPr>
                <w:rFonts w:hint="eastAsia" w:ascii="宋体" w:hAnsi="宋体" w:eastAsia="宋体" w:cs="宋体"/>
                <w:color w:val="auto"/>
                <w:sz w:val="21"/>
                <w:szCs w:val="21"/>
                <w:highlight w:val="none"/>
              </w:rPr>
            </w:pPr>
          </w:p>
        </w:tc>
        <w:tc>
          <w:tcPr>
            <w:tcW w:w="5827" w:type="dxa"/>
            <w:noWrap w:val="0"/>
            <w:vAlign w:val="bottom"/>
          </w:tcPr>
          <w:p w14:paraId="530874CA">
            <w:pPr>
              <w:keepNext w:val="0"/>
              <w:keepLines w:val="0"/>
              <w:pageBreakBefore w:val="0"/>
              <w:widowControl w:val="0"/>
              <w:kinsoku/>
              <w:wordWrap/>
              <w:overflowPunct/>
              <w:topLinePunct w:val="0"/>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未分区，未采取措施</w:t>
            </w:r>
          </w:p>
        </w:tc>
        <w:tc>
          <w:tcPr>
            <w:tcW w:w="1323" w:type="dxa"/>
            <w:noWrap w:val="0"/>
            <w:vAlign w:val="bottom"/>
          </w:tcPr>
          <w:p w14:paraId="3951FB98">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r>
    </w:tbl>
    <w:p w14:paraId="71B1B709">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97"/>
        <w:gridCol w:w="5526"/>
        <w:gridCol w:w="1625"/>
      </w:tblGrid>
      <w:tr w14:paraId="12DEB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48" w:type="dxa"/>
            <w:gridSpan w:val="3"/>
            <w:noWrap w:val="0"/>
            <w:vAlign w:val="top"/>
          </w:tcPr>
          <w:p w14:paraId="0908D40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四</w:t>
            </w:r>
            <w:r>
              <w:rPr>
                <w:rFonts w:hint="eastAsia" w:ascii="宋体" w:hAnsi="宋体" w:eastAsia="宋体" w:cs="宋体"/>
                <w:color w:val="auto"/>
                <w:sz w:val="21"/>
                <w:szCs w:val="21"/>
                <w:highlight w:val="none"/>
              </w:rPr>
              <w:t>）大气污染防治类</w:t>
            </w:r>
          </w:p>
        </w:tc>
      </w:tr>
      <w:tr w14:paraId="6E42D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7" w:type="dxa"/>
            <w:noWrap w:val="0"/>
            <w:vAlign w:val="top"/>
          </w:tcPr>
          <w:p w14:paraId="09240C9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7151" w:type="dxa"/>
            <w:gridSpan w:val="2"/>
            <w:noWrap w:val="0"/>
            <w:vAlign w:val="top"/>
          </w:tcPr>
          <w:p w14:paraId="75337DB2">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24</w:t>
            </w:r>
          </w:p>
        </w:tc>
      </w:tr>
      <w:tr w14:paraId="67BDD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7" w:type="dxa"/>
            <w:noWrap w:val="0"/>
            <w:vAlign w:val="center"/>
          </w:tcPr>
          <w:p w14:paraId="1C96234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7151" w:type="dxa"/>
            <w:gridSpan w:val="2"/>
            <w:noWrap w:val="0"/>
            <w:vAlign w:val="center"/>
          </w:tcPr>
          <w:p w14:paraId="45CF67C9">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排放有毒有害大气污染物名录中所列有毒有害大气污染物的企业事业单位，未建设环境风险预警体系、排查环境安全隐患并采取有效措施防范环境风险的</w:t>
            </w:r>
          </w:p>
        </w:tc>
      </w:tr>
      <w:tr w14:paraId="48587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7" w:type="dxa"/>
            <w:noWrap w:val="0"/>
            <w:vAlign w:val="center"/>
          </w:tcPr>
          <w:p w14:paraId="6DDEE22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7151" w:type="dxa"/>
            <w:gridSpan w:val="2"/>
            <w:noWrap w:val="0"/>
            <w:vAlign w:val="top"/>
          </w:tcPr>
          <w:p w14:paraId="6A1B316A">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《中华人民共和国生态环境法典》第二百四十七条  国务院生态环境主管部门会同国务院卫生健康主管部门，根据大气污染物对公众健康、生态环境的危害和影响程度，制定公布有毒有害大气污染物名录并适时更新，实行风险管理。</w:t>
            </w:r>
          </w:p>
          <w:p w14:paraId="3861D311">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排放前款规定名录中所列有毒有害大气污染物的企业事业单位，应当按照国家规定建设环境风险预警体系，对排污口和周边环境进行定期监测，评估环境风险，排查环境安全隐患，并采取有效措施防范环境风险。</w:t>
            </w:r>
          </w:p>
        </w:tc>
      </w:tr>
      <w:tr w14:paraId="3B597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7" w:type="dxa"/>
            <w:noWrap w:val="0"/>
            <w:vAlign w:val="center"/>
          </w:tcPr>
          <w:p w14:paraId="189A497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7151" w:type="dxa"/>
            <w:gridSpan w:val="2"/>
            <w:noWrap w:val="0"/>
            <w:vAlign w:val="top"/>
          </w:tcPr>
          <w:p w14:paraId="1CADE780">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《中华人民共和国生态环境法典》第一千一百三十条</w:t>
            </w:r>
            <w:r>
              <w:rPr>
                <w:rFonts w:hint="eastAsia" w:ascii="宋体" w:hAnsi="宋体" w:eastAsia="宋体" w:cs="宋体"/>
                <w:color w:val="auto"/>
                <w:sz w:val="21"/>
                <w:szCs w:val="21"/>
                <w:highlight w:val="none"/>
                <w:lang w:val="en-US" w:eastAsia="zh-CN"/>
              </w:rPr>
              <w:t>第六项</w:t>
            </w:r>
            <w:r>
              <w:rPr>
                <w:rFonts w:hint="eastAsia" w:ascii="宋体" w:hAnsi="宋体" w:eastAsia="宋体" w:cs="宋体"/>
                <w:color w:val="auto"/>
                <w:sz w:val="21"/>
                <w:szCs w:val="21"/>
                <w:highlight w:val="none"/>
              </w:rPr>
              <w:t xml:space="preserve">  违反本法规定，有下列情形之一的，由生态环境等部门按照职责分工责令改正，处一万元以上十万元以下的罚款；拒不改正的，责令停工整治或者停业整治：</w:t>
            </w:r>
          </w:p>
          <w:p w14:paraId="693D92DC">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（六）排放有毒有害大气污染物名录中所列有毒有害大气污染物的企业事业单位，未建设环境风险预警体系、排查环境安全隐患并采取有效措施防范环境风险；</w:t>
            </w:r>
          </w:p>
        </w:tc>
      </w:tr>
      <w:tr w14:paraId="3C350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7" w:type="dxa"/>
            <w:noWrap w:val="0"/>
            <w:vAlign w:val="center"/>
          </w:tcPr>
          <w:p w14:paraId="737CA8C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526" w:type="dxa"/>
            <w:noWrap w:val="0"/>
            <w:vAlign w:val="top"/>
          </w:tcPr>
          <w:p w14:paraId="591FF23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625" w:type="dxa"/>
            <w:noWrap w:val="0"/>
            <w:vAlign w:val="top"/>
          </w:tcPr>
          <w:p w14:paraId="62A3B7E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552BE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7" w:type="dxa"/>
            <w:vMerge w:val="restart"/>
            <w:noWrap w:val="0"/>
            <w:vAlign w:val="center"/>
          </w:tcPr>
          <w:p w14:paraId="1A48F0D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违法事实</w:t>
            </w:r>
          </w:p>
        </w:tc>
        <w:tc>
          <w:tcPr>
            <w:tcW w:w="5526" w:type="dxa"/>
            <w:noWrap w:val="0"/>
            <w:vAlign w:val="center"/>
          </w:tcPr>
          <w:p w14:paraId="7B3EFF02">
            <w:pPr>
              <w:keepNext w:val="0"/>
              <w:keepLines w:val="0"/>
              <w:pageBreakBefore w:val="0"/>
              <w:widowControl w:val="0"/>
              <w:kinsoku/>
              <w:wordWrap/>
              <w:overflowPunct/>
              <w:topLinePunct w:val="0"/>
              <w:autoSpaceDE/>
              <w:autoSpaceDN/>
              <w:bidi w:val="0"/>
              <w:adjustRightInd w:val="0"/>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未按照规定建设环境风险预警体系</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但排查环境安全隐患并采取了有效措施防范环境风险</w:t>
            </w:r>
          </w:p>
        </w:tc>
        <w:tc>
          <w:tcPr>
            <w:tcW w:w="1625" w:type="dxa"/>
            <w:noWrap w:val="0"/>
            <w:vAlign w:val="center"/>
          </w:tcPr>
          <w:p w14:paraId="68A8460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0B340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7" w:type="dxa"/>
            <w:vMerge w:val="continue"/>
            <w:noWrap w:val="0"/>
            <w:vAlign w:val="center"/>
          </w:tcPr>
          <w:p w14:paraId="6E0D096F">
            <w:pPr>
              <w:jc w:val="center"/>
              <w:rPr>
                <w:rFonts w:hint="eastAsia" w:ascii="宋体" w:hAnsi="宋体" w:eastAsia="宋体" w:cs="宋体"/>
                <w:color w:val="auto"/>
                <w:sz w:val="21"/>
                <w:szCs w:val="21"/>
                <w:highlight w:val="none"/>
              </w:rPr>
            </w:pPr>
          </w:p>
        </w:tc>
        <w:tc>
          <w:tcPr>
            <w:tcW w:w="5526" w:type="dxa"/>
            <w:noWrap w:val="0"/>
            <w:vAlign w:val="center"/>
          </w:tcPr>
          <w:p w14:paraId="6F3CF975">
            <w:pPr>
              <w:keepNext w:val="0"/>
              <w:keepLines w:val="0"/>
              <w:pageBreakBefore w:val="0"/>
              <w:widowControl w:val="0"/>
              <w:kinsoku/>
              <w:wordWrap/>
              <w:overflowPunct/>
              <w:topLinePunct w:val="0"/>
              <w:autoSpaceDE/>
              <w:autoSpaceDN/>
              <w:bidi w:val="0"/>
              <w:adjustRightInd w:val="0"/>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按照规定建设环境风险预警体系</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但未排查环境安全隐患并采取了有效措施防范环境风险</w:t>
            </w:r>
          </w:p>
        </w:tc>
        <w:tc>
          <w:tcPr>
            <w:tcW w:w="1625" w:type="dxa"/>
            <w:noWrap w:val="0"/>
            <w:vAlign w:val="center"/>
          </w:tcPr>
          <w:p w14:paraId="1DD039D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2B855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7" w:type="dxa"/>
            <w:vMerge w:val="continue"/>
            <w:noWrap w:val="0"/>
            <w:vAlign w:val="center"/>
          </w:tcPr>
          <w:p w14:paraId="0E955CB4">
            <w:pPr>
              <w:jc w:val="center"/>
              <w:rPr>
                <w:rFonts w:hint="eastAsia" w:ascii="宋体" w:hAnsi="宋体" w:eastAsia="宋体" w:cs="宋体"/>
                <w:color w:val="auto"/>
                <w:sz w:val="21"/>
                <w:szCs w:val="21"/>
                <w:highlight w:val="none"/>
              </w:rPr>
            </w:pPr>
          </w:p>
        </w:tc>
        <w:tc>
          <w:tcPr>
            <w:tcW w:w="5526" w:type="dxa"/>
            <w:noWrap w:val="0"/>
            <w:vAlign w:val="center"/>
          </w:tcPr>
          <w:p w14:paraId="5E63E7EA">
            <w:pPr>
              <w:keepNext w:val="0"/>
              <w:keepLines w:val="0"/>
              <w:pageBreakBefore w:val="0"/>
              <w:widowControl w:val="0"/>
              <w:kinsoku/>
              <w:wordWrap/>
              <w:overflowPunct/>
              <w:topLinePunct w:val="0"/>
              <w:autoSpaceDE/>
              <w:autoSpaceDN/>
              <w:bidi w:val="0"/>
              <w:adjustRightInd w:val="0"/>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按照规定建设环境风险预警体系</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但未排查环境安全隐患</w:t>
            </w:r>
            <w:r>
              <w:rPr>
                <w:rFonts w:hint="eastAsia" w:ascii="宋体" w:hAnsi="宋体" w:eastAsia="宋体" w:cs="宋体"/>
                <w:color w:val="auto"/>
                <w:sz w:val="21"/>
                <w:szCs w:val="21"/>
                <w:highlight w:val="none"/>
                <w:lang w:val="en-US" w:eastAsia="zh-CN"/>
              </w:rPr>
              <w:t>且未</w:t>
            </w:r>
            <w:r>
              <w:rPr>
                <w:rFonts w:hint="eastAsia" w:ascii="宋体" w:hAnsi="宋体" w:eastAsia="宋体" w:cs="宋体"/>
                <w:color w:val="auto"/>
                <w:sz w:val="21"/>
                <w:szCs w:val="21"/>
                <w:highlight w:val="none"/>
              </w:rPr>
              <w:t>采取有效措施防范环境风险</w:t>
            </w:r>
          </w:p>
        </w:tc>
        <w:tc>
          <w:tcPr>
            <w:tcW w:w="1625" w:type="dxa"/>
            <w:noWrap w:val="0"/>
            <w:vAlign w:val="center"/>
          </w:tcPr>
          <w:p w14:paraId="5A9787C4">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r>
      <w:tr w14:paraId="44950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7" w:type="dxa"/>
            <w:vMerge w:val="continue"/>
            <w:noWrap w:val="0"/>
            <w:vAlign w:val="center"/>
          </w:tcPr>
          <w:p w14:paraId="04A6BB1C">
            <w:pPr>
              <w:jc w:val="center"/>
              <w:rPr>
                <w:rFonts w:hint="eastAsia" w:ascii="宋体" w:hAnsi="宋体" w:eastAsia="宋体" w:cs="宋体"/>
                <w:color w:val="auto"/>
                <w:sz w:val="21"/>
                <w:szCs w:val="21"/>
                <w:highlight w:val="none"/>
              </w:rPr>
            </w:pPr>
          </w:p>
        </w:tc>
        <w:tc>
          <w:tcPr>
            <w:tcW w:w="5526" w:type="dxa"/>
            <w:noWrap w:val="0"/>
            <w:vAlign w:val="center"/>
          </w:tcPr>
          <w:p w14:paraId="70EF5447">
            <w:pPr>
              <w:keepNext w:val="0"/>
              <w:keepLines w:val="0"/>
              <w:pageBreakBefore w:val="0"/>
              <w:widowControl w:val="0"/>
              <w:kinsoku/>
              <w:wordWrap/>
              <w:overflowPunct/>
              <w:topLinePunct w:val="0"/>
              <w:autoSpaceDE/>
              <w:autoSpaceDN/>
              <w:bidi w:val="0"/>
              <w:adjustRightInd w:val="0"/>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未</w:t>
            </w:r>
            <w:r>
              <w:rPr>
                <w:rFonts w:hint="eastAsia" w:ascii="宋体" w:hAnsi="宋体" w:eastAsia="宋体" w:cs="宋体"/>
                <w:color w:val="auto"/>
                <w:sz w:val="21"/>
                <w:szCs w:val="21"/>
                <w:highlight w:val="none"/>
                <w:lang w:val="en-US" w:eastAsia="zh-CN"/>
              </w:rPr>
              <w:t>按照规定</w:t>
            </w:r>
            <w:r>
              <w:rPr>
                <w:rFonts w:hint="eastAsia" w:ascii="宋体" w:hAnsi="宋体" w:eastAsia="宋体" w:cs="宋体"/>
                <w:color w:val="auto"/>
                <w:sz w:val="21"/>
                <w:szCs w:val="21"/>
                <w:highlight w:val="none"/>
              </w:rPr>
              <w:t>建设环境风险预警体系</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但未排查环境安全隐患</w:t>
            </w:r>
            <w:r>
              <w:rPr>
                <w:rFonts w:hint="eastAsia" w:ascii="宋体" w:hAnsi="宋体" w:eastAsia="宋体" w:cs="宋体"/>
                <w:color w:val="auto"/>
                <w:sz w:val="21"/>
                <w:szCs w:val="21"/>
                <w:highlight w:val="none"/>
                <w:lang w:val="en-US" w:eastAsia="zh-CN"/>
              </w:rPr>
              <w:t>且未</w:t>
            </w:r>
            <w:r>
              <w:rPr>
                <w:rFonts w:hint="eastAsia" w:ascii="宋体" w:hAnsi="宋体" w:eastAsia="宋体" w:cs="宋体"/>
                <w:color w:val="auto"/>
                <w:sz w:val="21"/>
                <w:szCs w:val="21"/>
                <w:highlight w:val="none"/>
              </w:rPr>
              <w:t>采取有效措施防范环境风险</w:t>
            </w:r>
          </w:p>
        </w:tc>
        <w:tc>
          <w:tcPr>
            <w:tcW w:w="1625" w:type="dxa"/>
            <w:noWrap w:val="0"/>
            <w:vAlign w:val="center"/>
          </w:tcPr>
          <w:p w14:paraId="1AD4052D">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5</w:t>
            </w:r>
          </w:p>
        </w:tc>
      </w:tr>
      <w:tr w14:paraId="70D35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7" w:type="dxa"/>
            <w:vMerge w:val="restart"/>
            <w:noWrap w:val="0"/>
            <w:vAlign w:val="center"/>
          </w:tcPr>
          <w:p w14:paraId="21C5759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有毒有害大气污染物种类</w:t>
            </w:r>
          </w:p>
        </w:tc>
        <w:tc>
          <w:tcPr>
            <w:tcW w:w="5526" w:type="dxa"/>
            <w:noWrap w:val="0"/>
            <w:vAlign w:val="top"/>
          </w:tcPr>
          <w:p w14:paraId="405F4953">
            <w:pPr>
              <w:keepNext w:val="0"/>
              <w:keepLines w:val="0"/>
              <w:pageBreakBefore w:val="0"/>
              <w:widowControl w:val="0"/>
              <w:kinsoku/>
              <w:wordWrap/>
              <w:overflowPunct/>
              <w:topLinePunct w:val="0"/>
              <w:autoSpaceDE/>
              <w:autoSpaceDN/>
              <w:bidi w:val="0"/>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1种</w:t>
            </w:r>
          </w:p>
        </w:tc>
        <w:tc>
          <w:tcPr>
            <w:tcW w:w="1625" w:type="dxa"/>
            <w:noWrap w:val="0"/>
            <w:vAlign w:val="top"/>
          </w:tcPr>
          <w:p w14:paraId="6571B1D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4FBBE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7" w:type="dxa"/>
            <w:vMerge w:val="continue"/>
            <w:noWrap w:val="0"/>
            <w:vAlign w:val="center"/>
          </w:tcPr>
          <w:p w14:paraId="27F8AA2A">
            <w:pPr>
              <w:jc w:val="center"/>
              <w:rPr>
                <w:rFonts w:hint="eastAsia" w:ascii="宋体" w:hAnsi="宋体" w:eastAsia="宋体" w:cs="宋体"/>
                <w:color w:val="auto"/>
                <w:sz w:val="21"/>
                <w:szCs w:val="21"/>
                <w:highlight w:val="none"/>
              </w:rPr>
            </w:pPr>
          </w:p>
        </w:tc>
        <w:tc>
          <w:tcPr>
            <w:tcW w:w="5526" w:type="dxa"/>
            <w:noWrap w:val="0"/>
            <w:vAlign w:val="top"/>
          </w:tcPr>
          <w:p w14:paraId="5883F5E5">
            <w:pPr>
              <w:keepNext w:val="0"/>
              <w:keepLines w:val="0"/>
              <w:pageBreakBefore w:val="0"/>
              <w:widowControl w:val="0"/>
              <w:kinsoku/>
              <w:wordWrap/>
              <w:overflowPunct/>
              <w:topLinePunct w:val="0"/>
              <w:autoSpaceDE/>
              <w:autoSpaceDN/>
              <w:bidi w:val="0"/>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2种</w:t>
            </w:r>
          </w:p>
        </w:tc>
        <w:tc>
          <w:tcPr>
            <w:tcW w:w="1625" w:type="dxa"/>
            <w:noWrap w:val="0"/>
            <w:vAlign w:val="top"/>
          </w:tcPr>
          <w:p w14:paraId="431E35B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76585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7" w:type="dxa"/>
            <w:vMerge w:val="continue"/>
            <w:noWrap w:val="0"/>
            <w:vAlign w:val="center"/>
          </w:tcPr>
          <w:p w14:paraId="2E7AB104">
            <w:pPr>
              <w:jc w:val="center"/>
              <w:rPr>
                <w:rFonts w:hint="eastAsia" w:ascii="宋体" w:hAnsi="宋体" w:eastAsia="宋体" w:cs="宋体"/>
                <w:color w:val="auto"/>
                <w:sz w:val="21"/>
                <w:szCs w:val="21"/>
                <w:highlight w:val="none"/>
              </w:rPr>
            </w:pPr>
          </w:p>
        </w:tc>
        <w:tc>
          <w:tcPr>
            <w:tcW w:w="5526" w:type="dxa"/>
            <w:noWrap w:val="0"/>
            <w:vAlign w:val="top"/>
          </w:tcPr>
          <w:p w14:paraId="23BB6362">
            <w:pPr>
              <w:keepNext w:val="0"/>
              <w:keepLines w:val="0"/>
              <w:pageBreakBefore w:val="0"/>
              <w:widowControl w:val="0"/>
              <w:kinsoku/>
              <w:wordWrap/>
              <w:overflowPunct/>
              <w:topLinePunct w:val="0"/>
              <w:autoSpaceDE/>
              <w:autoSpaceDN/>
              <w:bidi w:val="0"/>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3种及以上</w:t>
            </w:r>
          </w:p>
        </w:tc>
        <w:tc>
          <w:tcPr>
            <w:tcW w:w="1625" w:type="dxa"/>
            <w:noWrap w:val="0"/>
            <w:vAlign w:val="top"/>
          </w:tcPr>
          <w:p w14:paraId="4517828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2D0FB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7" w:type="dxa"/>
            <w:vMerge w:val="restart"/>
            <w:noWrap w:val="0"/>
            <w:vAlign w:val="center"/>
          </w:tcPr>
          <w:p w14:paraId="01F3EE1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排放去向或区域</w:t>
            </w:r>
          </w:p>
        </w:tc>
        <w:tc>
          <w:tcPr>
            <w:tcW w:w="5526" w:type="dxa"/>
            <w:noWrap w:val="0"/>
            <w:vAlign w:val="top"/>
          </w:tcPr>
          <w:p w14:paraId="33A98E8B">
            <w:pPr>
              <w:keepNext w:val="0"/>
              <w:keepLines w:val="0"/>
              <w:pageBreakBefore w:val="0"/>
              <w:widowControl w:val="0"/>
              <w:kinsoku/>
              <w:wordWrap/>
              <w:overflowPunct/>
              <w:topLinePunct w:val="0"/>
              <w:autoSpaceDE/>
              <w:autoSpaceDN/>
              <w:bidi w:val="0"/>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二类环境空气功能区</w:t>
            </w:r>
            <w:r>
              <w:rPr>
                <w:rFonts w:hint="eastAsia" w:ascii="宋体" w:hAnsi="宋体" w:eastAsia="宋体" w:cs="宋体"/>
                <w:color w:val="auto"/>
                <w:sz w:val="21"/>
                <w:szCs w:val="21"/>
                <w:highlight w:val="none"/>
              </w:rPr>
              <w:t>（工业区和农村地区）</w:t>
            </w:r>
          </w:p>
        </w:tc>
        <w:tc>
          <w:tcPr>
            <w:tcW w:w="1625" w:type="dxa"/>
            <w:noWrap w:val="0"/>
            <w:vAlign w:val="top"/>
          </w:tcPr>
          <w:p w14:paraId="02E5A2B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59D00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7" w:type="dxa"/>
            <w:vMerge w:val="continue"/>
            <w:noWrap w:val="0"/>
            <w:vAlign w:val="center"/>
          </w:tcPr>
          <w:p w14:paraId="7F76D381">
            <w:pPr>
              <w:jc w:val="center"/>
              <w:rPr>
                <w:rFonts w:hint="eastAsia" w:ascii="宋体" w:hAnsi="宋体" w:eastAsia="宋体" w:cs="宋体"/>
                <w:color w:val="auto"/>
                <w:sz w:val="21"/>
                <w:szCs w:val="21"/>
                <w:highlight w:val="none"/>
              </w:rPr>
            </w:pPr>
          </w:p>
        </w:tc>
        <w:tc>
          <w:tcPr>
            <w:tcW w:w="5526" w:type="dxa"/>
            <w:noWrap w:val="0"/>
            <w:vAlign w:val="top"/>
          </w:tcPr>
          <w:p w14:paraId="3E869FFA">
            <w:pPr>
              <w:keepNext w:val="0"/>
              <w:keepLines w:val="0"/>
              <w:pageBreakBefore w:val="0"/>
              <w:widowControl w:val="0"/>
              <w:kinsoku/>
              <w:wordWrap/>
              <w:overflowPunct/>
              <w:topLinePunct w:val="0"/>
              <w:autoSpaceDE/>
              <w:autoSpaceDN/>
              <w:bidi w:val="0"/>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二类环境空气功能区</w:t>
            </w:r>
            <w:r>
              <w:rPr>
                <w:rFonts w:hint="eastAsia" w:ascii="宋体" w:hAnsi="宋体" w:eastAsia="宋体" w:cs="宋体"/>
                <w:color w:val="auto"/>
                <w:sz w:val="21"/>
                <w:szCs w:val="21"/>
                <w:highlight w:val="none"/>
              </w:rPr>
              <w:t>（居民区、商业交通居民混合区、文化区）</w:t>
            </w:r>
          </w:p>
        </w:tc>
        <w:tc>
          <w:tcPr>
            <w:tcW w:w="1625" w:type="dxa"/>
            <w:noWrap w:val="0"/>
            <w:vAlign w:val="center"/>
          </w:tcPr>
          <w:p w14:paraId="1682010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7D7F0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7" w:type="dxa"/>
            <w:vMerge w:val="continue"/>
            <w:noWrap w:val="0"/>
            <w:vAlign w:val="center"/>
          </w:tcPr>
          <w:p w14:paraId="28564C63">
            <w:pPr>
              <w:jc w:val="center"/>
              <w:rPr>
                <w:rFonts w:hint="eastAsia" w:ascii="宋体" w:hAnsi="宋体" w:eastAsia="宋体" w:cs="宋体"/>
                <w:color w:val="auto"/>
                <w:sz w:val="21"/>
                <w:szCs w:val="21"/>
                <w:highlight w:val="none"/>
              </w:rPr>
            </w:pPr>
          </w:p>
        </w:tc>
        <w:tc>
          <w:tcPr>
            <w:tcW w:w="5526" w:type="dxa"/>
            <w:noWrap w:val="0"/>
            <w:vAlign w:val="top"/>
          </w:tcPr>
          <w:p w14:paraId="49EC6222">
            <w:pPr>
              <w:keepNext w:val="0"/>
              <w:keepLines w:val="0"/>
              <w:pageBreakBefore w:val="0"/>
              <w:widowControl w:val="0"/>
              <w:kinsoku/>
              <w:wordWrap/>
              <w:overflowPunct/>
              <w:topLinePunct w:val="0"/>
              <w:autoSpaceDE/>
              <w:autoSpaceDN/>
              <w:bidi w:val="0"/>
              <w:snapToGrid/>
              <w:ind w:firstLine="420" w:firstLineChars="200"/>
              <w:jc w:val="both"/>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一类环境空气功能区</w:t>
            </w:r>
          </w:p>
        </w:tc>
        <w:tc>
          <w:tcPr>
            <w:tcW w:w="1625" w:type="dxa"/>
            <w:noWrap w:val="0"/>
            <w:vAlign w:val="top"/>
          </w:tcPr>
          <w:p w14:paraId="7D47FD2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bl>
    <w:p w14:paraId="78D1158D">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96"/>
        <w:gridCol w:w="5827"/>
        <w:gridCol w:w="1325"/>
      </w:tblGrid>
      <w:tr w14:paraId="271A2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48" w:type="dxa"/>
            <w:gridSpan w:val="3"/>
            <w:noWrap w:val="0"/>
            <w:vAlign w:val="top"/>
          </w:tcPr>
          <w:p w14:paraId="6F3EBEC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四</w:t>
            </w:r>
            <w:r>
              <w:rPr>
                <w:rFonts w:hint="eastAsia" w:ascii="宋体" w:hAnsi="宋体" w:eastAsia="宋体" w:cs="宋体"/>
                <w:color w:val="auto"/>
                <w:sz w:val="21"/>
                <w:szCs w:val="21"/>
                <w:highlight w:val="none"/>
              </w:rPr>
              <w:t>）大气污染防治类</w:t>
            </w:r>
          </w:p>
        </w:tc>
      </w:tr>
      <w:tr w14:paraId="670D4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6" w:type="dxa"/>
            <w:noWrap w:val="0"/>
            <w:vAlign w:val="top"/>
          </w:tcPr>
          <w:p w14:paraId="02D05AC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7152" w:type="dxa"/>
            <w:gridSpan w:val="2"/>
            <w:noWrap w:val="0"/>
            <w:vAlign w:val="top"/>
          </w:tcPr>
          <w:p w14:paraId="3F6241C6">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25</w:t>
            </w:r>
          </w:p>
        </w:tc>
      </w:tr>
      <w:tr w14:paraId="3E7F7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6" w:type="dxa"/>
            <w:noWrap w:val="0"/>
            <w:vAlign w:val="center"/>
          </w:tcPr>
          <w:p w14:paraId="1128928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7152" w:type="dxa"/>
            <w:gridSpan w:val="2"/>
            <w:noWrap w:val="0"/>
            <w:vAlign w:val="center"/>
          </w:tcPr>
          <w:p w14:paraId="53BFC15E">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向大气排放持久性有机污染物的企业事业单位和其他生产经营者以及废弃物焚烧设施的运营单位，未按照国家有关规定采取有利于减少持久性有机污染物排放的技术方法和工艺，配备净化装置的</w:t>
            </w:r>
          </w:p>
        </w:tc>
      </w:tr>
      <w:tr w14:paraId="2F01A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6" w:type="dxa"/>
            <w:noWrap w:val="0"/>
            <w:vAlign w:val="center"/>
          </w:tcPr>
          <w:p w14:paraId="1D93780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7152" w:type="dxa"/>
            <w:gridSpan w:val="2"/>
            <w:noWrap w:val="0"/>
            <w:vAlign w:val="top"/>
          </w:tcPr>
          <w:p w14:paraId="0B476933">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《中华人民共和国生态环境法典》第二百四十八条  向大气排放持久性有机污染物的企业事业单位和其他生产经营者以及废弃物焚烧设施的运营单位，应当按照国家规定，采取有利于减少持久性有机污染物排放的技术方法和工艺，配备有效的净化装置，实现达标排放。</w:t>
            </w:r>
          </w:p>
        </w:tc>
      </w:tr>
      <w:tr w14:paraId="3959F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6" w:type="dxa"/>
            <w:noWrap w:val="0"/>
            <w:vAlign w:val="center"/>
          </w:tcPr>
          <w:p w14:paraId="51543F9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7152" w:type="dxa"/>
            <w:gridSpan w:val="2"/>
            <w:noWrap w:val="0"/>
            <w:vAlign w:val="top"/>
          </w:tcPr>
          <w:p w14:paraId="42455FF7">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《中华人民共和国生态环境法典》第一千一百三十条</w:t>
            </w:r>
            <w:r>
              <w:rPr>
                <w:rFonts w:hint="eastAsia" w:ascii="宋体" w:hAnsi="宋体" w:eastAsia="宋体" w:cs="宋体"/>
                <w:color w:val="auto"/>
                <w:sz w:val="21"/>
                <w:szCs w:val="21"/>
                <w:highlight w:val="none"/>
                <w:lang w:val="en-US" w:eastAsia="zh-CN"/>
              </w:rPr>
              <w:t>第七项</w:t>
            </w:r>
            <w:r>
              <w:rPr>
                <w:rFonts w:hint="eastAsia" w:ascii="宋体" w:hAnsi="宋体" w:eastAsia="宋体" w:cs="宋体"/>
                <w:color w:val="auto"/>
                <w:sz w:val="21"/>
                <w:szCs w:val="21"/>
                <w:highlight w:val="none"/>
              </w:rPr>
              <w:t xml:space="preserve">  违反本法规定，有下列情形之一的，由生态环境等部门按照职责分工责令改正，处一万元以上十万元以下的罚款；拒不改正的，责令停工整治或者停业整治：</w:t>
            </w:r>
          </w:p>
          <w:p w14:paraId="49EBE13A">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（七）向大气排放持久性有机污染物的企业事业单位和其他生产经营者以及废弃物焚烧设施的运营单位，未按照国家有关规定采取有利于减少持久性有机污染物排放的技术方法和工艺，配备净化装置的；</w:t>
            </w:r>
          </w:p>
        </w:tc>
      </w:tr>
      <w:tr w14:paraId="4FE4C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6" w:type="dxa"/>
            <w:noWrap w:val="0"/>
            <w:vAlign w:val="center"/>
          </w:tcPr>
          <w:p w14:paraId="66550AD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827" w:type="dxa"/>
            <w:noWrap w:val="0"/>
            <w:vAlign w:val="top"/>
          </w:tcPr>
          <w:p w14:paraId="41E1936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325" w:type="dxa"/>
            <w:noWrap w:val="0"/>
            <w:vAlign w:val="top"/>
          </w:tcPr>
          <w:p w14:paraId="054C786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207EC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6" w:type="dxa"/>
            <w:vMerge w:val="restart"/>
            <w:noWrap w:val="0"/>
            <w:vAlign w:val="center"/>
          </w:tcPr>
          <w:p w14:paraId="23E96512">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违法事实</w:t>
            </w:r>
          </w:p>
        </w:tc>
        <w:tc>
          <w:tcPr>
            <w:tcW w:w="5827" w:type="dxa"/>
            <w:noWrap w:val="0"/>
            <w:vAlign w:val="center"/>
          </w:tcPr>
          <w:p w14:paraId="44A186EC">
            <w:pPr>
              <w:keepNext w:val="0"/>
              <w:keepLines w:val="0"/>
              <w:pageBreakBefore w:val="0"/>
              <w:widowControl w:val="0"/>
              <w:kinsoku/>
              <w:wordWrap/>
              <w:overflowPunct/>
              <w:topLinePunct w:val="0"/>
              <w:autoSpaceDE/>
              <w:autoSpaceDN/>
              <w:bidi w:val="0"/>
              <w:snapToGrid/>
              <w:ind w:firstLine="420" w:firstLineChars="20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未</w:t>
            </w:r>
            <w:r>
              <w:rPr>
                <w:rFonts w:hint="eastAsia" w:ascii="宋体" w:hAnsi="宋体" w:eastAsia="宋体" w:cs="宋体"/>
                <w:color w:val="auto"/>
                <w:sz w:val="21"/>
                <w:szCs w:val="21"/>
                <w:highlight w:val="none"/>
                <w:lang w:eastAsia="zh-CN"/>
              </w:rPr>
              <w:t>采取有利于减少持久性有机污染物排放的技术方法和工艺，</w:t>
            </w:r>
            <w:r>
              <w:rPr>
                <w:rFonts w:hint="eastAsia" w:ascii="宋体" w:hAnsi="宋体" w:eastAsia="宋体" w:cs="宋体"/>
                <w:color w:val="auto"/>
                <w:sz w:val="21"/>
                <w:szCs w:val="21"/>
                <w:highlight w:val="none"/>
                <w:lang w:val="en-US" w:eastAsia="zh-CN"/>
              </w:rPr>
              <w:t>或者未</w:t>
            </w:r>
            <w:r>
              <w:rPr>
                <w:rFonts w:hint="eastAsia" w:ascii="宋体" w:hAnsi="宋体" w:eastAsia="宋体" w:cs="宋体"/>
                <w:color w:val="auto"/>
                <w:sz w:val="21"/>
                <w:szCs w:val="21"/>
                <w:highlight w:val="none"/>
                <w:lang w:eastAsia="zh-CN"/>
              </w:rPr>
              <w:t>配备净化装置</w:t>
            </w:r>
          </w:p>
        </w:tc>
        <w:tc>
          <w:tcPr>
            <w:tcW w:w="1325" w:type="dxa"/>
            <w:noWrap w:val="0"/>
            <w:vAlign w:val="center"/>
          </w:tcPr>
          <w:p w14:paraId="68A90193">
            <w:pPr>
              <w:keepNext w:val="0"/>
              <w:keepLines w:val="0"/>
              <w:pageBreakBefore w:val="0"/>
              <w:shd w:val="clear" w:color="auto" w:fill="auto"/>
              <w:kinsoku/>
              <w:wordWrap/>
              <w:overflowPunct/>
              <w:topLinePunct w:val="0"/>
              <w:autoSpaceDE w:val="0"/>
              <w:autoSpaceDN w:val="0"/>
              <w:bidi w:val="0"/>
              <w:spacing w:line="300" w:lineRule="exact"/>
              <w:ind w:left="0" w:leftChars="0" w:right="0" w:rightChars="0" w:firstLine="0" w:firstLineChars="0"/>
              <w:jc w:val="center"/>
              <w:textAlignment w:val="center"/>
              <w:rPr>
                <w:rFonts w:hint="eastAsia" w:ascii="宋体" w:hAnsi="宋体" w:eastAsia="宋体" w:cs="宋体"/>
                <w:color w:val="auto"/>
                <w:sz w:val="21"/>
                <w:szCs w:val="21"/>
                <w:highlight w:val="none"/>
                <w:lang w:val="en-US" w:eastAsia="zh-CN" w:bidi="ar"/>
              </w:rPr>
            </w:pPr>
            <w:r>
              <w:rPr>
                <w:rFonts w:hint="eastAsia" w:ascii="宋体" w:hAnsi="宋体" w:eastAsia="宋体" w:cs="宋体"/>
                <w:color w:val="auto"/>
                <w:sz w:val="21"/>
                <w:szCs w:val="21"/>
                <w:highlight w:val="none"/>
                <w:lang w:val="en-US" w:eastAsia="zh-CN" w:bidi="ar"/>
              </w:rPr>
              <w:t>3</w:t>
            </w:r>
          </w:p>
        </w:tc>
      </w:tr>
      <w:tr w14:paraId="45305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6" w:type="dxa"/>
            <w:vMerge w:val="continue"/>
            <w:noWrap w:val="0"/>
            <w:vAlign w:val="top"/>
          </w:tcPr>
          <w:p w14:paraId="763F7534">
            <w:pPr>
              <w:rPr>
                <w:rFonts w:hint="eastAsia" w:ascii="宋体" w:hAnsi="宋体" w:eastAsia="宋体" w:cs="宋体"/>
                <w:color w:val="auto"/>
                <w:sz w:val="21"/>
                <w:szCs w:val="21"/>
                <w:highlight w:val="none"/>
              </w:rPr>
            </w:pPr>
          </w:p>
        </w:tc>
        <w:tc>
          <w:tcPr>
            <w:tcW w:w="5827" w:type="dxa"/>
            <w:noWrap w:val="0"/>
            <w:vAlign w:val="center"/>
          </w:tcPr>
          <w:p w14:paraId="7A89E1DB">
            <w:pPr>
              <w:keepNext w:val="0"/>
              <w:keepLines w:val="0"/>
              <w:pageBreakBefore w:val="0"/>
              <w:widowControl w:val="0"/>
              <w:kinsoku/>
              <w:wordWrap/>
              <w:overflowPunct/>
              <w:topLinePunct w:val="0"/>
              <w:autoSpaceDE/>
              <w:autoSpaceDN/>
              <w:bidi w:val="0"/>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未采取有利于减少持久性有机污染物排放的技术方法和工艺，</w:t>
            </w:r>
            <w:r>
              <w:rPr>
                <w:rFonts w:hint="eastAsia" w:ascii="宋体" w:hAnsi="宋体" w:eastAsia="宋体" w:cs="宋体"/>
                <w:color w:val="auto"/>
                <w:sz w:val="21"/>
                <w:szCs w:val="21"/>
                <w:highlight w:val="none"/>
                <w:lang w:val="en-US" w:eastAsia="zh-CN"/>
              </w:rPr>
              <w:t>且</w:t>
            </w:r>
            <w:r>
              <w:rPr>
                <w:rFonts w:hint="eastAsia" w:ascii="宋体" w:hAnsi="宋体" w:eastAsia="宋体" w:cs="宋体"/>
                <w:color w:val="auto"/>
                <w:sz w:val="21"/>
                <w:szCs w:val="21"/>
                <w:highlight w:val="none"/>
                <w:lang w:eastAsia="zh-CN"/>
              </w:rPr>
              <w:t>未配备净化装置的</w:t>
            </w:r>
          </w:p>
        </w:tc>
        <w:tc>
          <w:tcPr>
            <w:tcW w:w="1325" w:type="dxa"/>
            <w:noWrap w:val="0"/>
            <w:vAlign w:val="center"/>
          </w:tcPr>
          <w:p w14:paraId="12AFE5F6">
            <w:pPr>
              <w:keepNext w:val="0"/>
              <w:keepLines w:val="0"/>
              <w:pageBreakBefore w:val="0"/>
              <w:shd w:val="clear" w:color="auto" w:fill="auto"/>
              <w:kinsoku/>
              <w:wordWrap/>
              <w:overflowPunct/>
              <w:topLinePunct w:val="0"/>
              <w:autoSpaceDE w:val="0"/>
              <w:autoSpaceDN w:val="0"/>
              <w:bidi w:val="0"/>
              <w:spacing w:line="300" w:lineRule="exact"/>
              <w:ind w:left="0" w:leftChars="0" w:right="0" w:rightChars="0" w:firstLine="0" w:firstLine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bidi="ar"/>
              </w:rPr>
              <w:t>5</w:t>
            </w:r>
          </w:p>
        </w:tc>
      </w:tr>
      <w:tr w14:paraId="603CC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6" w:type="dxa"/>
            <w:vMerge w:val="restart"/>
            <w:noWrap w:val="0"/>
            <w:vAlign w:val="center"/>
          </w:tcPr>
          <w:p w14:paraId="63BA914A">
            <w:pPr>
              <w:jc w:val="center"/>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排放去向或区域</w:t>
            </w:r>
          </w:p>
        </w:tc>
        <w:tc>
          <w:tcPr>
            <w:tcW w:w="5827" w:type="dxa"/>
            <w:noWrap w:val="0"/>
            <w:vAlign w:val="top"/>
          </w:tcPr>
          <w:p w14:paraId="0729EF8D">
            <w:pPr>
              <w:keepNext w:val="0"/>
              <w:keepLines w:val="0"/>
              <w:pageBreakBefore w:val="0"/>
              <w:widowControl w:val="0"/>
              <w:kinsoku/>
              <w:wordWrap/>
              <w:overflowPunct/>
              <w:topLinePunct w:val="0"/>
              <w:autoSpaceDE/>
              <w:autoSpaceDN/>
              <w:bidi w:val="0"/>
              <w:snapToGrid/>
              <w:ind w:firstLine="420" w:firstLineChars="200"/>
              <w:jc w:val="both"/>
              <w:textAlignment w:val="auto"/>
              <w:rPr>
                <w:rFonts w:hint="eastAsia" w:ascii="宋体" w:hAnsi="宋体" w:eastAsia="宋体" w:cs="宋体"/>
                <w:color w:val="auto"/>
                <w:sz w:val="21"/>
                <w:szCs w:val="21"/>
                <w:highlight w:val="none"/>
                <w:lang w:eastAsia="zh-CN" w:bidi="ar"/>
              </w:rPr>
            </w:pPr>
            <w:r>
              <w:rPr>
                <w:rFonts w:hint="eastAsia" w:ascii="宋体" w:hAnsi="宋体" w:cs="宋体"/>
                <w:color w:val="auto"/>
                <w:sz w:val="21"/>
                <w:szCs w:val="21"/>
                <w:highlight w:val="none"/>
                <w:lang w:eastAsia="zh-CN"/>
              </w:rPr>
              <w:t>二类环境空气功能区</w:t>
            </w:r>
            <w:r>
              <w:rPr>
                <w:rFonts w:hint="eastAsia" w:ascii="宋体" w:hAnsi="宋体" w:eastAsia="宋体" w:cs="宋体"/>
                <w:color w:val="auto"/>
                <w:sz w:val="21"/>
                <w:szCs w:val="21"/>
                <w:highlight w:val="none"/>
              </w:rPr>
              <w:t>（工业区和农村地区）</w:t>
            </w:r>
          </w:p>
        </w:tc>
        <w:tc>
          <w:tcPr>
            <w:tcW w:w="1325" w:type="dxa"/>
            <w:noWrap w:val="0"/>
            <w:vAlign w:val="top"/>
          </w:tcPr>
          <w:p w14:paraId="69842D21">
            <w:pPr>
              <w:jc w:val="center"/>
              <w:rPr>
                <w:rFonts w:hint="eastAsia" w:ascii="宋体" w:hAnsi="宋体" w:eastAsia="宋体" w:cs="宋体"/>
                <w:color w:val="auto"/>
                <w:sz w:val="21"/>
                <w:szCs w:val="21"/>
                <w:highlight w:val="none"/>
                <w:lang w:eastAsia="zh-CN" w:bidi="ar"/>
              </w:rPr>
            </w:pPr>
            <w:r>
              <w:rPr>
                <w:rFonts w:hint="eastAsia" w:ascii="宋体" w:hAnsi="宋体" w:eastAsia="宋体" w:cs="宋体"/>
                <w:color w:val="auto"/>
                <w:sz w:val="21"/>
                <w:szCs w:val="21"/>
                <w:highlight w:val="none"/>
              </w:rPr>
              <w:t>1</w:t>
            </w:r>
          </w:p>
        </w:tc>
      </w:tr>
      <w:tr w14:paraId="37C00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6" w:type="dxa"/>
            <w:vMerge w:val="continue"/>
            <w:noWrap w:val="0"/>
            <w:vAlign w:val="center"/>
          </w:tcPr>
          <w:p w14:paraId="18D47F5A">
            <w:pPr>
              <w:jc w:val="center"/>
              <w:rPr>
                <w:rFonts w:hint="eastAsia" w:ascii="宋体" w:hAnsi="宋体" w:eastAsia="宋体" w:cs="宋体"/>
                <w:color w:val="auto"/>
                <w:sz w:val="21"/>
                <w:szCs w:val="21"/>
                <w:highlight w:val="none"/>
              </w:rPr>
            </w:pPr>
          </w:p>
        </w:tc>
        <w:tc>
          <w:tcPr>
            <w:tcW w:w="5827" w:type="dxa"/>
            <w:noWrap w:val="0"/>
            <w:vAlign w:val="top"/>
          </w:tcPr>
          <w:p w14:paraId="1082D25D">
            <w:pPr>
              <w:keepNext w:val="0"/>
              <w:keepLines w:val="0"/>
              <w:pageBreakBefore w:val="0"/>
              <w:widowControl w:val="0"/>
              <w:kinsoku/>
              <w:wordWrap/>
              <w:overflowPunct/>
              <w:topLinePunct w:val="0"/>
              <w:autoSpaceDE/>
              <w:autoSpaceDN/>
              <w:bidi w:val="0"/>
              <w:snapToGrid/>
              <w:ind w:firstLine="420" w:firstLineChars="200"/>
              <w:jc w:val="both"/>
              <w:textAlignment w:val="auto"/>
              <w:rPr>
                <w:rFonts w:hint="eastAsia" w:ascii="宋体" w:hAnsi="宋体" w:eastAsia="宋体" w:cs="宋体"/>
                <w:color w:val="auto"/>
                <w:sz w:val="21"/>
                <w:szCs w:val="21"/>
                <w:highlight w:val="none"/>
                <w:lang w:eastAsia="zh-CN" w:bidi="ar"/>
              </w:rPr>
            </w:pPr>
            <w:r>
              <w:rPr>
                <w:rFonts w:hint="eastAsia" w:ascii="宋体" w:hAnsi="宋体" w:cs="宋体"/>
                <w:color w:val="auto"/>
                <w:sz w:val="21"/>
                <w:szCs w:val="21"/>
                <w:highlight w:val="none"/>
                <w:lang w:eastAsia="zh-CN"/>
              </w:rPr>
              <w:t>二类环境空气功能区</w:t>
            </w:r>
            <w:r>
              <w:rPr>
                <w:rFonts w:hint="eastAsia" w:ascii="宋体" w:hAnsi="宋体" w:eastAsia="宋体" w:cs="宋体"/>
                <w:color w:val="auto"/>
                <w:sz w:val="21"/>
                <w:szCs w:val="21"/>
                <w:highlight w:val="none"/>
              </w:rPr>
              <w:t>（居民区、商业交通居民混合区、文化区）</w:t>
            </w:r>
          </w:p>
        </w:tc>
        <w:tc>
          <w:tcPr>
            <w:tcW w:w="1325" w:type="dxa"/>
            <w:noWrap w:val="0"/>
            <w:vAlign w:val="center"/>
          </w:tcPr>
          <w:p w14:paraId="6ABE0683">
            <w:pPr>
              <w:jc w:val="center"/>
              <w:rPr>
                <w:rFonts w:hint="eastAsia" w:ascii="宋体" w:hAnsi="宋体" w:eastAsia="宋体" w:cs="宋体"/>
                <w:color w:val="auto"/>
                <w:sz w:val="21"/>
                <w:szCs w:val="21"/>
                <w:highlight w:val="none"/>
                <w:lang w:eastAsia="zh-CN" w:bidi="ar"/>
              </w:rPr>
            </w:pPr>
            <w:r>
              <w:rPr>
                <w:rFonts w:hint="eastAsia" w:ascii="宋体" w:hAnsi="宋体" w:eastAsia="宋体" w:cs="宋体"/>
                <w:color w:val="auto"/>
                <w:sz w:val="21"/>
                <w:szCs w:val="21"/>
                <w:highlight w:val="none"/>
              </w:rPr>
              <w:t>3</w:t>
            </w:r>
          </w:p>
        </w:tc>
      </w:tr>
      <w:tr w14:paraId="532BF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6" w:type="dxa"/>
            <w:vMerge w:val="continue"/>
            <w:noWrap w:val="0"/>
            <w:vAlign w:val="center"/>
          </w:tcPr>
          <w:p w14:paraId="5688CF7F">
            <w:pPr>
              <w:jc w:val="center"/>
              <w:rPr>
                <w:rFonts w:hint="eastAsia" w:ascii="宋体" w:hAnsi="宋体" w:eastAsia="宋体" w:cs="宋体"/>
                <w:color w:val="auto"/>
                <w:sz w:val="21"/>
                <w:szCs w:val="21"/>
                <w:highlight w:val="none"/>
              </w:rPr>
            </w:pPr>
          </w:p>
        </w:tc>
        <w:tc>
          <w:tcPr>
            <w:tcW w:w="5827" w:type="dxa"/>
            <w:noWrap w:val="0"/>
            <w:vAlign w:val="top"/>
          </w:tcPr>
          <w:p w14:paraId="5787CDA4">
            <w:pPr>
              <w:keepNext w:val="0"/>
              <w:keepLines w:val="0"/>
              <w:pageBreakBefore w:val="0"/>
              <w:widowControl w:val="0"/>
              <w:kinsoku/>
              <w:wordWrap/>
              <w:overflowPunct/>
              <w:topLinePunct w:val="0"/>
              <w:autoSpaceDE/>
              <w:autoSpaceDN/>
              <w:bidi w:val="0"/>
              <w:snapToGrid/>
              <w:ind w:firstLine="420" w:firstLineChars="200"/>
              <w:jc w:val="both"/>
              <w:textAlignment w:val="auto"/>
              <w:rPr>
                <w:rFonts w:hint="eastAsia" w:ascii="宋体" w:hAnsi="宋体" w:eastAsia="宋体" w:cs="宋体"/>
                <w:color w:val="auto"/>
                <w:sz w:val="21"/>
                <w:szCs w:val="21"/>
                <w:highlight w:val="none"/>
                <w:lang w:eastAsia="zh-CN" w:bidi="ar"/>
              </w:rPr>
            </w:pPr>
            <w:r>
              <w:rPr>
                <w:rFonts w:hint="eastAsia" w:ascii="宋体" w:hAnsi="宋体" w:cs="宋体"/>
                <w:color w:val="auto"/>
                <w:sz w:val="21"/>
                <w:szCs w:val="21"/>
                <w:highlight w:val="none"/>
                <w:lang w:eastAsia="zh-CN"/>
              </w:rPr>
              <w:t>一类环境空气功能区</w:t>
            </w:r>
          </w:p>
        </w:tc>
        <w:tc>
          <w:tcPr>
            <w:tcW w:w="1325" w:type="dxa"/>
            <w:noWrap w:val="0"/>
            <w:vAlign w:val="top"/>
          </w:tcPr>
          <w:p w14:paraId="0B6A486C">
            <w:pPr>
              <w:jc w:val="center"/>
              <w:rPr>
                <w:rFonts w:hint="eastAsia" w:ascii="宋体" w:hAnsi="宋体" w:eastAsia="宋体" w:cs="宋体"/>
                <w:color w:val="auto"/>
                <w:sz w:val="21"/>
                <w:szCs w:val="21"/>
                <w:highlight w:val="none"/>
                <w:lang w:eastAsia="zh-CN" w:bidi="ar"/>
              </w:rPr>
            </w:pPr>
            <w:r>
              <w:rPr>
                <w:rFonts w:hint="eastAsia" w:ascii="宋体" w:hAnsi="宋体" w:eastAsia="宋体" w:cs="宋体"/>
                <w:color w:val="auto"/>
                <w:sz w:val="21"/>
                <w:szCs w:val="21"/>
                <w:highlight w:val="none"/>
              </w:rPr>
              <w:t>5</w:t>
            </w:r>
          </w:p>
        </w:tc>
      </w:tr>
    </w:tbl>
    <w:p w14:paraId="4646B9B3">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96"/>
        <w:gridCol w:w="5829"/>
        <w:gridCol w:w="1323"/>
      </w:tblGrid>
      <w:tr w14:paraId="5F4B3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48" w:type="dxa"/>
            <w:gridSpan w:val="3"/>
            <w:noWrap w:val="0"/>
            <w:vAlign w:val="top"/>
          </w:tcPr>
          <w:p w14:paraId="698A721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四</w:t>
            </w:r>
            <w:r>
              <w:rPr>
                <w:rFonts w:hint="eastAsia" w:ascii="宋体" w:hAnsi="宋体" w:eastAsia="宋体" w:cs="宋体"/>
                <w:color w:val="auto"/>
                <w:sz w:val="21"/>
                <w:szCs w:val="21"/>
                <w:highlight w:val="none"/>
              </w:rPr>
              <w:t>）大气污染防治类</w:t>
            </w:r>
          </w:p>
        </w:tc>
      </w:tr>
      <w:tr w14:paraId="03A30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6" w:type="dxa"/>
            <w:noWrap w:val="0"/>
            <w:vAlign w:val="top"/>
          </w:tcPr>
          <w:p w14:paraId="4A54580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7152" w:type="dxa"/>
            <w:gridSpan w:val="2"/>
            <w:noWrap w:val="0"/>
            <w:vAlign w:val="top"/>
          </w:tcPr>
          <w:p w14:paraId="747C80BC">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26</w:t>
            </w:r>
          </w:p>
        </w:tc>
      </w:tr>
      <w:tr w14:paraId="65E77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6" w:type="dxa"/>
            <w:noWrap w:val="0"/>
            <w:vAlign w:val="top"/>
          </w:tcPr>
          <w:p w14:paraId="3DE3735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7152" w:type="dxa"/>
            <w:gridSpan w:val="2"/>
            <w:noWrap w:val="0"/>
            <w:vAlign w:val="top"/>
          </w:tcPr>
          <w:p w14:paraId="7B6BC4CF">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未采取措施防止排放恶臭气体的</w:t>
            </w:r>
          </w:p>
        </w:tc>
      </w:tr>
      <w:tr w14:paraId="53A49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6" w:type="dxa"/>
            <w:noWrap w:val="0"/>
            <w:vAlign w:val="center"/>
          </w:tcPr>
          <w:p w14:paraId="23D235A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7152" w:type="dxa"/>
            <w:gridSpan w:val="2"/>
            <w:noWrap w:val="0"/>
            <w:vAlign w:val="center"/>
          </w:tcPr>
          <w:p w14:paraId="7923FEF4">
            <w:pPr>
              <w:adjustRightInd w:val="0"/>
              <w:snapToGri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《中华人民共和国生态环境法典》第二百四十九条</w:t>
            </w:r>
            <w:r>
              <w:rPr>
                <w:rFonts w:hint="eastAsia" w:ascii="宋体" w:hAnsi="宋体" w:eastAsia="宋体" w:cs="宋体"/>
                <w:color w:val="auto"/>
                <w:sz w:val="21"/>
                <w:szCs w:val="21"/>
                <w:highlight w:val="none"/>
                <w:lang w:val="en-US" w:eastAsia="zh-CN"/>
              </w:rPr>
              <w:t>第二款</w:t>
            </w:r>
            <w:r>
              <w:rPr>
                <w:rFonts w:hint="eastAsia" w:ascii="宋体" w:hAnsi="宋体" w:eastAsia="宋体" w:cs="宋体"/>
                <w:color w:val="auto"/>
                <w:sz w:val="21"/>
                <w:szCs w:val="21"/>
                <w:highlight w:val="none"/>
              </w:rPr>
              <w:t xml:space="preserve">  企业事业单位和其他生产经营者在生产经营活动中产生恶臭气体的，应当科学选址，设置合理的防护距离，并安装净化装置或者采取其他有效措施，防止排放恶臭气体。</w:t>
            </w:r>
          </w:p>
        </w:tc>
      </w:tr>
      <w:tr w14:paraId="291C3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6" w:type="dxa"/>
            <w:noWrap w:val="0"/>
            <w:vAlign w:val="center"/>
          </w:tcPr>
          <w:p w14:paraId="0282BB6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7152" w:type="dxa"/>
            <w:gridSpan w:val="2"/>
            <w:noWrap w:val="0"/>
            <w:vAlign w:val="top"/>
          </w:tcPr>
          <w:p w14:paraId="28142CF9">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《中华人民共和国生态环境法典》第一千一百三十条</w:t>
            </w:r>
            <w:r>
              <w:rPr>
                <w:rFonts w:hint="eastAsia" w:ascii="宋体" w:hAnsi="宋体" w:eastAsia="宋体" w:cs="宋体"/>
                <w:color w:val="auto"/>
                <w:sz w:val="21"/>
                <w:szCs w:val="21"/>
                <w:highlight w:val="none"/>
                <w:lang w:val="en-US" w:eastAsia="zh-CN"/>
              </w:rPr>
              <w:t>第八项</w:t>
            </w:r>
            <w:r>
              <w:rPr>
                <w:rFonts w:hint="eastAsia" w:ascii="宋体" w:hAnsi="宋体" w:eastAsia="宋体" w:cs="宋体"/>
                <w:color w:val="auto"/>
                <w:sz w:val="21"/>
                <w:szCs w:val="21"/>
                <w:highlight w:val="none"/>
              </w:rPr>
              <w:t xml:space="preserve">  违反本法规定，有下列情形之一的，由生态环境等部门按照职责分工责令改正，处一万元以上十万元以下的罚款；拒不改正的，责令停工整治或者停业整治：</w:t>
            </w:r>
          </w:p>
          <w:p w14:paraId="58F0D533">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（八）未采取措施防止排放恶臭气体的。</w:t>
            </w:r>
          </w:p>
        </w:tc>
      </w:tr>
      <w:tr w14:paraId="5A80A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6" w:type="dxa"/>
            <w:noWrap w:val="0"/>
            <w:vAlign w:val="center"/>
          </w:tcPr>
          <w:p w14:paraId="07BA067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829" w:type="dxa"/>
            <w:noWrap w:val="0"/>
            <w:vAlign w:val="top"/>
          </w:tcPr>
          <w:p w14:paraId="0404D86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323" w:type="dxa"/>
            <w:noWrap w:val="0"/>
            <w:vAlign w:val="top"/>
          </w:tcPr>
          <w:p w14:paraId="2692FAC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13FB0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6" w:type="dxa"/>
            <w:vMerge w:val="restart"/>
            <w:noWrap w:val="0"/>
            <w:vAlign w:val="center"/>
          </w:tcPr>
          <w:p w14:paraId="2756FBD0">
            <w:pPr>
              <w:jc w:val="center"/>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违法行为地点</w:t>
            </w:r>
          </w:p>
        </w:tc>
        <w:tc>
          <w:tcPr>
            <w:tcW w:w="5829" w:type="dxa"/>
            <w:noWrap w:val="0"/>
            <w:vAlign w:val="top"/>
          </w:tcPr>
          <w:p w14:paraId="35DD1CF8">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二类环境空气功能区</w:t>
            </w:r>
            <w:r>
              <w:rPr>
                <w:rFonts w:hint="eastAsia" w:ascii="宋体" w:hAnsi="宋体" w:eastAsia="宋体" w:cs="宋体"/>
                <w:color w:val="auto"/>
                <w:sz w:val="21"/>
                <w:szCs w:val="21"/>
                <w:highlight w:val="none"/>
              </w:rPr>
              <w:t>（工业区和农村地区）</w:t>
            </w:r>
          </w:p>
        </w:tc>
        <w:tc>
          <w:tcPr>
            <w:tcW w:w="1323" w:type="dxa"/>
            <w:noWrap w:val="0"/>
            <w:vAlign w:val="top"/>
          </w:tcPr>
          <w:p w14:paraId="5CFDD0A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7FA7F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6" w:type="dxa"/>
            <w:vMerge w:val="continue"/>
            <w:noWrap w:val="0"/>
            <w:vAlign w:val="top"/>
          </w:tcPr>
          <w:p w14:paraId="02A690DF">
            <w:pPr>
              <w:rPr>
                <w:rFonts w:hint="eastAsia" w:ascii="宋体" w:hAnsi="宋体" w:eastAsia="宋体" w:cs="宋体"/>
                <w:color w:val="auto"/>
                <w:sz w:val="21"/>
                <w:szCs w:val="21"/>
                <w:highlight w:val="none"/>
              </w:rPr>
            </w:pPr>
          </w:p>
        </w:tc>
        <w:tc>
          <w:tcPr>
            <w:tcW w:w="5829" w:type="dxa"/>
            <w:noWrap w:val="0"/>
            <w:vAlign w:val="top"/>
          </w:tcPr>
          <w:p w14:paraId="663E942B">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二类环境空气功能区</w:t>
            </w:r>
            <w:r>
              <w:rPr>
                <w:rFonts w:hint="eastAsia" w:ascii="宋体" w:hAnsi="宋体" w:eastAsia="宋体" w:cs="宋体"/>
                <w:color w:val="auto"/>
                <w:sz w:val="21"/>
                <w:szCs w:val="21"/>
                <w:highlight w:val="none"/>
              </w:rPr>
              <w:t>（居民区、商业交通居民混合区、文化区）</w:t>
            </w:r>
          </w:p>
        </w:tc>
        <w:tc>
          <w:tcPr>
            <w:tcW w:w="1323" w:type="dxa"/>
            <w:noWrap w:val="0"/>
            <w:vAlign w:val="center"/>
          </w:tcPr>
          <w:p w14:paraId="40E1D5A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39173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6" w:type="dxa"/>
            <w:vMerge w:val="continue"/>
            <w:noWrap w:val="0"/>
            <w:vAlign w:val="top"/>
          </w:tcPr>
          <w:p w14:paraId="1DE5C151">
            <w:pPr>
              <w:rPr>
                <w:rFonts w:hint="eastAsia" w:ascii="宋体" w:hAnsi="宋体" w:eastAsia="宋体" w:cs="宋体"/>
                <w:color w:val="auto"/>
                <w:sz w:val="21"/>
                <w:szCs w:val="21"/>
                <w:highlight w:val="none"/>
              </w:rPr>
            </w:pPr>
          </w:p>
        </w:tc>
        <w:tc>
          <w:tcPr>
            <w:tcW w:w="5829" w:type="dxa"/>
            <w:noWrap w:val="0"/>
            <w:vAlign w:val="top"/>
          </w:tcPr>
          <w:p w14:paraId="484A55E0">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一类环境空气功能区</w:t>
            </w:r>
          </w:p>
        </w:tc>
        <w:tc>
          <w:tcPr>
            <w:tcW w:w="1323" w:type="dxa"/>
            <w:noWrap w:val="0"/>
            <w:vAlign w:val="top"/>
          </w:tcPr>
          <w:p w14:paraId="44EEDF7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bl>
    <w:p w14:paraId="76EFB0AD">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11"/>
        <w:gridCol w:w="5792"/>
        <w:gridCol w:w="1345"/>
      </w:tblGrid>
      <w:tr w14:paraId="5308B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48" w:type="dxa"/>
            <w:gridSpan w:val="3"/>
            <w:noWrap w:val="0"/>
            <w:vAlign w:val="top"/>
          </w:tcPr>
          <w:p w14:paraId="486B083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四</w:t>
            </w:r>
            <w:r>
              <w:rPr>
                <w:rFonts w:hint="eastAsia" w:ascii="宋体" w:hAnsi="宋体" w:eastAsia="宋体" w:cs="宋体"/>
                <w:color w:val="auto"/>
                <w:sz w:val="21"/>
                <w:szCs w:val="21"/>
                <w:highlight w:val="none"/>
              </w:rPr>
              <w:t>）大气污染防治类</w:t>
            </w:r>
          </w:p>
        </w:tc>
      </w:tr>
      <w:tr w14:paraId="2D269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1" w:type="dxa"/>
            <w:noWrap w:val="0"/>
            <w:vAlign w:val="top"/>
          </w:tcPr>
          <w:p w14:paraId="671ADE6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7137" w:type="dxa"/>
            <w:gridSpan w:val="2"/>
            <w:noWrap w:val="0"/>
            <w:vAlign w:val="top"/>
          </w:tcPr>
          <w:p w14:paraId="626D5A5B">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27</w:t>
            </w:r>
          </w:p>
        </w:tc>
      </w:tr>
      <w:tr w14:paraId="3527B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1" w:type="dxa"/>
            <w:noWrap w:val="0"/>
            <w:vAlign w:val="center"/>
          </w:tcPr>
          <w:p w14:paraId="6864151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7137" w:type="dxa"/>
            <w:gridSpan w:val="2"/>
            <w:noWrap w:val="0"/>
            <w:vAlign w:val="top"/>
          </w:tcPr>
          <w:p w14:paraId="52170DCD">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从事服装干洗和机动车维修等服务活动，未设置异味和废气处理装置等污染防治设施并保持正常使用的</w:t>
            </w:r>
          </w:p>
        </w:tc>
      </w:tr>
      <w:tr w14:paraId="4F0FF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1" w:type="dxa"/>
            <w:noWrap w:val="0"/>
            <w:vAlign w:val="center"/>
          </w:tcPr>
          <w:p w14:paraId="5DF9723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7137" w:type="dxa"/>
            <w:gridSpan w:val="2"/>
            <w:noWrap w:val="0"/>
            <w:vAlign w:val="top"/>
          </w:tcPr>
          <w:p w14:paraId="5A07FF39">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《中华人民共和国生态环境法典》第二百五十三条  从事服装干洗和机动车维修等服务活动的经营者，应当按照国家相关标准或者要求设置异味和废气处理装置等污染防治设施并保持正常使用，防止影响周边环境。</w:t>
            </w:r>
          </w:p>
        </w:tc>
      </w:tr>
      <w:tr w14:paraId="32FAA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1" w:type="dxa"/>
            <w:noWrap w:val="0"/>
            <w:vAlign w:val="center"/>
          </w:tcPr>
          <w:p w14:paraId="6613011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7137" w:type="dxa"/>
            <w:gridSpan w:val="2"/>
            <w:noWrap w:val="0"/>
            <w:vAlign w:val="top"/>
          </w:tcPr>
          <w:p w14:paraId="465A4150">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《中华人民共和国生态环境法典》第一千一百三十三条  违反本法规定，从事服装干洗和机动车维修等服务活动，未设置异味和废气处理装置等污染防治设施并保持正常使用的，由生态环境主管部门责令改正，处二千元以上二万元以下的罚款；拒不改正的，责令停业整治。</w:t>
            </w:r>
          </w:p>
        </w:tc>
      </w:tr>
      <w:tr w14:paraId="585CE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1" w:type="dxa"/>
            <w:noWrap w:val="0"/>
            <w:vAlign w:val="center"/>
          </w:tcPr>
          <w:p w14:paraId="026184E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792" w:type="dxa"/>
            <w:noWrap w:val="0"/>
            <w:vAlign w:val="top"/>
          </w:tcPr>
          <w:p w14:paraId="65E3349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345" w:type="dxa"/>
            <w:noWrap w:val="0"/>
            <w:vAlign w:val="top"/>
          </w:tcPr>
          <w:p w14:paraId="3A7D037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7A8C5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1" w:type="dxa"/>
            <w:vMerge w:val="restart"/>
            <w:noWrap w:val="0"/>
            <w:vAlign w:val="center"/>
          </w:tcPr>
          <w:p w14:paraId="5D37A251">
            <w:pPr>
              <w:pStyle w:val="11"/>
              <w:keepNext w:val="0"/>
              <w:keepLines w:val="0"/>
              <w:pageBreakBefore w:val="0"/>
              <w:shd w:val="clear" w:color="auto" w:fill="auto"/>
              <w:kinsoku/>
              <w:wordWrap/>
              <w:topLinePunct w:val="0"/>
              <w:autoSpaceDE w:val="0"/>
              <w:autoSpaceDN w:val="0"/>
              <w:bidi w:val="0"/>
              <w:adjustRightInd w:val="0"/>
              <w:snapToGrid w:val="0"/>
              <w:spacing w:line="300" w:lineRule="exact"/>
              <w:ind w:left="0" w:leftChars="0" w:right="0" w:rightChars="0"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违法事实</w:t>
            </w:r>
          </w:p>
        </w:tc>
        <w:tc>
          <w:tcPr>
            <w:tcW w:w="5792" w:type="dxa"/>
            <w:noWrap w:val="0"/>
            <w:vAlign w:val="center"/>
          </w:tcPr>
          <w:p w14:paraId="50F7D928">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已设置异味和废气处理装置等污染防治设施，但未</w:t>
            </w:r>
            <w:r>
              <w:rPr>
                <w:rFonts w:hint="eastAsia" w:ascii="宋体" w:hAnsi="宋体" w:eastAsia="宋体" w:cs="宋体"/>
                <w:color w:val="auto"/>
                <w:sz w:val="21"/>
                <w:szCs w:val="21"/>
                <w:highlight w:val="none"/>
                <w:lang w:val="en-US" w:eastAsia="zh-CN"/>
              </w:rPr>
              <w:t>正常</w:t>
            </w:r>
            <w:r>
              <w:rPr>
                <w:rFonts w:hint="eastAsia" w:ascii="宋体" w:hAnsi="宋体" w:eastAsia="宋体" w:cs="宋体"/>
                <w:color w:val="auto"/>
                <w:sz w:val="21"/>
                <w:szCs w:val="21"/>
                <w:highlight w:val="none"/>
                <w:lang w:eastAsia="zh-CN"/>
              </w:rPr>
              <w:t>使用的</w:t>
            </w:r>
          </w:p>
        </w:tc>
        <w:tc>
          <w:tcPr>
            <w:tcW w:w="1345" w:type="dxa"/>
            <w:noWrap w:val="0"/>
            <w:vAlign w:val="center"/>
          </w:tcPr>
          <w:p w14:paraId="24B266B4">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3</w:t>
            </w:r>
          </w:p>
        </w:tc>
      </w:tr>
      <w:tr w14:paraId="182B2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1" w:type="dxa"/>
            <w:vMerge w:val="continue"/>
            <w:noWrap w:val="0"/>
            <w:vAlign w:val="center"/>
          </w:tcPr>
          <w:p w14:paraId="6F5EEE2D">
            <w:pPr>
              <w:keepNext w:val="0"/>
              <w:keepLines w:val="0"/>
              <w:pageBreakBefore w:val="0"/>
              <w:shd w:val="clear" w:color="auto" w:fill="auto"/>
              <w:kinsoku/>
              <w:wordWrap/>
              <w:topLinePunct w:val="0"/>
              <w:autoSpaceDE w:val="0"/>
              <w:autoSpaceDN w:val="0"/>
              <w:bidi w:val="0"/>
              <w:adjustRightInd w:val="0"/>
              <w:snapToGrid w:val="0"/>
              <w:spacing w:line="300" w:lineRule="exact"/>
              <w:ind w:left="0" w:leftChars="0" w:right="0" w:rightChars="0" w:firstLine="0" w:firstLineChars="0"/>
              <w:jc w:val="center"/>
              <w:textAlignment w:val="center"/>
              <w:rPr>
                <w:rFonts w:hint="eastAsia" w:ascii="宋体" w:hAnsi="宋体" w:eastAsia="宋体" w:cs="宋体"/>
                <w:color w:val="auto"/>
                <w:sz w:val="21"/>
                <w:szCs w:val="21"/>
                <w:highlight w:val="none"/>
              </w:rPr>
            </w:pPr>
          </w:p>
        </w:tc>
        <w:tc>
          <w:tcPr>
            <w:tcW w:w="5792" w:type="dxa"/>
            <w:noWrap w:val="0"/>
            <w:vAlign w:val="center"/>
          </w:tcPr>
          <w:p w14:paraId="3823BC8C">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未设置异味和废气处理装置等污染防治设施的</w:t>
            </w:r>
          </w:p>
        </w:tc>
        <w:tc>
          <w:tcPr>
            <w:tcW w:w="1345" w:type="dxa"/>
            <w:noWrap w:val="0"/>
            <w:vAlign w:val="center"/>
          </w:tcPr>
          <w:p w14:paraId="0FE2A79C">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5</w:t>
            </w:r>
          </w:p>
        </w:tc>
      </w:tr>
      <w:tr w14:paraId="1ECF0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1" w:type="dxa"/>
            <w:vMerge w:val="restart"/>
            <w:noWrap w:val="0"/>
            <w:vAlign w:val="center"/>
          </w:tcPr>
          <w:p w14:paraId="5555FB30">
            <w:pPr>
              <w:keepNext w:val="0"/>
              <w:keepLines w:val="0"/>
              <w:pageBreakBefore w:val="0"/>
              <w:shd w:val="clear" w:color="auto" w:fill="auto"/>
              <w:kinsoku/>
              <w:wordWrap/>
              <w:topLinePunct w:val="0"/>
              <w:autoSpaceDE w:val="0"/>
              <w:autoSpaceDN w:val="0"/>
              <w:bidi w:val="0"/>
              <w:adjustRightInd w:val="0"/>
              <w:snapToGrid w:val="0"/>
              <w:spacing w:line="300" w:lineRule="exact"/>
              <w:ind w:left="0" w:leftChars="0" w:right="0" w:rightChars="0" w:firstLine="0" w:firstLine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营业面积</w:t>
            </w:r>
          </w:p>
        </w:tc>
        <w:tc>
          <w:tcPr>
            <w:tcW w:w="5792" w:type="dxa"/>
            <w:noWrap w:val="0"/>
            <w:vAlign w:val="center"/>
          </w:tcPr>
          <w:p w14:paraId="4D9223FC">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420" w:firstLineChars="20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服装干洗：面积≤50平方米；机动车维修：面积≤200平方米</w:t>
            </w:r>
          </w:p>
        </w:tc>
        <w:tc>
          <w:tcPr>
            <w:tcW w:w="1345" w:type="dxa"/>
            <w:noWrap w:val="0"/>
            <w:vAlign w:val="center"/>
          </w:tcPr>
          <w:p w14:paraId="1BE7286F">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r>
      <w:tr w14:paraId="5FF9C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1" w:type="dxa"/>
            <w:vMerge w:val="continue"/>
            <w:noWrap w:val="0"/>
            <w:vAlign w:val="center"/>
          </w:tcPr>
          <w:p w14:paraId="1B423EFE">
            <w:pPr>
              <w:keepNext w:val="0"/>
              <w:keepLines w:val="0"/>
              <w:pageBreakBefore w:val="0"/>
              <w:shd w:val="clear" w:color="auto" w:fill="auto"/>
              <w:kinsoku/>
              <w:wordWrap/>
              <w:topLinePunct w:val="0"/>
              <w:autoSpaceDE w:val="0"/>
              <w:autoSpaceDN w:val="0"/>
              <w:bidi w:val="0"/>
              <w:adjustRightInd w:val="0"/>
              <w:snapToGrid w:val="0"/>
              <w:spacing w:line="300" w:lineRule="exact"/>
              <w:ind w:left="0" w:leftChars="0" w:right="0" w:rightChars="0" w:firstLine="0" w:firstLineChars="0"/>
              <w:jc w:val="center"/>
              <w:textAlignment w:val="center"/>
              <w:rPr>
                <w:rFonts w:hint="eastAsia" w:ascii="宋体" w:hAnsi="宋体" w:eastAsia="宋体" w:cs="宋体"/>
                <w:color w:val="auto"/>
                <w:sz w:val="21"/>
                <w:szCs w:val="21"/>
                <w:highlight w:val="none"/>
              </w:rPr>
            </w:pPr>
          </w:p>
        </w:tc>
        <w:tc>
          <w:tcPr>
            <w:tcW w:w="5792" w:type="dxa"/>
            <w:noWrap w:val="0"/>
            <w:vAlign w:val="center"/>
          </w:tcPr>
          <w:p w14:paraId="666E3421">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420" w:firstLineChars="20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服装干洗：50&lt;面积≤100平方米；机动车维修：200&lt;面积≤1000平方米</w:t>
            </w:r>
          </w:p>
        </w:tc>
        <w:tc>
          <w:tcPr>
            <w:tcW w:w="1345" w:type="dxa"/>
            <w:noWrap w:val="0"/>
            <w:vAlign w:val="center"/>
          </w:tcPr>
          <w:p w14:paraId="1611041E">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r>
      <w:tr w14:paraId="7D9F1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1" w:type="dxa"/>
            <w:vMerge w:val="continue"/>
            <w:noWrap w:val="0"/>
            <w:vAlign w:val="center"/>
          </w:tcPr>
          <w:p w14:paraId="123649F8">
            <w:pPr>
              <w:keepNext w:val="0"/>
              <w:keepLines w:val="0"/>
              <w:pageBreakBefore w:val="0"/>
              <w:shd w:val="clear" w:color="auto" w:fill="auto"/>
              <w:kinsoku/>
              <w:wordWrap/>
              <w:topLinePunct w:val="0"/>
              <w:autoSpaceDE w:val="0"/>
              <w:autoSpaceDN w:val="0"/>
              <w:bidi w:val="0"/>
              <w:adjustRightInd w:val="0"/>
              <w:snapToGrid w:val="0"/>
              <w:spacing w:line="300" w:lineRule="exact"/>
              <w:ind w:left="0" w:leftChars="0" w:right="0" w:rightChars="0" w:firstLine="0" w:firstLineChars="0"/>
              <w:jc w:val="center"/>
              <w:textAlignment w:val="center"/>
              <w:rPr>
                <w:rFonts w:hint="eastAsia" w:ascii="宋体" w:hAnsi="宋体" w:eastAsia="宋体" w:cs="宋体"/>
                <w:color w:val="auto"/>
                <w:sz w:val="21"/>
                <w:szCs w:val="21"/>
                <w:highlight w:val="none"/>
              </w:rPr>
            </w:pPr>
          </w:p>
        </w:tc>
        <w:tc>
          <w:tcPr>
            <w:tcW w:w="5792" w:type="dxa"/>
            <w:noWrap w:val="0"/>
            <w:vAlign w:val="center"/>
          </w:tcPr>
          <w:p w14:paraId="613CC618">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420" w:firstLineChars="20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服装干洗：100&lt;面积≤200平方米；机动车维修：1000&lt;面积≤2000平方米</w:t>
            </w:r>
          </w:p>
        </w:tc>
        <w:tc>
          <w:tcPr>
            <w:tcW w:w="1345" w:type="dxa"/>
            <w:noWrap w:val="0"/>
            <w:vAlign w:val="center"/>
          </w:tcPr>
          <w:p w14:paraId="539D3449">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r>
      <w:tr w14:paraId="5EC30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1" w:type="dxa"/>
            <w:vMerge w:val="continue"/>
            <w:noWrap w:val="0"/>
            <w:vAlign w:val="center"/>
          </w:tcPr>
          <w:p w14:paraId="03C232A6">
            <w:pPr>
              <w:keepNext w:val="0"/>
              <w:keepLines w:val="0"/>
              <w:pageBreakBefore w:val="0"/>
              <w:shd w:val="clear" w:color="auto" w:fill="auto"/>
              <w:kinsoku/>
              <w:wordWrap/>
              <w:topLinePunct w:val="0"/>
              <w:autoSpaceDE w:val="0"/>
              <w:autoSpaceDN w:val="0"/>
              <w:bidi w:val="0"/>
              <w:adjustRightInd w:val="0"/>
              <w:snapToGrid w:val="0"/>
              <w:spacing w:line="300" w:lineRule="exact"/>
              <w:ind w:left="0" w:leftChars="0" w:right="0" w:rightChars="0" w:firstLine="0" w:firstLineChars="0"/>
              <w:jc w:val="center"/>
              <w:textAlignment w:val="center"/>
              <w:rPr>
                <w:rFonts w:hint="eastAsia" w:ascii="宋体" w:hAnsi="宋体" w:eastAsia="宋体" w:cs="宋体"/>
                <w:color w:val="auto"/>
                <w:sz w:val="21"/>
                <w:szCs w:val="21"/>
                <w:highlight w:val="none"/>
              </w:rPr>
            </w:pPr>
          </w:p>
        </w:tc>
        <w:tc>
          <w:tcPr>
            <w:tcW w:w="5792" w:type="dxa"/>
            <w:noWrap w:val="0"/>
            <w:vAlign w:val="center"/>
          </w:tcPr>
          <w:p w14:paraId="2A72373B">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420" w:firstLineChars="20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服装干洗：200&lt;面积≤500平方米；机动车维修：2000&lt;面积≤5000平方米</w:t>
            </w:r>
          </w:p>
        </w:tc>
        <w:tc>
          <w:tcPr>
            <w:tcW w:w="1345" w:type="dxa"/>
            <w:noWrap w:val="0"/>
            <w:vAlign w:val="center"/>
          </w:tcPr>
          <w:p w14:paraId="72637CB0">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r>
      <w:tr w14:paraId="2E582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11" w:type="dxa"/>
            <w:vMerge w:val="continue"/>
            <w:noWrap w:val="0"/>
            <w:vAlign w:val="center"/>
          </w:tcPr>
          <w:p w14:paraId="312F82FE">
            <w:pPr>
              <w:keepNext w:val="0"/>
              <w:keepLines w:val="0"/>
              <w:pageBreakBefore w:val="0"/>
              <w:shd w:val="clear" w:color="auto" w:fill="auto"/>
              <w:kinsoku/>
              <w:wordWrap/>
              <w:topLinePunct w:val="0"/>
              <w:autoSpaceDE w:val="0"/>
              <w:autoSpaceDN w:val="0"/>
              <w:bidi w:val="0"/>
              <w:adjustRightInd w:val="0"/>
              <w:snapToGrid w:val="0"/>
              <w:spacing w:line="300" w:lineRule="exact"/>
              <w:ind w:left="0" w:leftChars="0" w:right="0" w:rightChars="0" w:firstLine="0" w:firstLineChars="0"/>
              <w:jc w:val="center"/>
              <w:textAlignment w:val="center"/>
              <w:rPr>
                <w:rFonts w:hint="eastAsia" w:ascii="宋体" w:hAnsi="宋体" w:eastAsia="宋体" w:cs="宋体"/>
                <w:color w:val="auto"/>
                <w:sz w:val="21"/>
                <w:szCs w:val="21"/>
                <w:highlight w:val="none"/>
              </w:rPr>
            </w:pPr>
          </w:p>
        </w:tc>
        <w:tc>
          <w:tcPr>
            <w:tcW w:w="5792" w:type="dxa"/>
            <w:noWrap w:val="0"/>
            <w:vAlign w:val="center"/>
          </w:tcPr>
          <w:p w14:paraId="66CA9706">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420" w:firstLineChars="20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服装干洗：面积大于500平方米；机动车维修：面积大于5000</w:t>
            </w:r>
          </w:p>
          <w:p w14:paraId="53E669CD">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420" w:firstLineChars="20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平方米</w:t>
            </w:r>
          </w:p>
        </w:tc>
        <w:tc>
          <w:tcPr>
            <w:tcW w:w="1345" w:type="dxa"/>
            <w:noWrap w:val="0"/>
            <w:vAlign w:val="center"/>
          </w:tcPr>
          <w:p w14:paraId="01E55FB3">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r>
      <w:tr w14:paraId="64DE9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1" w:type="dxa"/>
            <w:vMerge w:val="restart"/>
            <w:noWrap w:val="0"/>
            <w:vAlign w:val="center"/>
          </w:tcPr>
          <w:p w14:paraId="0DD2634B">
            <w:pPr>
              <w:jc w:val="center"/>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违法行为地点</w:t>
            </w:r>
          </w:p>
        </w:tc>
        <w:tc>
          <w:tcPr>
            <w:tcW w:w="5792" w:type="dxa"/>
            <w:noWrap w:val="0"/>
            <w:vAlign w:val="top"/>
          </w:tcPr>
          <w:p w14:paraId="3BB8224D">
            <w:pPr>
              <w:keepNext w:val="0"/>
              <w:keepLines w:val="0"/>
              <w:pageBreakBefore w:val="0"/>
              <w:widowControl w:val="0"/>
              <w:kinsoku/>
              <w:wordWrap/>
              <w:overflowPunct/>
              <w:topLinePunct w:val="0"/>
              <w:bidi w:val="0"/>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二类环境空气功能区</w:t>
            </w:r>
            <w:r>
              <w:rPr>
                <w:rFonts w:hint="eastAsia" w:ascii="宋体" w:hAnsi="宋体" w:eastAsia="宋体" w:cs="宋体"/>
                <w:color w:val="auto"/>
                <w:sz w:val="21"/>
                <w:szCs w:val="21"/>
                <w:highlight w:val="none"/>
              </w:rPr>
              <w:t>（工业区和农村地区）</w:t>
            </w:r>
          </w:p>
        </w:tc>
        <w:tc>
          <w:tcPr>
            <w:tcW w:w="1345" w:type="dxa"/>
            <w:noWrap w:val="0"/>
            <w:vAlign w:val="top"/>
          </w:tcPr>
          <w:p w14:paraId="055C261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6FA35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1" w:type="dxa"/>
            <w:vMerge w:val="continue"/>
            <w:noWrap w:val="0"/>
            <w:vAlign w:val="top"/>
          </w:tcPr>
          <w:p w14:paraId="2F1FC076">
            <w:pPr>
              <w:rPr>
                <w:rFonts w:hint="eastAsia" w:ascii="宋体" w:hAnsi="宋体" w:eastAsia="宋体" w:cs="宋体"/>
                <w:color w:val="auto"/>
                <w:sz w:val="21"/>
                <w:szCs w:val="21"/>
                <w:highlight w:val="none"/>
              </w:rPr>
            </w:pPr>
          </w:p>
        </w:tc>
        <w:tc>
          <w:tcPr>
            <w:tcW w:w="5792" w:type="dxa"/>
            <w:noWrap w:val="0"/>
            <w:vAlign w:val="top"/>
          </w:tcPr>
          <w:p w14:paraId="7A822C60">
            <w:pPr>
              <w:keepNext w:val="0"/>
              <w:keepLines w:val="0"/>
              <w:pageBreakBefore w:val="0"/>
              <w:widowControl w:val="0"/>
              <w:kinsoku/>
              <w:wordWrap/>
              <w:overflowPunct/>
              <w:topLinePunct w:val="0"/>
              <w:bidi w:val="0"/>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二类环境空气功能区</w:t>
            </w:r>
            <w:r>
              <w:rPr>
                <w:rFonts w:hint="eastAsia" w:ascii="宋体" w:hAnsi="宋体" w:eastAsia="宋体" w:cs="宋体"/>
                <w:color w:val="auto"/>
                <w:sz w:val="21"/>
                <w:szCs w:val="21"/>
                <w:highlight w:val="none"/>
              </w:rPr>
              <w:t>（居民区、商业交通居民混合区、文化区）</w:t>
            </w:r>
          </w:p>
        </w:tc>
        <w:tc>
          <w:tcPr>
            <w:tcW w:w="1345" w:type="dxa"/>
            <w:noWrap w:val="0"/>
            <w:vAlign w:val="center"/>
          </w:tcPr>
          <w:p w14:paraId="4BF4696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73F00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1" w:type="dxa"/>
            <w:vMerge w:val="continue"/>
            <w:noWrap w:val="0"/>
            <w:vAlign w:val="top"/>
          </w:tcPr>
          <w:p w14:paraId="33834951">
            <w:pPr>
              <w:rPr>
                <w:rFonts w:hint="eastAsia" w:ascii="宋体" w:hAnsi="宋体" w:eastAsia="宋体" w:cs="宋体"/>
                <w:color w:val="auto"/>
                <w:sz w:val="21"/>
                <w:szCs w:val="21"/>
                <w:highlight w:val="none"/>
              </w:rPr>
            </w:pPr>
          </w:p>
        </w:tc>
        <w:tc>
          <w:tcPr>
            <w:tcW w:w="5792" w:type="dxa"/>
            <w:noWrap w:val="0"/>
            <w:vAlign w:val="top"/>
          </w:tcPr>
          <w:p w14:paraId="1D757488">
            <w:pPr>
              <w:keepNext w:val="0"/>
              <w:keepLines w:val="0"/>
              <w:pageBreakBefore w:val="0"/>
              <w:widowControl w:val="0"/>
              <w:kinsoku/>
              <w:wordWrap/>
              <w:overflowPunct/>
              <w:topLinePunct w:val="0"/>
              <w:bidi w:val="0"/>
              <w:ind w:firstLine="420" w:firstLineChars="200"/>
              <w:jc w:val="both"/>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一类环境空气功能区</w:t>
            </w:r>
          </w:p>
        </w:tc>
        <w:tc>
          <w:tcPr>
            <w:tcW w:w="1345" w:type="dxa"/>
            <w:noWrap w:val="0"/>
            <w:vAlign w:val="top"/>
          </w:tcPr>
          <w:p w14:paraId="76A23F7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bl>
    <w:p w14:paraId="142803A3">
      <w:pPr>
        <w:rPr>
          <w:rFonts w:hint="eastAsia" w:ascii="宋体" w:hAnsi="宋体" w:eastAsia="宋体" w:cs="宋体"/>
          <w:sz w:val="21"/>
          <w:szCs w:val="21"/>
          <w:highlight w:val="none"/>
        </w:rPr>
      </w:pPr>
    </w:p>
    <w:p w14:paraId="33ACDCEA">
      <w:pPr>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br w:type="page"/>
      </w:r>
    </w:p>
    <w:tbl>
      <w:tblPr>
        <w:tblStyle w:val="8"/>
        <w:tblW w:w="5068" w:type="pct"/>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36"/>
        <w:gridCol w:w="5869"/>
        <w:gridCol w:w="1365"/>
      </w:tblGrid>
      <w:tr w14:paraId="16B3E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9070" w:type="dxa"/>
            <w:gridSpan w:val="3"/>
            <w:noWrap w:val="0"/>
            <w:vAlign w:val="top"/>
          </w:tcPr>
          <w:p w14:paraId="62C9BB23">
            <w:pPr>
              <w:jc w:val="center"/>
              <w:rPr>
                <w:rFonts w:hint="eastAsia" w:ascii="宋体" w:cs="宋体"/>
                <w:color w:val="auto"/>
                <w:szCs w:val="21"/>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四</w:t>
            </w:r>
            <w:r>
              <w:rPr>
                <w:rFonts w:hint="eastAsia" w:ascii="宋体" w:hAnsi="宋体" w:eastAsia="宋体" w:cs="宋体"/>
                <w:color w:val="auto"/>
                <w:sz w:val="21"/>
                <w:szCs w:val="21"/>
                <w:highlight w:val="none"/>
              </w:rPr>
              <w:t>）大气污染防治类</w:t>
            </w:r>
          </w:p>
        </w:tc>
      </w:tr>
      <w:tr w14:paraId="6CA74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836" w:type="dxa"/>
            <w:noWrap w:val="0"/>
            <w:vAlign w:val="center"/>
          </w:tcPr>
          <w:p w14:paraId="0019BC4C">
            <w:pPr>
              <w:jc w:val="center"/>
              <w:rPr>
                <w:rFonts w:hint="eastAsia" w:ascii="宋体" w:cs="宋体"/>
                <w:color w:val="auto"/>
                <w:szCs w:val="21"/>
              </w:rPr>
            </w:pPr>
            <w:r>
              <w:rPr>
                <w:rFonts w:hint="eastAsia" w:ascii="宋体" w:cs="宋体"/>
                <w:color w:val="auto"/>
                <w:szCs w:val="21"/>
              </w:rPr>
              <w:t>序号</w:t>
            </w:r>
          </w:p>
        </w:tc>
        <w:tc>
          <w:tcPr>
            <w:tcW w:w="7234" w:type="dxa"/>
            <w:gridSpan w:val="2"/>
            <w:noWrap w:val="0"/>
            <w:vAlign w:val="center"/>
          </w:tcPr>
          <w:p w14:paraId="521E0446">
            <w:pPr>
              <w:jc w:val="center"/>
              <w:rPr>
                <w:rFonts w:hint="default" w:ascii="宋体" w:eastAsia="宋体" w:cs="宋体"/>
                <w:color w:val="auto"/>
                <w:szCs w:val="21"/>
                <w:lang w:val="en-US" w:eastAsia="zh-CN"/>
              </w:rPr>
            </w:pPr>
            <w:r>
              <w:rPr>
                <w:rFonts w:hint="eastAsia" w:ascii="宋体" w:cs="宋体"/>
                <w:color w:val="auto"/>
                <w:szCs w:val="21"/>
                <w:lang w:val="en-US" w:eastAsia="zh-CN"/>
              </w:rPr>
              <w:t>28</w:t>
            </w:r>
          </w:p>
        </w:tc>
      </w:tr>
      <w:tr w14:paraId="5384E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1" w:hRule="atLeast"/>
        </w:trPr>
        <w:tc>
          <w:tcPr>
            <w:tcW w:w="1836" w:type="dxa"/>
            <w:noWrap w:val="0"/>
            <w:vAlign w:val="center"/>
          </w:tcPr>
          <w:p w14:paraId="0290F3A9">
            <w:pPr>
              <w:jc w:val="center"/>
              <w:rPr>
                <w:rFonts w:hint="eastAsia" w:ascii="宋体" w:cs="宋体"/>
                <w:color w:val="auto"/>
                <w:szCs w:val="21"/>
              </w:rPr>
            </w:pPr>
            <w:r>
              <w:rPr>
                <w:rFonts w:hint="eastAsia" w:ascii="宋体" w:cs="宋体"/>
                <w:color w:val="auto"/>
                <w:szCs w:val="21"/>
              </w:rPr>
              <w:t>违法行为</w:t>
            </w:r>
          </w:p>
        </w:tc>
        <w:tc>
          <w:tcPr>
            <w:tcW w:w="7234" w:type="dxa"/>
            <w:gridSpan w:val="2"/>
            <w:noWrap w:val="0"/>
            <w:vAlign w:val="center"/>
          </w:tcPr>
          <w:p w14:paraId="01C7789D">
            <w:pPr>
              <w:adjustRightInd w:val="0"/>
              <w:ind w:firstLine="420" w:firstLineChars="200"/>
              <w:jc w:val="both"/>
              <w:rPr>
                <w:rFonts w:hint="eastAsia" w:ascii="宋体" w:cs="宋体"/>
                <w:color w:val="auto"/>
                <w:szCs w:val="21"/>
              </w:rPr>
            </w:pPr>
            <w:r>
              <w:rPr>
                <w:rFonts w:hint="eastAsia" w:ascii="宋体" w:cs="宋体"/>
                <w:color w:val="auto"/>
                <w:szCs w:val="21"/>
              </w:rPr>
              <w:t>在人口集中地区从事露天喷漆、喷涂、喷砂、制作玻璃钢以及其他散发有毒有害气体的作业的</w:t>
            </w:r>
          </w:p>
        </w:tc>
      </w:tr>
      <w:tr w14:paraId="7E013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1836" w:type="dxa"/>
            <w:noWrap w:val="0"/>
            <w:vAlign w:val="center"/>
          </w:tcPr>
          <w:p w14:paraId="6D3F97D6">
            <w:pPr>
              <w:jc w:val="center"/>
              <w:rPr>
                <w:rFonts w:hint="eastAsia" w:ascii="宋体" w:cs="宋体"/>
                <w:color w:val="auto"/>
                <w:szCs w:val="21"/>
              </w:rPr>
            </w:pPr>
            <w:r>
              <w:rPr>
                <w:rFonts w:hint="eastAsia" w:ascii="宋体" w:cs="宋体"/>
                <w:color w:val="auto"/>
                <w:szCs w:val="21"/>
              </w:rPr>
              <w:t>违反条款</w:t>
            </w:r>
          </w:p>
        </w:tc>
        <w:tc>
          <w:tcPr>
            <w:tcW w:w="7234" w:type="dxa"/>
            <w:gridSpan w:val="2"/>
            <w:noWrap w:val="0"/>
            <w:vAlign w:val="center"/>
          </w:tcPr>
          <w:p w14:paraId="27ECC769">
            <w:pPr>
              <w:ind w:firstLine="420" w:firstLineChars="200"/>
              <w:jc w:val="both"/>
              <w:rPr>
                <w:rFonts w:hint="eastAsia" w:ascii="宋体" w:cs="宋体"/>
                <w:color w:val="auto"/>
                <w:szCs w:val="21"/>
              </w:rPr>
            </w:pPr>
            <w:r>
              <w:rPr>
                <w:rFonts w:hint="eastAsia" w:ascii="宋体" w:cs="宋体"/>
                <w:color w:val="auto"/>
                <w:szCs w:val="21"/>
              </w:rPr>
              <w:t>《福建省大气污染防治条例》第四十二条第二款</w:t>
            </w:r>
            <w:r>
              <w:rPr>
                <w:rFonts w:hint="eastAsia" w:ascii="宋体" w:cs="宋体"/>
                <w:color w:val="auto"/>
                <w:szCs w:val="21"/>
                <w:lang w:val="en-US" w:eastAsia="zh-CN"/>
              </w:rPr>
              <w:t xml:space="preserve"> </w:t>
            </w:r>
            <w:r>
              <w:rPr>
                <w:rFonts w:hint="eastAsia" w:ascii="宋体" w:cs="宋体"/>
                <w:color w:val="auto"/>
                <w:szCs w:val="21"/>
              </w:rPr>
              <w:t>禁止在人口集中地区从事露天喷漆、喷涂、喷砂、制作玻璃钢以及其他散发有毒有害气体的作业。</w:t>
            </w:r>
          </w:p>
        </w:tc>
      </w:tr>
      <w:tr w14:paraId="42D3A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1836" w:type="dxa"/>
            <w:noWrap w:val="0"/>
            <w:vAlign w:val="center"/>
          </w:tcPr>
          <w:p w14:paraId="168C09C4">
            <w:pPr>
              <w:jc w:val="center"/>
              <w:rPr>
                <w:rFonts w:hint="eastAsia" w:ascii="宋体" w:cs="宋体"/>
                <w:color w:val="auto"/>
                <w:szCs w:val="21"/>
              </w:rPr>
            </w:pPr>
            <w:r>
              <w:rPr>
                <w:rFonts w:hint="eastAsia" w:ascii="宋体" w:cs="宋体"/>
                <w:color w:val="auto"/>
                <w:szCs w:val="21"/>
              </w:rPr>
              <w:t>处罚依据</w:t>
            </w:r>
          </w:p>
        </w:tc>
        <w:tc>
          <w:tcPr>
            <w:tcW w:w="7234" w:type="dxa"/>
            <w:gridSpan w:val="2"/>
            <w:noWrap w:val="0"/>
            <w:vAlign w:val="center"/>
          </w:tcPr>
          <w:p w14:paraId="52E3A8AB">
            <w:pPr>
              <w:ind w:firstLine="420" w:firstLineChars="200"/>
              <w:jc w:val="both"/>
              <w:rPr>
                <w:rFonts w:hint="eastAsia" w:ascii="宋体" w:cs="宋体"/>
                <w:color w:val="auto"/>
                <w:szCs w:val="21"/>
              </w:rPr>
            </w:pPr>
            <w:r>
              <w:rPr>
                <w:rFonts w:hint="eastAsia" w:ascii="宋体" w:cs="宋体"/>
                <w:color w:val="auto"/>
                <w:szCs w:val="21"/>
              </w:rPr>
              <w:t>《福建省大气污染防治条例》第七十</w:t>
            </w:r>
            <w:r>
              <w:rPr>
                <w:rFonts w:hint="eastAsia" w:ascii="宋体" w:cs="宋体"/>
                <w:color w:val="auto"/>
                <w:szCs w:val="21"/>
                <w:lang w:val="en-US" w:eastAsia="zh-CN"/>
              </w:rPr>
              <w:t>三</w:t>
            </w:r>
            <w:r>
              <w:rPr>
                <w:rFonts w:hint="eastAsia" w:ascii="宋体" w:cs="宋体"/>
                <w:color w:val="auto"/>
                <w:szCs w:val="21"/>
              </w:rPr>
              <w:t>条第二款</w:t>
            </w:r>
            <w:r>
              <w:rPr>
                <w:rFonts w:hint="eastAsia" w:ascii="宋体" w:cs="宋体"/>
                <w:color w:val="auto"/>
                <w:szCs w:val="21"/>
                <w:lang w:val="en-US" w:eastAsia="zh-CN"/>
              </w:rPr>
              <w:t xml:space="preserve"> </w:t>
            </w:r>
            <w:r>
              <w:rPr>
                <w:rFonts w:hint="eastAsia" w:ascii="宋体" w:cs="宋体"/>
                <w:color w:val="auto"/>
                <w:szCs w:val="21"/>
              </w:rPr>
              <w:t>违反本条例规定，在人口集中地区从事露天喷漆、喷涂、喷砂、制作玻璃钢以及其他散发有毒有害气体的作业的，由县级以上地方人民政府确定的监督管理部门责令改正；拒不改正的，处五百元以上二千元以下罚款。</w:t>
            </w:r>
          </w:p>
        </w:tc>
      </w:tr>
      <w:tr w14:paraId="40FF0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836" w:type="dxa"/>
            <w:noWrap w:val="0"/>
            <w:vAlign w:val="center"/>
          </w:tcPr>
          <w:p w14:paraId="6E196A77">
            <w:pPr>
              <w:jc w:val="center"/>
              <w:rPr>
                <w:rFonts w:hint="eastAsia" w:ascii="宋体" w:cs="宋体"/>
                <w:color w:val="auto"/>
                <w:szCs w:val="21"/>
              </w:rPr>
            </w:pPr>
            <w:r>
              <w:rPr>
                <w:rFonts w:hint="eastAsia" w:ascii="宋体" w:cs="宋体"/>
                <w:color w:val="auto"/>
                <w:szCs w:val="21"/>
              </w:rPr>
              <w:t>裁量因素</w:t>
            </w:r>
          </w:p>
        </w:tc>
        <w:tc>
          <w:tcPr>
            <w:tcW w:w="5869" w:type="dxa"/>
            <w:noWrap w:val="0"/>
            <w:vAlign w:val="top"/>
          </w:tcPr>
          <w:p w14:paraId="6E7CE0E3">
            <w:pPr>
              <w:jc w:val="center"/>
              <w:rPr>
                <w:rFonts w:hint="eastAsia" w:ascii="宋体" w:cs="宋体"/>
                <w:color w:val="auto"/>
                <w:szCs w:val="21"/>
              </w:rPr>
            </w:pPr>
            <w:r>
              <w:rPr>
                <w:rFonts w:hint="eastAsia" w:ascii="宋体" w:cs="宋体"/>
                <w:color w:val="auto"/>
                <w:szCs w:val="21"/>
              </w:rPr>
              <w:t>裁量因子</w:t>
            </w:r>
          </w:p>
        </w:tc>
        <w:tc>
          <w:tcPr>
            <w:tcW w:w="1365" w:type="dxa"/>
            <w:noWrap w:val="0"/>
            <w:vAlign w:val="top"/>
          </w:tcPr>
          <w:p w14:paraId="667A23A1">
            <w:pPr>
              <w:jc w:val="center"/>
              <w:rPr>
                <w:rFonts w:hint="eastAsia" w:ascii="宋体" w:cs="宋体"/>
                <w:color w:val="auto"/>
                <w:szCs w:val="21"/>
              </w:rPr>
            </w:pPr>
            <w:r>
              <w:rPr>
                <w:rFonts w:hint="eastAsia" w:ascii="宋体" w:cs="宋体"/>
                <w:color w:val="auto"/>
                <w:szCs w:val="21"/>
              </w:rPr>
              <w:t>裁量等级</w:t>
            </w:r>
          </w:p>
        </w:tc>
      </w:tr>
      <w:tr w14:paraId="532CC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836" w:type="dxa"/>
            <w:vMerge w:val="restart"/>
            <w:noWrap w:val="0"/>
            <w:vAlign w:val="center"/>
          </w:tcPr>
          <w:p w14:paraId="27D91DF4">
            <w:pPr>
              <w:jc w:val="center"/>
              <w:rPr>
                <w:rFonts w:hint="eastAsia" w:ascii="宋体" w:cs="宋体"/>
                <w:color w:val="auto"/>
                <w:szCs w:val="21"/>
              </w:rPr>
            </w:pPr>
            <w:r>
              <w:rPr>
                <w:rFonts w:hint="eastAsia" w:ascii="宋体" w:cs="宋体"/>
                <w:color w:val="auto"/>
                <w:szCs w:val="21"/>
              </w:rPr>
              <w:t>污染防治设施建设使用情况</w:t>
            </w:r>
          </w:p>
        </w:tc>
        <w:tc>
          <w:tcPr>
            <w:tcW w:w="5869" w:type="dxa"/>
            <w:noWrap w:val="0"/>
            <w:vAlign w:val="center"/>
          </w:tcPr>
          <w:p w14:paraId="0A59D47A">
            <w:pPr>
              <w:ind w:firstLine="420" w:firstLineChars="200"/>
              <w:jc w:val="both"/>
              <w:rPr>
                <w:rFonts w:hint="eastAsia" w:ascii="宋体" w:cs="宋体"/>
                <w:color w:val="auto"/>
                <w:szCs w:val="21"/>
              </w:rPr>
            </w:pPr>
            <w:r>
              <w:rPr>
                <w:rFonts w:hint="eastAsia" w:ascii="宋体" w:cs="宋体"/>
                <w:color w:val="auto"/>
                <w:szCs w:val="21"/>
              </w:rPr>
              <w:t>已安装污染防治设施，且规范使用的</w:t>
            </w:r>
          </w:p>
        </w:tc>
        <w:tc>
          <w:tcPr>
            <w:tcW w:w="1365" w:type="dxa"/>
            <w:noWrap w:val="0"/>
            <w:vAlign w:val="center"/>
          </w:tcPr>
          <w:p w14:paraId="2F65E5FC">
            <w:pPr>
              <w:jc w:val="center"/>
              <w:rPr>
                <w:rFonts w:hint="eastAsia" w:ascii="宋体" w:cs="宋体"/>
                <w:color w:val="auto"/>
                <w:szCs w:val="21"/>
              </w:rPr>
            </w:pPr>
            <w:r>
              <w:rPr>
                <w:rFonts w:hint="eastAsia" w:ascii="宋体" w:cs="宋体"/>
                <w:color w:val="auto"/>
                <w:szCs w:val="21"/>
              </w:rPr>
              <w:t>1</w:t>
            </w:r>
          </w:p>
        </w:tc>
      </w:tr>
      <w:tr w14:paraId="3CB37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836" w:type="dxa"/>
            <w:vMerge w:val="continue"/>
            <w:noWrap w:val="0"/>
            <w:vAlign w:val="center"/>
          </w:tcPr>
          <w:p w14:paraId="6708D5F0">
            <w:pPr>
              <w:jc w:val="center"/>
              <w:rPr>
                <w:color w:val="auto"/>
              </w:rPr>
            </w:pPr>
          </w:p>
        </w:tc>
        <w:tc>
          <w:tcPr>
            <w:tcW w:w="5869" w:type="dxa"/>
            <w:noWrap w:val="0"/>
            <w:vAlign w:val="center"/>
          </w:tcPr>
          <w:p w14:paraId="240A863E">
            <w:pPr>
              <w:ind w:firstLine="420" w:firstLineChars="200"/>
              <w:jc w:val="both"/>
              <w:rPr>
                <w:rFonts w:hint="eastAsia" w:ascii="宋体" w:cs="宋体"/>
                <w:color w:val="auto"/>
                <w:szCs w:val="21"/>
              </w:rPr>
            </w:pPr>
            <w:r>
              <w:rPr>
                <w:rFonts w:hint="eastAsia" w:ascii="宋体" w:cs="宋体"/>
                <w:color w:val="auto"/>
                <w:szCs w:val="21"/>
              </w:rPr>
              <w:t>已安装污染防治设施，但未规范使用的</w:t>
            </w:r>
          </w:p>
        </w:tc>
        <w:tc>
          <w:tcPr>
            <w:tcW w:w="1365" w:type="dxa"/>
            <w:noWrap w:val="0"/>
            <w:vAlign w:val="center"/>
          </w:tcPr>
          <w:p w14:paraId="115A2706">
            <w:pPr>
              <w:jc w:val="center"/>
              <w:rPr>
                <w:rFonts w:hint="eastAsia" w:ascii="宋体" w:cs="宋体"/>
                <w:color w:val="auto"/>
                <w:szCs w:val="21"/>
              </w:rPr>
            </w:pPr>
            <w:r>
              <w:rPr>
                <w:rFonts w:hint="eastAsia" w:ascii="宋体" w:cs="宋体"/>
                <w:color w:val="auto"/>
                <w:szCs w:val="21"/>
              </w:rPr>
              <w:t>2</w:t>
            </w:r>
          </w:p>
        </w:tc>
      </w:tr>
      <w:tr w14:paraId="387CB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836" w:type="dxa"/>
            <w:vMerge w:val="continue"/>
            <w:noWrap w:val="0"/>
            <w:vAlign w:val="center"/>
          </w:tcPr>
          <w:p w14:paraId="338E63FF">
            <w:pPr>
              <w:jc w:val="center"/>
              <w:rPr>
                <w:color w:val="auto"/>
              </w:rPr>
            </w:pPr>
          </w:p>
        </w:tc>
        <w:tc>
          <w:tcPr>
            <w:tcW w:w="5869" w:type="dxa"/>
            <w:noWrap w:val="0"/>
            <w:vAlign w:val="center"/>
          </w:tcPr>
          <w:p w14:paraId="0557C3D2">
            <w:pPr>
              <w:ind w:firstLine="420" w:firstLineChars="200"/>
              <w:jc w:val="both"/>
              <w:rPr>
                <w:rFonts w:hint="eastAsia" w:ascii="宋体" w:cs="宋体"/>
                <w:color w:val="auto"/>
                <w:szCs w:val="21"/>
              </w:rPr>
            </w:pPr>
            <w:r>
              <w:rPr>
                <w:rFonts w:hint="eastAsia" w:ascii="宋体" w:cs="宋体"/>
                <w:color w:val="auto"/>
                <w:szCs w:val="21"/>
              </w:rPr>
              <w:t>已安装污染防治设施，但未使用的</w:t>
            </w:r>
          </w:p>
        </w:tc>
        <w:tc>
          <w:tcPr>
            <w:tcW w:w="1365" w:type="dxa"/>
            <w:noWrap w:val="0"/>
            <w:vAlign w:val="center"/>
          </w:tcPr>
          <w:p w14:paraId="45D52CCB">
            <w:pPr>
              <w:jc w:val="center"/>
              <w:rPr>
                <w:rFonts w:hint="eastAsia" w:ascii="宋体" w:cs="宋体"/>
                <w:color w:val="auto"/>
                <w:szCs w:val="21"/>
              </w:rPr>
            </w:pPr>
            <w:r>
              <w:rPr>
                <w:rFonts w:hint="eastAsia" w:ascii="宋体" w:cs="宋体"/>
                <w:color w:val="auto"/>
                <w:szCs w:val="21"/>
              </w:rPr>
              <w:t>3</w:t>
            </w:r>
          </w:p>
        </w:tc>
      </w:tr>
      <w:tr w14:paraId="5E6E9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836" w:type="dxa"/>
            <w:vMerge w:val="continue"/>
            <w:noWrap w:val="0"/>
            <w:vAlign w:val="center"/>
          </w:tcPr>
          <w:p w14:paraId="6B7CD3F5">
            <w:pPr>
              <w:jc w:val="center"/>
              <w:rPr>
                <w:rFonts w:hint="eastAsia" w:ascii="宋体" w:cs="宋体"/>
                <w:color w:val="auto"/>
                <w:szCs w:val="21"/>
              </w:rPr>
            </w:pPr>
          </w:p>
        </w:tc>
        <w:tc>
          <w:tcPr>
            <w:tcW w:w="5869" w:type="dxa"/>
            <w:noWrap w:val="0"/>
            <w:vAlign w:val="center"/>
          </w:tcPr>
          <w:p w14:paraId="7BA496FF">
            <w:pPr>
              <w:ind w:firstLine="420" w:firstLineChars="200"/>
              <w:jc w:val="both"/>
              <w:rPr>
                <w:rFonts w:hint="eastAsia" w:ascii="宋体" w:cs="宋体"/>
                <w:color w:val="auto"/>
                <w:szCs w:val="21"/>
              </w:rPr>
            </w:pPr>
            <w:r>
              <w:rPr>
                <w:rFonts w:hint="eastAsia" w:ascii="宋体" w:cs="宋体"/>
                <w:color w:val="auto"/>
                <w:szCs w:val="21"/>
              </w:rPr>
              <w:t>未安装污染防治设施的</w:t>
            </w:r>
          </w:p>
        </w:tc>
        <w:tc>
          <w:tcPr>
            <w:tcW w:w="1365" w:type="dxa"/>
            <w:noWrap w:val="0"/>
            <w:vAlign w:val="center"/>
          </w:tcPr>
          <w:p w14:paraId="482E76FE">
            <w:pPr>
              <w:jc w:val="center"/>
              <w:rPr>
                <w:rFonts w:hint="eastAsia" w:ascii="宋体" w:cs="宋体"/>
                <w:color w:val="auto"/>
                <w:szCs w:val="21"/>
              </w:rPr>
            </w:pPr>
            <w:r>
              <w:rPr>
                <w:rFonts w:hint="eastAsia" w:ascii="宋体" w:cs="宋体"/>
                <w:color w:val="auto"/>
                <w:szCs w:val="21"/>
              </w:rPr>
              <w:t>5</w:t>
            </w:r>
          </w:p>
        </w:tc>
      </w:tr>
      <w:tr w14:paraId="4D78B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836" w:type="dxa"/>
            <w:vMerge w:val="restart"/>
            <w:noWrap w:val="0"/>
            <w:vAlign w:val="center"/>
          </w:tcPr>
          <w:p w14:paraId="352284B5">
            <w:pPr>
              <w:jc w:val="center"/>
              <w:rPr>
                <w:color w:val="auto"/>
              </w:rPr>
            </w:pPr>
            <w:r>
              <w:rPr>
                <w:rFonts w:hint="eastAsia" w:ascii="宋体" w:hAnsi="宋体" w:cs="宋体"/>
                <w:color w:val="auto"/>
                <w:sz w:val="21"/>
                <w:szCs w:val="21"/>
                <w:highlight w:val="none"/>
                <w:lang w:eastAsia="zh-CN"/>
              </w:rPr>
              <w:t>违法行为地点</w:t>
            </w:r>
          </w:p>
        </w:tc>
        <w:tc>
          <w:tcPr>
            <w:tcW w:w="5869" w:type="dxa"/>
            <w:noWrap w:val="0"/>
            <w:vAlign w:val="top"/>
          </w:tcPr>
          <w:p w14:paraId="4002CD2E">
            <w:pPr>
              <w:keepNext w:val="0"/>
              <w:keepLines w:val="0"/>
              <w:pageBreakBefore w:val="0"/>
              <w:widowControl w:val="0"/>
              <w:kinsoku/>
              <w:wordWrap/>
              <w:overflowPunct/>
              <w:topLinePunct w:val="0"/>
              <w:bidi w:val="0"/>
              <w:ind w:firstLine="420" w:firstLineChars="200"/>
              <w:jc w:val="both"/>
              <w:textAlignment w:val="auto"/>
              <w:rPr>
                <w:rFonts w:hint="eastAsia" w:ascii="宋体" w:cs="宋体"/>
                <w:color w:val="auto"/>
                <w:szCs w:val="21"/>
              </w:rPr>
            </w:pPr>
            <w:r>
              <w:rPr>
                <w:rFonts w:hint="eastAsia" w:ascii="宋体" w:hAnsi="宋体" w:cs="宋体"/>
                <w:color w:val="auto"/>
                <w:sz w:val="21"/>
                <w:szCs w:val="21"/>
                <w:highlight w:val="none"/>
                <w:lang w:eastAsia="zh-CN"/>
              </w:rPr>
              <w:t>二类环境空气功能区</w:t>
            </w:r>
            <w:r>
              <w:rPr>
                <w:rFonts w:hint="eastAsia" w:ascii="宋体" w:hAnsi="宋体" w:eastAsia="宋体" w:cs="宋体"/>
                <w:color w:val="auto"/>
                <w:sz w:val="21"/>
                <w:szCs w:val="21"/>
                <w:highlight w:val="none"/>
              </w:rPr>
              <w:t>（工业区和农村地区）</w:t>
            </w:r>
          </w:p>
        </w:tc>
        <w:tc>
          <w:tcPr>
            <w:tcW w:w="1365" w:type="dxa"/>
            <w:noWrap w:val="0"/>
            <w:vAlign w:val="top"/>
          </w:tcPr>
          <w:p w14:paraId="45E8B698">
            <w:pPr>
              <w:jc w:val="center"/>
              <w:rPr>
                <w:rFonts w:hint="eastAsia" w:ascii="宋体" w:cs="宋体"/>
                <w:color w:val="auto"/>
                <w:szCs w:val="21"/>
              </w:rPr>
            </w:pPr>
            <w:r>
              <w:rPr>
                <w:rFonts w:hint="eastAsia" w:ascii="宋体" w:hAnsi="宋体" w:eastAsia="宋体" w:cs="宋体"/>
                <w:color w:val="auto"/>
                <w:sz w:val="21"/>
                <w:szCs w:val="21"/>
                <w:highlight w:val="none"/>
              </w:rPr>
              <w:t>1</w:t>
            </w:r>
          </w:p>
        </w:tc>
      </w:tr>
      <w:tr w14:paraId="4854E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1836" w:type="dxa"/>
            <w:vMerge w:val="continue"/>
            <w:noWrap w:val="0"/>
            <w:vAlign w:val="top"/>
          </w:tcPr>
          <w:p w14:paraId="32200E0B">
            <w:pPr>
              <w:rPr>
                <w:color w:val="auto"/>
              </w:rPr>
            </w:pPr>
          </w:p>
        </w:tc>
        <w:tc>
          <w:tcPr>
            <w:tcW w:w="5869" w:type="dxa"/>
            <w:noWrap w:val="0"/>
            <w:vAlign w:val="top"/>
          </w:tcPr>
          <w:p w14:paraId="44FE7412">
            <w:pPr>
              <w:keepNext w:val="0"/>
              <w:keepLines w:val="0"/>
              <w:pageBreakBefore w:val="0"/>
              <w:widowControl w:val="0"/>
              <w:kinsoku/>
              <w:wordWrap/>
              <w:overflowPunct/>
              <w:topLinePunct w:val="0"/>
              <w:bidi w:val="0"/>
              <w:ind w:firstLine="420" w:firstLineChars="200"/>
              <w:jc w:val="both"/>
              <w:textAlignment w:val="auto"/>
              <w:rPr>
                <w:rFonts w:hint="eastAsia" w:ascii="宋体" w:cs="宋体"/>
                <w:color w:val="auto"/>
                <w:szCs w:val="21"/>
              </w:rPr>
            </w:pPr>
            <w:r>
              <w:rPr>
                <w:rFonts w:hint="eastAsia" w:ascii="宋体" w:hAnsi="宋体" w:cs="宋体"/>
                <w:color w:val="auto"/>
                <w:sz w:val="21"/>
                <w:szCs w:val="21"/>
                <w:highlight w:val="none"/>
                <w:lang w:eastAsia="zh-CN"/>
              </w:rPr>
              <w:t>二类环境空气功能区</w:t>
            </w:r>
            <w:r>
              <w:rPr>
                <w:rFonts w:hint="eastAsia" w:ascii="宋体" w:hAnsi="宋体" w:eastAsia="宋体" w:cs="宋体"/>
                <w:color w:val="auto"/>
                <w:sz w:val="21"/>
                <w:szCs w:val="21"/>
                <w:highlight w:val="none"/>
              </w:rPr>
              <w:t>（居民区、商业交通居民混合区、文化区）</w:t>
            </w:r>
          </w:p>
        </w:tc>
        <w:tc>
          <w:tcPr>
            <w:tcW w:w="1365" w:type="dxa"/>
            <w:noWrap w:val="0"/>
            <w:vAlign w:val="center"/>
          </w:tcPr>
          <w:p w14:paraId="21DE2D14">
            <w:pPr>
              <w:jc w:val="center"/>
              <w:rPr>
                <w:rFonts w:hint="eastAsia" w:ascii="宋体" w:cs="宋体"/>
                <w:color w:val="auto"/>
                <w:szCs w:val="21"/>
              </w:rPr>
            </w:pPr>
            <w:r>
              <w:rPr>
                <w:rFonts w:hint="eastAsia" w:ascii="宋体" w:hAnsi="宋体" w:eastAsia="宋体" w:cs="宋体"/>
                <w:color w:val="auto"/>
                <w:sz w:val="21"/>
                <w:szCs w:val="21"/>
                <w:highlight w:val="none"/>
              </w:rPr>
              <w:t>3</w:t>
            </w:r>
          </w:p>
        </w:tc>
      </w:tr>
      <w:tr w14:paraId="55282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836" w:type="dxa"/>
            <w:vMerge w:val="continue"/>
            <w:noWrap w:val="0"/>
            <w:vAlign w:val="top"/>
          </w:tcPr>
          <w:p w14:paraId="5C4938E3">
            <w:pPr>
              <w:rPr>
                <w:color w:val="auto"/>
              </w:rPr>
            </w:pPr>
          </w:p>
        </w:tc>
        <w:tc>
          <w:tcPr>
            <w:tcW w:w="5869" w:type="dxa"/>
            <w:noWrap w:val="0"/>
            <w:vAlign w:val="top"/>
          </w:tcPr>
          <w:p w14:paraId="14F5CFFA">
            <w:pPr>
              <w:keepNext w:val="0"/>
              <w:keepLines w:val="0"/>
              <w:pageBreakBefore w:val="0"/>
              <w:widowControl w:val="0"/>
              <w:kinsoku/>
              <w:wordWrap/>
              <w:overflowPunct/>
              <w:topLinePunct w:val="0"/>
              <w:bidi w:val="0"/>
              <w:ind w:firstLine="420" w:firstLineChars="200"/>
              <w:jc w:val="both"/>
              <w:textAlignment w:val="auto"/>
              <w:rPr>
                <w:rFonts w:hint="eastAsia" w:ascii="宋体" w:cs="宋体"/>
                <w:color w:val="auto"/>
                <w:szCs w:val="21"/>
              </w:rPr>
            </w:pPr>
            <w:r>
              <w:rPr>
                <w:rFonts w:hint="eastAsia" w:ascii="宋体" w:hAnsi="宋体" w:cs="宋体"/>
                <w:color w:val="auto"/>
                <w:sz w:val="21"/>
                <w:szCs w:val="21"/>
                <w:highlight w:val="none"/>
                <w:lang w:eastAsia="zh-CN"/>
              </w:rPr>
              <w:t>一类环境空气功能区</w:t>
            </w:r>
          </w:p>
        </w:tc>
        <w:tc>
          <w:tcPr>
            <w:tcW w:w="1365" w:type="dxa"/>
            <w:noWrap w:val="0"/>
            <w:vAlign w:val="top"/>
          </w:tcPr>
          <w:p w14:paraId="1846FB49">
            <w:pPr>
              <w:jc w:val="center"/>
              <w:rPr>
                <w:rFonts w:hint="eastAsia" w:ascii="宋体" w:eastAsia="宋体" w:cs="宋体"/>
                <w:color w:val="auto"/>
                <w:szCs w:val="21"/>
                <w:lang w:val="en-US" w:eastAsia="zh-CN"/>
              </w:rPr>
            </w:pPr>
            <w:r>
              <w:rPr>
                <w:rFonts w:hint="eastAsia" w:ascii="宋体" w:hAnsi="宋体" w:eastAsia="宋体" w:cs="宋体"/>
                <w:color w:val="auto"/>
                <w:sz w:val="21"/>
                <w:szCs w:val="21"/>
                <w:highlight w:val="none"/>
              </w:rPr>
              <w:t>5</w:t>
            </w:r>
          </w:p>
        </w:tc>
      </w:tr>
    </w:tbl>
    <w:p w14:paraId="1AE06514">
      <w:pPr>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br w:type="page"/>
      </w:r>
    </w:p>
    <w:p w14:paraId="20B4F57C">
      <w:pPr>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楷体_GB2312" w:hAnsi="楷体_GB2312" w:eastAsia="楷体_GB2312" w:cs="楷体_GB2312"/>
          <w:b/>
          <w:bCs/>
          <w:color w:val="auto"/>
          <w:sz w:val="28"/>
          <w:szCs w:val="28"/>
          <w:highlight w:val="none"/>
          <w:lang w:val="en-US" w:eastAsia="zh-CN"/>
        </w:rPr>
      </w:pPr>
      <w:r>
        <w:rPr>
          <w:rFonts w:hint="eastAsia" w:ascii="楷体_GB2312" w:hAnsi="楷体_GB2312" w:eastAsia="楷体_GB2312" w:cs="楷体_GB2312"/>
          <w:b/>
          <w:bCs/>
          <w:color w:val="auto"/>
          <w:sz w:val="28"/>
          <w:szCs w:val="28"/>
          <w:highlight w:val="none"/>
          <w:lang w:val="en-US" w:eastAsia="zh-CN"/>
        </w:rPr>
        <w:t>（五）水污染防治类</w:t>
      </w:r>
    </w:p>
    <w:p w14:paraId="41E2E900">
      <w:pPr>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楷体_GB2312" w:hAnsi="楷体_GB2312" w:eastAsia="楷体_GB2312" w:cs="楷体_GB2312"/>
          <w:b/>
          <w:bCs/>
          <w:color w:val="auto"/>
          <w:sz w:val="28"/>
          <w:szCs w:val="28"/>
          <w:highlight w:val="none"/>
          <w:lang w:val="en-US" w:eastAsia="zh-CN"/>
        </w:rPr>
      </w:pPr>
    </w:p>
    <w:p w14:paraId="7C1334C9">
      <w:pPr>
        <w:keepNext w:val="0"/>
        <w:keepLines w:val="0"/>
        <w:pageBreakBefore w:val="0"/>
        <w:widowControl w:val="0"/>
        <w:kinsoku/>
        <w:wordWrap/>
        <w:overflowPunct/>
        <w:topLinePunct w:val="0"/>
        <w:autoSpaceDE/>
        <w:autoSpaceDN/>
        <w:bidi w:val="0"/>
        <w:adjustRightInd w:val="0"/>
        <w:snapToGrid w:val="0"/>
        <w:spacing w:line="312" w:lineRule="auto"/>
        <w:ind w:firstLine="480" w:firstLineChars="200"/>
        <w:jc w:val="both"/>
        <w:textAlignment w:val="auto"/>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1.</w:t>
      </w:r>
      <w:r>
        <w:rPr>
          <w:rFonts w:hint="eastAsia" w:ascii="宋体" w:hAnsi="Times New Roman" w:cs="Times New Roman"/>
          <w:color w:val="auto"/>
          <w:kern w:val="0"/>
          <w:sz w:val="24"/>
        </w:rPr>
        <w:t>向水体排放油类、酸液、碱液的</w:t>
      </w:r>
      <w:r>
        <w:rPr>
          <w:rFonts w:hint="eastAsia" w:ascii="宋体" w:hAnsi="Times New Roman" w:cs="Times New Roman"/>
          <w:color w:val="auto"/>
          <w:kern w:val="0"/>
          <w:sz w:val="24"/>
          <w:lang w:eastAsia="zh-CN"/>
        </w:rPr>
        <w:t>；</w:t>
      </w:r>
    </w:p>
    <w:p w14:paraId="6E2ACD26">
      <w:pPr>
        <w:keepNext w:val="0"/>
        <w:keepLines w:val="0"/>
        <w:pageBreakBefore w:val="0"/>
        <w:widowControl w:val="0"/>
        <w:kinsoku/>
        <w:wordWrap/>
        <w:overflowPunct/>
        <w:topLinePunct w:val="0"/>
        <w:autoSpaceDE/>
        <w:autoSpaceDN/>
        <w:bidi w:val="0"/>
        <w:adjustRightInd w:val="0"/>
        <w:snapToGrid w:val="0"/>
        <w:spacing w:line="312" w:lineRule="auto"/>
        <w:ind w:firstLine="480" w:firstLineChars="200"/>
        <w:jc w:val="both"/>
        <w:textAlignment w:val="auto"/>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2.向水体排放剧毒废液，或者将含有汞、镉、砷、铬、铅、氰化物、黄磷等的可溶性剧毒废渣向水体排放、倾倒或者直接埋入地下的；</w:t>
      </w:r>
    </w:p>
    <w:p w14:paraId="4BCEBD2D">
      <w:pPr>
        <w:keepNext w:val="0"/>
        <w:keepLines w:val="0"/>
        <w:pageBreakBefore w:val="0"/>
        <w:widowControl w:val="0"/>
        <w:kinsoku/>
        <w:wordWrap/>
        <w:overflowPunct/>
        <w:topLinePunct w:val="0"/>
        <w:autoSpaceDE/>
        <w:autoSpaceDN/>
        <w:bidi w:val="0"/>
        <w:adjustRightInd w:val="0"/>
        <w:snapToGrid w:val="0"/>
        <w:spacing w:line="312" w:lineRule="auto"/>
        <w:ind w:firstLine="480" w:firstLineChars="200"/>
        <w:jc w:val="both"/>
        <w:textAlignment w:val="auto"/>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3.在水体清洗装贮过油类、有毒有害污染物的车辆或者容器的；</w:t>
      </w:r>
    </w:p>
    <w:p w14:paraId="2E89D98A">
      <w:pPr>
        <w:keepNext w:val="0"/>
        <w:keepLines w:val="0"/>
        <w:pageBreakBefore w:val="0"/>
        <w:widowControl w:val="0"/>
        <w:kinsoku/>
        <w:wordWrap/>
        <w:overflowPunct/>
        <w:topLinePunct w:val="0"/>
        <w:autoSpaceDE/>
        <w:autoSpaceDN/>
        <w:bidi w:val="0"/>
        <w:adjustRightInd w:val="0"/>
        <w:snapToGrid w:val="0"/>
        <w:spacing w:line="312" w:lineRule="auto"/>
        <w:ind w:firstLine="480" w:firstLineChars="200"/>
        <w:jc w:val="both"/>
        <w:textAlignment w:val="auto"/>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4.违反国家规定或者标准，向水体排放含热废水或者含病原体的污水的；</w:t>
      </w:r>
    </w:p>
    <w:p w14:paraId="485BE08A">
      <w:pPr>
        <w:keepNext w:val="0"/>
        <w:keepLines w:val="0"/>
        <w:pageBreakBefore w:val="0"/>
        <w:widowControl w:val="0"/>
        <w:kinsoku/>
        <w:wordWrap/>
        <w:overflowPunct/>
        <w:topLinePunct w:val="0"/>
        <w:autoSpaceDE/>
        <w:autoSpaceDN/>
        <w:bidi w:val="0"/>
        <w:adjustRightInd w:val="0"/>
        <w:snapToGrid w:val="0"/>
        <w:spacing w:line="312" w:lineRule="auto"/>
        <w:ind w:firstLine="480" w:firstLineChars="200"/>
        <w:jc w:val="both"/>
        <w:textAlignment w:val="auto"/>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5.向水体排放、倾倒工业废渣、城镇垃圾或者其他废弃物，或者向江河湖泊、运河、渠道、水库及其最高水位线以下的滩地、岸坡以及法律法规规定的其他地点倾倒、堆放、贮存固体废物或者其他污染物的；</w:t>
      </w:r>
    </w:p>
    <w:p w14:paraId="486BE568">
      <w:pPr>
        <w:keepNext w:val="0"/>
        <w:keepLines w:val="0"/>
        <w:pageBreakBefore w:val="0"/>
        <w:widowControl w:val="0"/>
        <w:kinsoku/>
        <w:wordWrap/>
        <w:overflowPunct/>
        <w:topLinePunct w:val="0"/>
        <w:autoSpaceDE/>
        <w:autoSpaceDN/>
        <w:bidi w:val="0"/>
        <w:adjustRightInd w:val="0"/>
        <w:snapToGrid w:val="0"/>
        <w:spacing w:line="312" w:lineRule="auto"/>
        <w:ind w:firstLine="480" w:firstLineChars="200"/>
        <w:jc w:val="both"/>
        <w:textAlignment w:val="auto"/>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6.未采取防渗漏等措施，未建设地下水水质监测井进行监测的；</w:t>
      </w:r>
    </w:p>
    <w:p w14:paraId="413ECE1D">
      <w:pPr>
        <w:keepNext w:val="0"/>
        <w:keepLines w:val="0"/>
        <w:pageBreakBefore w:val="0"/>
        <w:widowControl w:val="0"/>
        <w:kinsoku/>
        <w:wordWrap/>
        <w:overflowPunct/>
        <w:topLinePunct w:val="0"/>
        <w:autoSpaceDE/>
        <w:autoSpaceDN/>
        <w:bidi w:val="0"/>
        <w:adjustRightInd w:val="0"/>
        <w:snapToGrid w:val="0"/>
        <w:spacing w:line="312" w:lineRule="auto"/>
        <w:ind w:firstLine="480" w:firstLineChars="200"/>
        <w:jc w:val="both"/>
        <w:textAlignment w:val="auto"/>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7.加油站、采油厂等的地下油罐未使用双层罐或者采取建造防渗池等其他有效措施，或者未进行防渗漏监测的；</w:t>
      </w:r>
    </w:p>
    <w:p w14:paraId="201C302F">
      <w:pPr>
        <w:keepNext w:val="0"/>
        <w:keepLines w:val="0"/>
        <w:pageBreakBefore w:val="0"/>
        <w:widowControl w:val="0"/>
        <w:kinsoku/>
        <w:wordWrap/>
        <w:overflowPunct/>
        <w:topLinePunct w:val="0"/>
        <w:autoSpaceDE/>
        <w:autoSpaceDN/>
        <w:bidi w:val="0"/>
        <w:adjustRightInd w:val="0"/>
        <w:snapToGrid w:val="0"/>
        <w:spacing w:line="312" w:lineRule="auto"/>
        <w:ind w:firstLine="480" w:firstLineChars="200"/>
        <w:jc w:val="both"/>
        <w:textAlignment w:val="auto"/>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8.利用无防渗漏措施的沟渠、坑塘等输送或者贮存含有毒有害污染物的废水、含病原体的污水或者其他废弃物的；</w:t>
      </w:r>
    </w:p>
    <w:p w14:paraId="506C85C5">
      <w:pPr>
        <w:keepNext w:val="0"/>
        <w:keepLines w:val="0"/>
        <w:pageBreakBefore w:val="0"/>
        <w:widowControl w:val="0"/>
        <w:kinsoku/>
        <w:wordWrap/>
        <w:overflowPunct/>
        <w:topLinePunct w:val="0"/>
        <w:autoSpaceDE/>
        <w:autoSpaceDN/>
        <w:bidi w:val="0"/>
        <w:adjustRightInd w:val="0"/>
        <w:snapToGrid w:val="0"/>
        <w:spacing w:line="312" w:lineRule="auto"/>
        <w:ind w:firstLine="480" w:firstLineChars="200"/>
        <w:jc w:val="both"/>
        <w:textAlignment w:val="auto"/>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9.未采取有效措施，致使在处理安全生产事故过程中产生的可能严重污染水体的消防废物直接排入水体的；</w:t>
      </w:r>
    </w:p>
    <w:p w14:paraId="6F2FB08F">
      <w:pPr>
        <w:keepNext w:val="0"/>
        <w:keepLines w:val="0"/>
        <w:pageBreakBefore w:val="0"/>
        <w:widowControl w:val="0"/>
        <w:kinsoku/>
        <w:wordWrap/>
        <w:overflowPunct/>
        <w:topLinePunct w:val="0"/>
        <w:autoSpaceDE/>
        <w:autoSpaceDN/>
        <w:bidi w:val="0"/>
        <w:adjustRightInd w:val="0"/>
        <w:snapToGrid w:val="0"/>
        <w:spacing w:line="312" w:lineRule="auto"/>
        <w:ind w:firstLine="480" w:firstLineChars="200"/>
        <w:jc w:val="both"/>
        <w:textAlignment w:val="auto"/>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10.稀释排放含有毒有害水污染物的工业废水，但不属于以逃避监管方式排放污染物的；</w:t>
      </w:r>
    </w:p>
    <w:p w14:paraId="397596F4">
      <w:pPr>
        <w:keepNext w:val="0"/>
        <w:keepLines w:val="0"/>
        <w:pageBreakBefore w:val="0"/>
        <w:widowControl w:val="0"/>
        <w:kinsoku/>
        <w:wordWrap/>
        <w:overflowPunct/>
        <w:topLinePunct w:val="0"/>
        <w:autoSpaceDE/>
        <w:autoSpaceDN/>
        <w:bidi w:val="0"/>
        <w:adjustRightInd w:val="0"/>
        <w:snapToGrid w:val="0"/>
        <w:spacing w:line="312" w:lineRule="auto"/>
        <w:ind w:firstLine="480" w:firstLineChars="200"/>
        <w:jc w:val="both"/>
        <w:textAlignment w:val="auto"/>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11.向农田灌溉渠道排放工业废水或者医疗污水的；</w:t>
      </w:r>
    </w:p>
    <w:p w14:paraId="322C1873">
      <w:pPr>
        <w:keepNext w:val="0"/>
        <w:keepLines w:val="0"/>
        <w:pageBreakBefore w:val="0"/>
        <w:widowControl w:val="0"/>
        <w:kinsoku/>
        <w:wordWrap/>
        <w:overflowPunct/>
        <w:topLinePunct w:val="0"/>
        <w:autoSpaceDE/>
        <w:autoSpaceDN/>
        <w:bidi w:val="0"/>
        <w:adjustRightInd w:val="0"/>
        <w:snapToGrid w:val="0"/>
        <w:spacing w:line="312" w:lineRule="auto"/>
        <w:ind w:firstLine="480" w:firstLineChars="200"/>
        <w:jc w:val="both"/>
        <w:textAlignment w:val="auto"/>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12.向农田灌溉渠道排放城镇污水以及未综合利用的水产养殖尾水、农产品加工废水，致使其下游最近的灌溉取水点的水质不符合农田灌溉用水水质标准的；</w:t>
      </w:r>
    </w:p>
    <w:p w14:paraId="539E7DC1">
      <w:pPr>
        <w:keepNext w:val="0"/>
        <w:keepLines w:val="0"/>
        <w:pageBreakBefore w:val="0"/>
        <w:widowControl w:val="0"/>
        <w:kinsoku/>
        <w:wordWrap/>
        <w:overflowPunct/>
        <w:topLinePunct w:val="0"/>
        <w:autoSpaceDE/>
        <w:autoSpaceDN/>
        <w:bidi w:val="0"/>
        <w:adjustRightInd w:val="0"/>
        <w:snapToGrid w:val="0"/>
        <w:spacing w:line="312" w:lineRule="auto"/>
        <w:ind w:firstLine="480" w:firstLineChars="200"/>
        <w:jc w:val="both"/>
        <w:textAlignment w:val="auto"/>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13.向污水集中处理设施排放不符合处理工艺要求的工业废水的；</w:t>
      </w:r>
    </w:p>
    <w:p w14:paraId="047EA679">
      <w:pPr>
        <w:keepNext w:val="0"/>
        <w:keepLines w:val="0"/>
        <w:pageBreakBefore w:val="0"/>
        <w:widowControl w:val="0"/>
        <w:kinsoku/>
        <w:wordWrap/>
        <w:overflowPunct/>
        <w:topLinePunct w:val="0"/>
        <w:autoSpaceDE/>
        <w:autoSpaceDN/>
        <w:bidi w:val="0"/>
        <w:adjustRightInd w:val="0"/>
        <w:snapToGrid w:val="0"/>
        <w:spacing w:line="312" w:lineRule="auto"/>
        <w:ind w:firstLine="480" w:firstLineChars="200"/>
        <w:jc w:val="both"/>
        <w:textAlignment w:val="auto"/>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14.在饮用水水源一级保护区内新建、改建、扩建与供水设施和保护水源无关的建设项目的；</w:t>
      </w:r>
    </w:p>
    <w:p w14:paraId="47852F62">
      <w:pPr>
        <w:keepNext w:val="0"/>
        <w:keepLines w:val="0"/>
        <w:pageBreakBefore w:val="0"/>
        <w:widowControl w:val="0"/>
        <w:kinsoku/>
        <w:wordWrap/>
        <w:overflowPunct/>
        <w:topLinePunct w:val="0"/>
        <w:autoSpaceDE/>
        <w:autoSpaceDN/>
        <w:bidi w:val="0"/>
        <w:adjustRightInd w:val="0"/>
        <w:snapToGrid w:val="0"/>
        <w:spacing w:line="312" w:lineRule="auto"/>
        <w:ind w:firstLine="480" w:firstLineChars="200"/>
        <w:jc w:val="both"/>
        <w:textAlignment w:val="auto"/>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15.在饮用水水源二级保护区内新建、改建、扩建排放污染物的建设项目的；</w:t>
      </w:r>
    </w:p>
    <w:p w14:paraId="5E5410C0">
      <w:pPr>
        <w:keepNext w:val="0"/>
        <w:keepLines w:val="0"/>
        <w:pageBreakBefore w:val="0"/>
        <w:widowControl w:val="0"/>
        <w:kinsoku/>
        <w:wordWrap/>
        <w:overflowPunct/>
        <w:topLinePunct w:val="0"/>
        <w:autoSpaceDE/>
        <w:autoSpaceDN/>
        <w:bidi w:val="0"/>
        <w:adjustRightInd w:val="0"/>
        <w:snapToGrid w:val="0"/>
        <w:spacing w:line="312" w:lineRule="auto"/>
        <w:ind w:firstLine="480" w:firstLineChars="200"/>
        <w:jc w:val="both"/>
        <w:textAlignment w:val="auto"/>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16.在饮用水水源准保护区内新建、扩建对水体污染严重的建设项目，或者改建建设项目增加排污量的；</w:t>
      </w:r>
    </w:p>
    <w:p w14:paraId="29432380">
      <w:pPr>
        <w:keepNext w:val="0"/>
        <w:keepLines w:val="0"/>
        <w:pageBreakBefore w:val="0"/>
        <w:widowControl w:val="0"/>
        <w:kinsoku/>
        <w:wordWrap/>
        <w:overflowPunct/>
        <w:topLinePunct w:val="0"/>
        <w:autoSpaceDE/>
        <w:autoSpaceDN/>
        <w:bidi w:val="0"/>
        <w:adjustRightInd w:val="0"/>
        <w:snapToGrid w:val="0"/>
        <w:spacing w:line="312" w:lineRule="auto"/>
        <w:ind w:firstLine="480" w:firstLineChars="200"/>
        <w:jc w:val="both"/>
        <w:textAlignment w:val="auto"/>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17.在饮用水水源一级保护区内从事网箱养殖或者组织进行旅游、垂钓或者其他可能污染饮用水水体的活动的；</w:t>
      </w:r>
    </w:p>
    <w:p w14:paraId="768D4250">
      <w:pPr>
        <w:keepNext w:val="0"/>
        <w:keepLines w:val="0"/>
        <w:pageBreakBefore w:val="0"/>
        <w:widowControl w:val="0"/>
        <w:kinsoku/>
        <w:wordWrap/>
        <w:overflowPunct/>
        <w:topLinePunct w:val="0"/>
        <w:autoSpaceDE/>
        <w:autoSpaceDN/>
        <w:bidi w:val="0"/>
        <w:adjustRightInd w:val="0"/>
        <w:snapToGrid w:val="0"/>
        <w:spacing w:line="312" w:lineRule="auto"/>
        <w:ind w:firstLine="480" w:firstLineChars="200"/>
        <w:jc w:val="both"/>
        <w:textAlignment w:val="auto"/>
        <w:rPr>
          <w:rFonts w:hint="eastAsia" w:ascii="宋体" w:hAnsi="Times New Roman" w:cs="Times New Roman"/>
          <w:color w:val="auto"/>
          <w:kern w:val="0"/>
          <w:sz w:val="24"/>
          <w:szCs w:val="24"/>
          <w:lang w:val="en-US" w:eastAsia="zh-CN"/>
        </w:rPr>
      </w:pPr>
      <w:r>
        <w:rPr>
          <w:rFonts w:hint="eastAsia" w:ascii="宋体" w:hAnsi="Times New Roman" w:cs="Times New Roman"/>
          <w:color w:val="auto"/>
          <w:kern w:val="0"/>
          <w:sz w:val="24"/>
          <w:szCs w:val="24"/>
          <w:lang w:val="en-US" w:eastAsia="zh-CN"/>
        </w:rPr>
        <w:t>18.未按照环境影响评价文件和审批意见的要求将初期雨水收集处理，直接向外环境排放的；</w:t>
      </w:r>
    </w:p>
    <w:p w14:paraId="6C2D2651">
      <w:pPr>
        <w:keepNext w:val="0"/>
        <w:keepLines w:val="0"/>
        <w:pageBreakBefore w:val="0"/>
        <w:widowControl w:val="0"/>
        <w:kinsoku/>
        <w:wordWrap/>
        <w:overflowPunct/>
        <w:topLinePunct w:val="0"/>
        <w:autoSpaceDE/>
        <w:autoSpaceDN/>
        <w:bidi w:val="0"/>
        <w:adjustRightInd w:val="0"/>
        <w:snapToGrid w:val="0"/>
        <w:spacing w:line="312" w:lineRule="auto"/>
        <w:ind w:firstLine="480" w:firstLineChars="200"/>
        <w:jc w:val="both"/>
        <w:textAlignment w:val="auto"/>
        <w:rPr>
          <w:rFonts w:hint="eastAsia" w:ascii="宋体" w:hAnsi="Times New Roman" w:cs="Times New Roman"/>
          <w:color w:val="auto"/>
          <w:kern w:val="0"/>
          <w:sz w:val="24"/>
          <w:szCs w:val="24"/>
          <w:lang w:val="en-US" w:eastAsia="zh-CN"/>
        </w:rPr>
      </w:pPr>
      <w:r>
        <w:rPr>
          <w:rFonts w:hint="eastAsia" w:ascii="宋体" w:hAnsi="Times New Roman" w:cs="Times New Roman"/>
          <w:color w:val="auto"/>
          <w:kern w:val="0"/>
          <w:sz w:val="24"/>
          <w:szCs w:val="24"/>
          <w:lang w:val="en-US" w:eastAsia="zh-CN"/>
        </w:rPr>
        <w:t>19.使用高毒高残留农药进行清塘、清涂，逾期未改正的；</w:t>
      </w:r>
    </w:p>
    <w:p w14:paraId="73FF2F9C">
      <w:pPr>
        <w:keepNext w:val="0"/>
        <w:keepLines w:val="0"/>
        <w:pageBreakBefore w:val="0"/>
        <w:widowControl w:val="0"/>
        <w:kinsoku/>
        <w:wordWrap/>
        <w:overflowPunct/>
        <w:topLinePunct w:val="0"/>
        <w:autoSpaceDE/>
        <w:autoSpaceDN/>
        <w:bidi w:val="0"/>
        <w:adjustRightInd w:val="0"/>
        <w:snapToGrid w:val="0"/>
        <w:spacing w:line="312" w:lineRule="auto"/>
        <w:ind w:firstLine="480" w:firstLineChars="200"/>
        <w:jc w:val="both"/>
        <w:textAlignment w:val="auto"/>
        <w:rPr>
          <w:rFonts w:hint="default" w:ascii="宋体" w:hAnsi="Times New Roman" w:cs="Times New Roman"/>
          <w:color w:val="auto"/>
          <w:kern w:val="0"/>
          <w:sz w:val="24"/>
          <w:szCs w:val="24"/>
          <w:lang w:val="en-US" w:eastAsia="zh-CN"/>
        </w:rPr>
      </w:pPr>
      <w:r>
        <w:rPr>
          <w:rFonts w:hint="eastAsia" w:ascii="宋体" w:hAnsi="Times New Roman" w:cs="Times New Roman"/>
          <w:color w:val="auto"/>
          <w:kern w:val="0"/>
          <w:sz w:val="24"/>
          <w:szCs w:val="24"/>
          <w:lang w:val="en-US" w:eastAsia="zh-CN"/>
        </w:rPr>
        <w:t>20.水电站未执行最小生态下泄流量规定的，逾期未改正的；</w:t>
      </w:r>
    </w:p>
    <w:p w14:paraId="07C56B02">
      <w:pPr>
        <w:keepNext w:val="0"/>
        <w:keepLines w:val="0"/>
        <w:pageBreakBefore w:val="0"/>
        <w:widowControl w:val="0"/>
        <w:kinsoku/>
        <w:wordWrap/>
        <w:overflowPunct/>
        <w:topLinePunct w:val="0"/>
        <w:autoSpaceDE/>
        <w:autoSpaceDN/>
        <w:bidi w:val="0"/>
        <w:adjustRightInd w:val="0"/>
        <w:snapToGrid w:val="0"/>
        <w:spacing w:line="312" w:lineRule="auto"/>
        <w:ind w:firstLine="480" w:firstLineChars="200"/>
        <w:jc w:val="both"/>
        <w:textAlignment w:val="auto"/>
        <w:rPr>
          <w:rFonts w:hint="eastAsia" w:ascii="宋体" w:hAnsi="Times New Roman" w:cs="Times New Roman"/>
          <w:color w:val="auto"/>
          <w:kern w:val="0"/>
          <w:sz w:val="24"/>
          <w:szCs w:val="24"/>
          <w:lang w:val="en-US" w:eastAsia="zh-CN"/>
        </w:rPr>
      </w:pPr>
      <w:r>
        <w:rPr>
          <w:rFonts w:hint="eastAsia" w:ascii="宋体" w:hAnsi="Times New Roman" w:cs="Times New Roman"/>
          <w:color w:val="auto"/>
          <w:kern w:val="0"/>
          <w:sz w:val="24"/>
          <w:szCs w:val="24"/>
          <w:lang w:val="en-US" w:eastAsia="zh-CN"/>
        </w:rPr>
        <w:t>21.损毁、涂改、擅自移动地理界标、警示标志、保护区边界拐点界桩或者隔离设施的；</w:t>
      </w:r>
    </w:p>
    <w:p w14:paraId="776B4604">
      <w:pPr>
        <w:keepNext w:val="0"/>
        <w:keepLines w:val="0"/>
        <w:pageBreakBefore w:val="0"/>
        <w:widowControl w:val="0"/>
        <w:kinsoku/>
        <w:wordWrap/>
        <w:overflowPunct/>
        <w:topLinePunct w:val="0"/>
        <w:autoSpaceDE/>
        <w:autoSpaceDN/>
        <w:bidi w:val="0"/>
        <w:adjustRightInd w:val="0"/>
        <w:snapToGrid w:val="0"/>
        <w:spacing w:line="312" w:lineRule="auto"/>
        <w:ind w:firstLine="480" w:firstLineChars="200"/>
        <w:jc w:val="both"/>
        <w:textAlignment w:val="auto"/>
        <w:rPr>
          <w:rFonts w:hint="eastAsia" w:ascii="宋体" w:hAnsi="Times New Roman" w:cs="Times New Roman"/>
          <w:color w:val="auto"/>
          <w:kern w:val="0"/>
          <w:sz w:val="24"/>
          <w:szCs w:val="24"/>
          <w:lang w:val="en-US" w:eastAsia="zh-CN"/>
        </w:rPr>
      </w:pPr>
      <w:r>
        <w:rPr>
          <w:rFonts w:hint="eastAsia" w:ascii="宋体" w:hAnsi="Times New Roman" w:cs="Times New Roman"/>
          <w:color w:val="auto"/>
          <w:kern w:val="0"/>
          <w:sz w:val="24"/>
          <w:szCs w:val="24"/>
          <w:lang w:val="en-US" w:eastAsia="zh-CN"/>
        </w:rPr>
        <w:t>22.在饮用水水源一级保护区内堆置、存放和填埋工业废渣、城乡垃圾、粪便或者其他废弃物的；</w:t>
      </w:r>
    </w:p>
    <w:p w14:paraId="7CE5045A">
      <w:pPr>
        <w:keepNext w:val="0"/>
        <w:keepLines w:val="0"/>
        <w:pageBreakBefore w:val="0"/>
        <w:widowControl w:val="0"/>
        <w:kinsoku/>
        <w:wordWrap/>
        <w:overflowPunct/>
        <w:topLinePunct w:val="0"/>
        <w:autoSpaceDE/>
        <w:autoSpaceDN/>
        <w:bidi w:val="0"/>
        <w:adjustRightInd w:val="0"/>
        <w:snapToGrid w:val="0"/>
        <w:spacing w:line="312" w:lineRule="auto"/>
        <w:ind w:firstLine="480" w:firstLineChars="200"/>
        <w:jc w:val="both"/>
        <w:textAlignment w:val="auto"/>
        <w:rPr>
          <w:rFonts w:hint="eastAsia" w:ascii="宋体" w:hAnsi="Times New Roman" w:cs="Times New Roman"/>
          <w:color w:val="auto"/>
          <w:kern w:val="0"/>
          <w:sz w:val="24"/>
          <w:szCs w:val="24"/>
          <w:lang w:val="en-US" w:eastAsia="zh-CN"/>
        </w:rPr>
      </w:pPr>
      <w:r>
        <w:rPr>
          <w:rFonts w:hint="eastAsia" w:ascii="宋体" w:hAnsi="Times New Roman" w:cs="Times New Roman"/>
          <w:color w:val="auto"/>
          <w:kern w:val="0"/>
          <w:sz w:val="24"/>
          <w:szCs w:val="24"/>
          <w:lang w:val="en-US" w:eastAsia="zh-CN"/>
        </w:rPr>
        <w:t>23.生产、储存危险化学品的企业事业单位未按照规定建设事故应急池等水污染应急设施的；</w:t>
      </w:r>
    </w:p>
    <w:p w14:paraId="2C1A8609">
      <w:pPr>
        <w:rPr>
          <w:highlight w:val="none"/>
        </w:rPr>
      </w:pPr>
      <w:r>
        <w:rPr>
          <w:highlight w:val="none"/>
        </w:rPr>
        <w:br w:type="page"/>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99"/>
        <w:gridCol w:w="5817"/>
        <w:gridCol w:w="1332"/>
      </w:tblGrid>
      <w:tr w14:paraId="151FB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3"/>
            <w:noWrap w:val="0"/>
            <w:vAlign w:val="top"/>
          </w:tcPr>
          <w:p w14:paraId="5389CEA0">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w:t>
            </w:r>
            <w:r>
              <w:rPr>
                <w:rFonts w:hint="eastAsia" w:ascii="宋体" w:hAnsi="宋体" w:eastAsia="宋体" w:cs="宋体"/>
                <w:bCs/>
                <w:color w:val="auto"/>
                <w:sz w:val="21"/>
                <w:szCs w:val="21"/>
                <w:highlight w:val="none"/>
                <w:lang w:val="en-US" w:eastAsia="zh-CN"/>
              </w:rPr>
              <w:t>五</w:t>
            </w:r>
            <w:r>
              <w:rPr>
                <w:rFonts w:hint="eastAsia" w:ascii="宋体" w:hAnsi="宋体" w:eastAsia="宋体" w:cs="宋体"/>
                <w:bCs/>
                <w:color w:val="auto"/>
                <w:sz w:val="21"/>
                <w:szCs w:val="21"/>
                <w:highlight w:val="none"/>
              </w:rPr>
              <w:t>）水污染防治类</w:t>
            </w:r>
          </w:p>
        </w:tc>
      </w:tr>
      <w:tr w14:paraId="7D0BF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3" w:type="dxa"/>
            <w:noWrap w:val="0"/>
            <w:vAlign w:val="center"/>
          </w:tcPr>
          <w:p w14:paraId="1FFB924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809" w:type="dxa"/>
            <w:gridSpan w:val="2"/>
            <w:noWrap w:val="0"/>
            <w:vAlign w:val="top"/>
          </w:tcPr>
          <w:p w14:paraId="0AE5E006">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r>
      <w:tr w14:paraId="45925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3" w:type="dxa"/>
            <w:noWrap w:val="0"/>
            <w:vAlign w:val="center"/>
          </w:tcPr>
          <w:p w14:paraId="61ED339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6809" w:type="dxa"/>
            <w:gridSpan w:val="2"/>
            <w:noWrap w:val="0"/>
            <w:vAlign w:val="top"/>
          </w:tcPr>
          <w:p w14:paraId="05FDAEF8">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向水体排放油类、酸液、碱液的</w:t>
            </w:r>
          </w:p>
        </w:tc>
      </w:tr>
      <w:tr w14:paraId="7A1E4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713" w:type="dxa"/>
            <w:noWrap w:val="0"/>
            <w:vAlign w:val="center"/>
          </w:tcPr>
          <w:p w14:paraId="49387B7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6809" w:type="dxa"/>
            <w:gridSpan w:val="2"/>
            <w:noWrap w:val="0"/>
            <w:vAlign w:val="top"/>
          </w:tcPr>
          <w:p w14:paraId="017F7B02">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《中华人民共和国生态环境法典》第二百七十九条第一款  禁止向水体排放油类、酸液、碱液、剧毒废液。禁止在水体清洗装贮过油类或者有毒有害污染物的车辆和容器。</w:t>
            </w:r>
          </w:p>
        </w:tc>
      </w:tr>
      <w:tr w14:paraId="770CC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3" w:type="dxa"/>
            <w:noWrap w:val="0"/>
            <w:vAlign w:val="center"/>
          </w:tcPr>
          <w:p w14:paraId="33E9359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6809" w:type="dxa"/>
            <w:gridSpan w:val="2"/>
            <w:noWrap w:val="0"/>
            <w:vAlign w:val="top"/>
          </w:tcPr>
          <w:p w14:paraId="6128D7A1">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《中华人民共和国生态环境法典》第一千一百三十六条第一款第一项、第二款  违反本法规定，有下列情形之一的，由生态环境主管部门责令停止违法行为，采取治理措施消除污染，处以罚款，可以责令采取限制生产、停产整治等措施；拒不采取治理措施的，可以指定有治理能力的单位代为治理，所需费用由违法者承担</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w:t>
            </w:r>
          </w:p>
          <w:p w14:paraId="5C2B9804">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（一）向水体排放油类、酸液、碱液；</w:t>
            </w:r>
          </w:p>
          <w:p w14:paraId="5C67CD29">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有前款第三项、第四项情形之一的，处二万元以上二十万元以下的罚款；有前款第一项、第五项情形之一的，处十万元以上一百万元以下的罚款；有前款第二项情形的，处二十万元以上二百万元以下的罚款。</w:t>
            </w:r>
          </w:p>
        </w:tc>
      </w:tr>
      <w:tr w14:paraId="2ACBD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3" w:type="dxa"/>
            <w:noWrap w:val="0"/>
            <w:vAlign w:val="center"/>
          </w:tcPr>
          <w:p w14:paraId="6DEA663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540" w:type="dxa"/>
            <w:noWrap w:val="0"/>
            <w:vAlign w:val="top"/>
          </w:tcPr>
          <w:p w14:paraId="4BFC061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269" w:type="dxa"/>
            <w:noWrap w:val="0"/>
            <w:vAlign w:val="top"/>
          </w:tcPr>
          <w:p w14:paraId="174752D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3E367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3" w:type="dxa"/>
            <w:vMerge w:val="restart"/>
            <w:noWrap w:val="0"/>
            <w:vAlign w:val="center"/>
          </w:tcPr>
          <w:p w14:paraId="454E8B9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污染物类别</w:t>
            </w:r>
          </w:p>
        </w:tc>
        <w:tc>
          <w:tcPr>
            <w:tcW w:w="5540" w:type="dxa"/>
            <w:noWrap w:val="0"/>
            <w:vAlign w:val="top"/>
          </w:tcPr>
          <w:p w14:paraId="0247AD15">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pH值9-11碱液或pH值4-6酸液</w:t>
            </w:r>
          </w:p>
        </w:tc>
        <w:tc>
          <w:tcPr>
            <w:tcW w:w="1269" w:type="dxa"/>
            <w:noWrap w:val="0"/>
            <w:vAlign w:val="center"/>
          </w:tcPr>
          <w:p w14:paraId="55E2DF9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46B9A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3" w:type="dxa"/>
            <w:vMerge w:val="continue"/>
            <w:noWrap w:val="0"/>
            <w:vAlign w:val="center"/>
          </w:tcPr>
          <w:p w14:paraId="10853483">
            <w:pPr>
              <w:jc w:val="center"/>
              <w:rPr>
                <w:rFonts w:hint="eastAsia" w:ascii="宋体" w:hAnsi="宋体" w:eastAsia="宋体" w:cs="宋体"/>
                <w:color w:val="auto"/>
                <w:sz w:val="21"/>
                <w:szCs w:val="21"/>
                <w:highlight w:val="none"/>
              </w:rPr>
            </w:pPr>
          </w:p>
        </w:tc>
        <w:tc>
          <w:tcPr>
            <w:tcW w:w="5540" w:type="dxa"/>
            <w:noWrap w:val="0"/>
            <w:vAlign w:val="top"/>
          </w:tcPr>
          <w:p w14:paraId="1272063A">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pH值11-12.5碱液或pH值2-4酸液，一般油类</w:t>
            </w:r>
          </w:p>
        </w:tc>
        <w:tc>
          <w:tcPr>
            <w:tcW w:w="1269" w:type="dxa"/>
            <w:noWrap w:val="0"/>
            <w:vAlign w:val="center"/>
          </w:tcPr>
          <w:p w14:paraId="231DD6D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4B73F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713" w:type="dxa"/>
            <w:vMerge w:val="continue"/>
            <w:noWrap w:val="0"/>
            <w:vAlign w:val="center"/>
          </w:tcPr>
          <w:p w14:paraId="1781E4E7">
            <w:pPr>
              <w:jc w:val="center"/>
              <w:rPr>
                <w:rFonts w:hint="eastAsia" w:ascii="宋体" w:hAnsi="宋体" w:eastAsia="宋体" w:cs="宋体"/>
                <w:color w:val="auto"/>
                <w:sz w:val="21"/>
                <w:szCs w:val="21"/>
                <w:highlight w:val="none"/>
              </w:rPr>
            </w:pPr>
          </w:p>
        </w:tc>
        <w:tc>
          <w:tcPr>
            <w:tcW w:w="5540" w:type="dxa"/>
            <w:noWrap w:val="0"/>
            <w:vAlign w:val="top"/>
          </w:tcPr>
          <w:p w14:paraId="3EAA5502">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pH值12.5以上碱液或pH值不足2酸液，含重金属或有毒有害物质油类，剧毒废液</w:t>
            </w:r>
          </w:p>
        </w:tc>
        <w:tc>
          <w:tcPr>
            <w:tcW w:w="1269" w:type="dxa"/>
            <w:noWrap w:val="0"/>
            <w:vAlign w:val="center"/>
          </w:tcPr>
          <w:p w14:paraId="7E263B2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6E528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713" w:type="dxa"/>
            <w:vMerge w:val="restart"/>
            <w:noWrap w:val="0"/>
            <w:vAlign w:val="center"/>
          </w:tcPr>
          <w:p w14:paraId="58276F0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排放去向或区域</w:t>
            </w:r>
          </w:p>
        </w:tc>
        <w:tc>
          <w:tcPr>
            <w:tcW w:w="5540" w:type="dxa"/>
            <w:noWrap w:val="0"/>
            <w:vAlign w:val="top"/>
          </w:tcPr>
          <w:p w14:paraId="722A675B">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V类水体</w:t>
            </w:r>
          </w:p>
        </w:tc>
        <w:tc>
          <w:tcPr>
            <w:tcW w:w="1269" w:type="dxa"/>
            <w:noWrap w:val="0"/>
            <w:vAlign w:val="center"/>
          </w:tcPr>
          <w:p w14:paraId="0782B10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360E9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713" w:type="dxa"/>
            <w:vMerge w:val="continue"/>
            <w:noWrap w:val="0"/>
            <w:vAlign w:val="center"/>
          </w:tcPr>
          <w:p w14:paraId="3EEEE4BA">
            <w:pPr>
              <w:jc w:val="center"/>
              <w:rPr>
                <w:rFonts w:hint="eastAsia" w:ascii="宋体" w:hAnsi="宋体" w:eastAsia="宋体" w:cs="宋体"/>
                <w:color w:val="auto"/>
                <w:sz w:val="21"/>
                <w:szCs w:val="21"/>
                <w:highlight w:val="none"/>
              </w:rPr>
            </w:pPr>
          </w:p>
        </w:tc>
        <w:tc>
          <w:tcPr>
            <w:tcW w:w="5540" w:type="dxa"/>
            <w:noWrap w:val="0"/>
            <w:vAlign w:val="top"/>
          </w:tcPr>
          <w:p w14:paraId="0FA8AC8D">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Ⅳ类</w:t>
            </w:r>
            <w:r>
              <w:rPr>
                <w:rFonts w:hint="eastAsia" w:ascii="宋体" w:hAnsi="宋体" w:eastAsia="宋体" w:cs="宋体"/>
                <w:color w:val="auto"/>
                <w:sz w:val="21"/>
                <w:szCs w:val="21"/>
                <w:highlight w:val="none"/>
              </w:rPr>
              <w:t>水体</w:t>
            </w:r>
          </w:p>
        </w:tc>
        <w:tc>
          <w:tcPr>
            <w:tcW w:w="1269" w:type="dxa"/>
            <w:noWrap w:val="0"/>
            <w:vAlign w:val="center"/>
          </w:tcPr>
          <w:p w14:paraId="57F7DBC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r>
      <w:tr w14:paraId="73AC7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713" w:type="dxa"/>
            <w:vMerge w:val="continue"/>
            <w:noWrap w:val="0"/>
            <w:vAlign w:val="center"/>
          </w:tcPr>
          <w:p w14:paraId="1D82488C">
            <w:pPr>
              <w:jc w:val="center"/>
              <w:rPr>
                <w:rFonts w:hint="eastAsia" w:ascii="宋体" w:hAnsi="宋体" w:eastAsia="宋体" w:cs="宋体"/>
                <w:color w:val="auto"/>
                <w:sz w:val="21"/>
                <w:szCs w:val="21"/>
                <w:highlight w:val="none"/>
              </w:rPr>
            </w:pPr>
          </w:p>
        </w:tc>
        <w:tc>
          <w:tcPr>
            <w:tcW w:w="5540" w:type="dxa"/>
            <w:noWrap w:val="0"/>
            <w:vAlign w:val="top"/>
          </w:tcPr>
          <w:p w14:paraId="45EE6F8A">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Ⅲ类</w:t>
            </w:r>
            <w:r>
              <w:rPr>
                <w:rFonts w:hint="eastAsia" w:ascii="宋体" w:hAnsi="宋体" w:eastAsia="宋体" w:cs="宋体"/>
                <w:color w:val="auto"/>
                <w:sz w:val="21"/>
                <w:szCs w:val="21"/>
                <w:highlight w:val="none"/>
              </w:rPr>
              <w:t>水体</w:t>
            </w:r>
          </w:p>
        </w:tc>
        <w:tc>
          <w:tcPr>
            <w:tcW w:w="1269" w:type="dxa"/>
            <w:noWrap w:val="0"/>
            <w:vAlign w:val="center"/>
          </w:tcPr>
          <w:p w14:paraId="1718521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4B191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713" w:type="dxa"/>
            <w:vMerge w:val="continue"/>
            <w:noWrap w:val="0"/>
            <w:vAlign w:val="center"/>
          </w:tcPr>
          <w:p w14:paraId="0D6C46FF">
            <w:pPr>
              <w:jc w:val="center"/>
              <w:rPr>
                <w:rFonts w:hint="eastAsia" w:ascii="宋体" w:hAnsi="宋体" w:eastAsia="宋体" w:cs="宋体"/>
                <w:color w:val="auto"/>
                <w:sz w:val="21"/>
                <w:szCs w:val="21"/>
                <w:highlight w:val="none"/>
              </w:rPr>
            </w:pPr>
          </w:p>
        </w:tc>
        <w:tc>
          <w:tcPr>
            <w:tcW w:w="5540" w:type="dxa"/>
            <w:noWrap w:val="0"/>
            <w:vAlign w:val="top"/>
          </w:tcPr>
          <w:p w14:paraId="63A8791C">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Ⅱ类</w:t>
            </w:r>
            <w:r>
              <w:rPr>
                <w:rFonts w:hint="eastAsia" w:ascii="宋体" w:hAnsi="宋体" w:eastAsia="宋体" w:cs="宋体"/>
                <w:color w:val="auto"/>
                <w:sz w:val="21"/>
                <w:szCs w:val="21"/>
                <w:highlight w:val="none"/>
              </w:rPr>
              <w:t>水体</w:t>
            </w:r>
          </w:p>
        </w:tc>
        <w:tc>
          <w:tcPr>
            <w:tcW w:w="1269" w:type="dxa"/>
            <w:noWrap w:val="0"/>
            <w:vAlign w:val="center"/>
          </w:tcPr>
          <w:p w14:paraId="40BFB9D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r>
      <w:tr w14:paraId="3C802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713" w:type="dxa"/>
            <w:vMerge w:val="continue"/>
            <w:noWrap w:val="0"/>
            <w:vAlign w:val="center"/>
          </w:tcPr>
          <w:p w14:paraId="57E45B83">
            <w:pPr>
              <w:jc w:val="center"/>
              <w:rPr>
                <w:rFonts w:hint="eastAsia" w:ascii="宋体" w:hAnsi="宋体" w:eastAsia="宋体" w:cs="宋体"/>
                <w:color w:val="auto"/>
                <w:sz w:val="21"/>
                <w:szCs w:val="21"/>
                <w:highlight w:val="none"/>
              </w:rPr>
            </w:pPr>
          </w:p>
        </w:tc>
        <w:tc>
          <w:tcPr>
            <w:tcW w:w="5540" w:type="dxa"/>
            <w:noWrap w:val="0"/>
            <w:vAlign w:val="top"/>
          </w:tcPr>
          <w:p w14:paraId="5AF06B47">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I类水体</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饮用水水源保护区/</w:t>
            </w:r>
            <w:r>
              <w:rPr>
                <w:rFonts w:hint="eastAsia" w:ascii="宋体" w:hAnsi="宋体" w:eastAsia="宋体" w:cs="宋体"/>
                <w:color w:val="auto"/>
                <w:sz w:val="21"/>
                <w:szCs w:val="21"/>
                <w:highlight w:val="none"/>
                <w:lang w:val="en-US" w:eastAsia="zh-CN"/>
              </w:rPr>
              <w:t>生态保护红线区域</w:t>
            </w:r>
          </w:p>
        </w:tc>
        <w:tc>
          <w:tcPr>
            <w:tcW w:w="1269" w:type="dxa"/>
            <w:noWrap w:val="0"/>
            <w:vAlign w:val="center"/>
          </w:tcPr>
          <w:p w14:paraId="42D242C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1291C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3" w:type="dxa"/>
            <w:vMerge w:val="restart"/>
            <w:noWrap w:val="0"/>
            <w:vAlign w:val="center"/>
          </w:tcPr>
          <w:p w14:paraId="404C6D9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污染物排放量</w:t>
            </w:r>
          </w:p>
        </w:tc>
        <w:tc>
          <w:tcPr>
            <w:tcW w:w="5540" w:type="dxa"/>
            <w:noWrap w:val="0"/>
            <w:vAlign w:val="top"/>
          </w:tcPr>
          <w:p w14:paraId="3CE0B72C">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不足0.5吨</w:t>
            </w:r>
          </w:p>
        </w:tc>
        <w:tc>
          <w:tcPr>
            <w:tcW w:w="1269" w:type="dxa"/>
            <w:noWrap w:val="0"/>
            <w:vAlign w:val="center"/>
          </w:tcPr>
          <w:p w14:paraId="3E6267E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59E1E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3" w:type="dxa"/>
            <w:vMerge w:val="continue"/>
            <w:noWrap w:val="0"/>
            <w:vAlign w:val="top"/>
          </w:tcPr>
          <w:p w14:paraId="04540FD1">
            <w:pPr>
              <w:rPr>
                <w:rFonts w:hint="eastAsia" w:ascii="宋体" w:hAnsi="宋体" w:eastAsia="宋体" w:cs="宋体"/>
                <w:color w:val="auto"/>
                <w:sz w:val="21"/>
                <w:szCs w:val="21"/>
                <w:highlight w:val="none"/>
              </w:rPr>
            </w:pPr>
          </w:p>
        </w:tc>
        <w:tc>
          <w:tcPr>
            <w:tcW w:w="5540" w:type="dxa"/>
            <w:noWrap w:val="0"/>
            <w:vAlign w:val="top"/>
          </w:tcPr>
          <w:p w14:paraId="3870C0D1">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0.5吨以上不足1吨</w:t>
            </w:r>
          </w:p>
        </w:tc>
        <w:tc>
          <w:tcPr>
            <w:tcW w:w="1269" w:type="dxa"/>
            <w:noWrap w:val="0"/>
            <w:vAlign w:val="center"/>
          </w:tcPr>
          <w:p w14:paraId="33FCF1C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r>
      <w:tr w14:paraId="537E6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3" w:type="dxa"/>
            <w:vMerge w:val="continue"/>
            <w:noWrap w:val="0"/>
            <w:vAlign w:val="top"/>
          </w:tcPr>
          <w:p w14:paraId="7CF52BEA">
            <w:pPr>
              <w:rPr>
                <w:rFonts w:hint="eastAsia" w:ascii="宋体" w:hAnsi="宋体" w:eastAsia="宋体" w:cs="宋体"/>
                <w:color w:val="auto"/>
                <w:sz w:val="21"/>
                <w:szCs w:val="21"/>
                <w:highlight w:val="none"/>
              </w:rPr>
            </w:pPr>
          </w:p>
        </w:tc>
        <w:tc>
          <w:tcPr>
            <w:tcW w:w="5540" w:type="dxa"/>
            <w:noWrap w:val="0"/>
            <w:vAlign w:val="top"/>
          </w:tcPr>
          <w:p w14:paraId="30A84C9C">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1吨以上不足2吨</w:t>
            </w:r>
          </w:p>
        </w:tc>
        <w:tc>
          <w:tcPr>
            <w:tcW w:w="1269" w:type="dxa"/>
            <w:noWrap w:val="0"/>
            <w:vAlign w:val="center"/>
          </w:tcPr>
          <w:p w14:paraId="2A2F18E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41112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1713" w:type="dxa"/>
            <w:vMerge w:val="continue"/>
            <w:noWrap w:val="0"/>
            <w:vAlign w:val="top"/>
          </w:tcPr>
          <w:p w14:paraId="32D110A4">
            <w:pPr>
              <w:rPr>
                <w:rFonts w:hint="eastAsia" w:ascii="宋体" w:hAnsi="宋体" w:eastAsia="宋体" w:cs="宋体"/>
                <w:color w:val="auto"/>
                <w:sz w:val="21"/>
                <w:szCs w:val="21"/>
                <w:highlight w:val="none"/>
              </w:rPr>
            </w:pPr>
          </w:p>
        </w:tc>
        <w:tc>
          <w:tcPr>
            <w:tcW w:w="5540" w:type="dxa"/>
            <w:noWrap w:val="0"/>
            <w:vAlign w:val="top"/>
          </w:tcPr>
          <w:p w14:paraId="34C425B9">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2吨以上不足5吨</w:t>
            </w:r>
          </w:p>
        </w:tc>
        <w:tc>
          <w:tcPr>
            <w:tcW w:w="1269" w:type="dxa"/>
            <w:noWrap w:val="0"/>
            <w:vAlign w:val="center"/>
          </w:tcPr>
          <w:p w14:paraId="493BCA9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r>
      <w:tr w14:paraId="7D92C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1713" w:type="dxa"/>
            <w:vMerge w:val="continue"/>
            <w:noWrap w:val="0"/>
            <w:vAlign w:val="top"/>
          </w:tcPr>
          <w:p w14:paraId="0422C28A">
            <w:pPr>
              <w:rPr>
                <w:rFonts w:hint="eastAsia" w:ascii="宋体" w:hAnsi="宋体" w:eastAsia="宋体" w:cs="宋体"/>
                <w:color w:val="auto"/>
                <w:sz w:val="21"/>
                <w:szCs w:val="21"/>
                <w:highlight w:val="none"/>
              </w:rPr>
            </w:pPr>
          </w:p>
        </w:tc>
        <w:tc>
          <w:tcPr>
            <w:tcW w:w="5540" w:type="dxa"/>
            <w:noWrap w:val="0"/>
            <w:vAlign w:val="top"/>
          </w:tcPr>
          <w:p w14:paraId="6CB253B3">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5吨以上</w:t>
            </w:r>
          </w:p>
        </w:tc>
        <w:tc>
          <w:tcPr>
            <w:tcW w:w="1269" w:type="dxa"/>
            <w:noWrap w:val="0"/>
            <w:vAlign w:val="center"/>
          </w:tcPr>
          <w:p w14:paraId="4C823B7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bl>
    <w:p w14:paraId="4EDB8154">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508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0"/>
        <w:gridCol w:w="5481"/>
        <w:gridCol w:w="1634"/>
      </w:tblGrid>
      <w:tr w14:paraId="0AAE3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62" w:type="dxa"/>
            <w:gridSpan w:val="3"/>
            <w:noWrap w:val="0"/>
            <w:vAlign w:val="top"/>
          </w:tcPr>
          <w:p w14:paraId="3C7F3DC5">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w:t>
            </w:r>
            <w:r>
              <w:rPr>
                <w:rFonts w:hint="eastAsia" w:ascii="宋体" w:hAnsi="宋体" w:eastAsia="宋体" w:cs="宋体"/>
                <w:bCs/>
                <w:color w:val="auto"/>
                <w:sz w:val="21"/>
                <w:szCs w:val="21"/>
                <w:highlight w:val="none"/>
                <w:lang w:val="en-US" w:eastAsia="zh-CN"/>
              </w:rPr>
              <w:t>五</w:t>
            </w:r>
            <w:r>
              <w:rPr>
                <w:rFonts w:hint="eastAsia" w:ascii="宋体" w:hAnsi="宋体" w:eastAsia="宋体" w:cs="宋体"/>
                <w:bCs/>
                <w:color w:val="auto"/>
                <w:sz w:val="21"/>
                <w:szCs w:val="21"/>
                <w:highlight w:val="none"/>
              </w:rPr>
              <w:t>）水污染防治类</w:t>
            </w:r>
          </w:p>
        </w:tc>
      </w:tr>
      <w:tr w14:paraId="01B89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6" w:type="dxa"/>
            <w:noWrap w:val="0"/>
            <w:vAlign w:val="center"/>
          </w:tcPr>
          <w:p w14:paraId="3D6DEE0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776" w:type="dxa"/>
            <w:gridSpan w:val="2"/>
            <w:noWrap w:val="0"/>
            <w:vAlign w:val="top"/>
          </w:tcPr>
          <w:p w14:paraId="3C41818F">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r>
      <w:tr w14:paraId="44FBD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6" w:type="dxa"/>
            <w:noWrap w:val="0"/>
            <w:vAlign w:val="center"/>
          </w:tcPr>
          <w:p w14:paraId="1BC8E58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6776" w:type="dxa"/>
            <w:gridSpan w:val="2"/>
            <w:noWrap w:val="0"/>
            <w:vAlign w:val="center"/>
          </w:tcPr>
          <w:p w14:paraId="169E95C0">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向水体排放剧毒废液，或者将含有汞、镉、砷、铬、铅、氰化物、黄磷等的可溶性剧毒废渣向水体排放、倾倒或者直接埋入地下的</w:t>
            </w:r>
          </w:p>
        </w:tc>
      </w:tr>
      <w:tr w14:paraId="0BBC5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6" w:type="dxa"/>
            <w:noWrap w:val="0"/>
            <w:vAlign w:val="center"/>
          </w:tcPr>
          <w:p w14:paraId="4C46C34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6776" w:type="dxa"/>
            <w:gridSpan w:val="2"/>
            <w:noWrap w:val="0"/>
            <w:vAlign w:val="top"/>
          </w:tcPr>
          <w:p w14:paraId="25E8EA18">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《中华人民共和国生态环境法典》第二百七十九条第一款  禁止向水体排放油类、酸液、碱液、剧毒废液。禁止在水体清洗装贮过油类或者有毒有害污染物的车辆和容器。</w:t>
            </w:r>
          </w:p>
          <w:p w14:paraId="5C529321">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《中华人民共和国生态环境法典》第二百八十二条第二款  禁止将含有汞、镉、砷、铬、铅、氰化物、黄磷等的可溶性剧毒废渣向水体排放、倾倒或者直接埋入地下。</w:t>
            </w:r>
          </w:p>
        </w:tc>
      </w:tr>
      <w:tr w14:paraId="71456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6" w:type="dxa"/>
            <w:noWrap w:val="0"/>
            <w:vAlign w:val="center"/>
          </w:tcPr>
          <w:p w14:paraId="4B3273C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6776" w:type="dxa"/>
            <w:gridSpan w:val="2"/>
            <w:noWrap w:val="0"/>
            <w:vAlign w:val="top"/>
          </w:tcPr>
          <w:p w14:paraId="5794D3ED">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《中华人民共和国生态环境法典》第一千一百三十六条第一款第二项、第二款  违反本法规定，有下列情形之一的，由生态环境主管部门责令停止违法行为，采取治理措施消除污染，处以罚款，可以责令采取限制生产、停产整治等措施；拒不采取治理措施的，可以指定有治理能力的单位代为治理，所需费用由违法者承担</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w:t>
            </w:r>
          </w:p>
          <w:p w14:paraId="4EEB92AC">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（二）向水体排放剧毒废液，或者将含有汞、镉、砷、铬、铅、氰化物、黄磷等的可溶性剧毒废渣向水体排放、倾倒或者直接埋入地下；</w:t>
            </w:r>
          </w:p>
          <w:p w14:paraId="25D0C978">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有前款第三项、第四项情形之一的，处二万元以上二十万元以下的罚款；有前款第一项、第五项情形之一的，处十万元以上一百万元以下的罚款；有前款第二项情形的，处二十万元以上二百万元以下的罚款。</w:t>
            </w:r>
          </w:p>
        </w:tc>
      </w:tr>
      <w:tr w14:paraId="555C4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6" w:type="dxa"/>
            <w:noWrap w:val="0"/>
            <w:vAlign w:val="center"/>
          </w:tcPr>
          <w:p w14:paraId="21099F0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220" w:type="dxa"/>
            <w:noWrap w:val="0"/>
            <w:vAlign w:val="top"/>
          </w:tcPr>
          <w:p w14:paraId="79BB907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556" w:type="dxa"/>
            <w:noWrap w:val="0"/>
            <w:vAlign w:val="top"/>
          </w:tcPr>
          <w:p w14:paraId="1E19B31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06985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886" w:type="dxa"/>
            <w:vMerge w:val="restart"/>
            <w:noWrap w:val="0"/>
            <w:vAlign w:val="center"/>
          </w:tcPr>
          <w:p w14:paraId="0093CF7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排放去向或区域</w:t>
            </w:r>
          </w:p>
        </w:tc>
        <w:tc>
          <w:tcPr>
            <w:tcW w:w="5220" w:type="dxa"/>
            <w:noWrap w:val="0"/>
            <w:vAlign w:val="top"/>
          </w:tcPr>
          <w:p w14:paraId="4BC4D611">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V类水体</w:t>
            </w:r>
          </w:p>
        </w:tc>
        <w:tc>
          <w:tcPr>
            <w:tcW w:w="1556" w:type="dxa"/>
            <w:noWrap w:val="0"/>
            <w:vAlign w:val="top"/>
          </w:tcPr>
          <w:p w14:paraId="78302C4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2D15D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886" w:type="dxa"/>
            <w:vMerge w:val="continue"/>
            <w:noWrap w:val="0"/>
            <w:vAlign w:val="center"/>
          </w:tcPr>
          <w:p w14:paraId="431EF063">
            <w:pPr>
              <w:jc w:val="center"/>
              <w:rPr>
                <w:rFonts w:hint="eastAsia" w:ascii="宋体" w:hAnsi="宋体" w:eastAsia="宋体" w:cs="宋体"/>
                <w:color w:val="auto"/>
                <w:sz w:val="21"/>
                <w:szCs w:val="21"/>
                <w:highlight w:val="none"/>
              </w:rPr>
            </w:pPr>
          </w:p>
        </w:tc>
        <w:tc>
          <w:tcPr>
            <w:tcW w:w="5220" w:type="dxa"/>
            <w:noWrap w:val="0"/>
            <w:vAlign w:val="top"/>
          </w:tcPr>
          <w:p w14:paraId="5C3A4C58">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Ⅳ类</w:t>
            </w:r>
            <w:r>
              <w:rPr>
                <w:rFonts w:hint="eastAsia" w:ascii="宋体" w:hAnsi="宋体" w:eastAsia="宋体" w:cs="宋体"/>
                <w:color w:val="auto"/>
                <w:sz w:val="21"/>
                <w:szCs w:val="21"/>
                <w:highlight w:val="none"/>
              </w:rPr>
              <w:t>水体</w:t>
            </w:r>
          </w:p>
        </w:tc>
        <w:tc>
          <w:tcPr>
            <w:tcW w:w="1556" w:type="dxa"/>
            <w:noWrap w:val="0"/>
            <w:vAlign w:val="top"/>
          </w:tcPr>
          <w:p w14:paraId="7EFBE27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r>
      <w:tr w14:paraId="2F7F2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86" w:type="dxa"/>
            <w:vMerge w:val="continue"/>
            <w:noWrap w:val="0"/>
            <w:vAlign w:val="center"/>
          </w:tcPr>
          <w:p w14:paraId="62AEAEAD">
            <w:pPr>
              <w:jc w:val="center"/>
              <w:rPr>
                <w:rFonts w:hint="eastAsia" w:ascii="宋体" w:hAnsi="宋体" w:eastAsia="宋体" w:cs="宋体"/>
                <w:color w:val="auto"/>
                <w:sz w:val="21"/>
                <w:szCs w:val="21"/>
                <w:highlight w:val="none"/>
              </w:rPr>
            </w:pPr>
          </w:p>
        </w:tc>
        <w:tc>
          <w:tcPr>
            <w:tcW w:w="5220" w:type="dxa"/>
            <w:noWrap w:val="0"/>
            <w:vAlign w:val="top"/>
          </w:tcPr>
          <w:p w14:paraId="72012FA8">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Ⅲ类</w:t>
            </w:r>
            <w:r>
              <w:rPr>
                <w:rFonts w:hint="eastAsia" w:ascii="宋体" w:hAnsi="宋体" w:eastAsia="宋体" w:cs="宋体"/>
                <w:color w:val="auto"/>
                <w:sz w:val="21"/>
                <w:szCs w:val="21"/>
                <w:highlight w:val="none"/>
              </w:rPr>
              <w:t>水体</w:t>
            </w:r>
          </w:p>
        </w:tc>
        <w:tc>
          <w:tcPr>
            <w:tcW w:w="1556" w:type="dxa"/>
            <w:noWrap w:val="0"/>
            <w:vAlign w:val="top"/>
          </w:tcPr>
          <w:p w14:paraId="3C2B6D0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56E52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886" w:type="dxa"/>
            <w:vMerge w:val="continue"/>
            <w:noWrap w:val="0"/>
            <w:vAlign w:val="center"/>
          </w:tcPr>
          <w:p w14:paraId="5F64C51C">
            <w:pPr>
              <w:jc w:val="center"/>
              <w:rPr>
                <w:rFonts w:hint="eastAsia" w:ascii="宋体" w:hAnsi="宋体" w:eastAsia="宋体" w:cs="宋体"/>
                <w:color w:val="auto"/>
                <w:sz w:val="21"/>
                <w:szCs w:val="21"/>
                <w:highlight w:val="none"/>
              </w:rPr>
            </w:pPr>
          </w:p>
        </w:tc>
        <w:tc>
          <w:tcPr>
            <w:tcW w:w="5220" w:type="dxa"/>
            <w:noWrap w:val="0"/>
            <w:vAlign w:val="top"/>
          </w:tcPr>
          <w:p w14:paraId="54198D0E">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Ⅱ类</w:t>
            </w:r>
            <w:r>
              <w:rPr>
                <w:rFonts w:hint="eastAsia" w:ascii="宋体" w:hAnsi="宋体" w:eastAsia="宋体" w:cs="宋体"/>
                <w:color w:val="auto"/>
                <w:sz w:val="21"/>
                <w:szCs w:val="21"/>
                <w:highlight w:val="none"/>
              </w:rPr>
              <w:t>水体</w:t>
            </w:r>
          </w:p>
        </w:tc>
        <w:tc>
          <w:tcPr>
            <w:tcW w:w="1556" w:type="dxa"/>
            <w:noWrap w:val="0"/>
            <w:vAlign w:val="top"/>
          </w:tcPr>
          <w:p w14:paraId="200104F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r>
      <w:tr w14:paraId="22FEB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886" w:type="dxa"/>
            <w:vMerge w:val="continue"/>
            <w:noWrap w:val="0"/>
            <w:vAlign w:val="center"/>
          </w:tcPr>
          <w:p w14:paraId="303E8EE0">
            <w:pPr>
              <w:jc w:val="center"/>
              <w:rPr>
                <w:rFonts w:hint="eastAsia" w:ascii="宋体" w:hAnsi="宋体" w:eastAsia="宋体" w:cs="宋体"/>
                <w:color w:val="auto"/>
                <w:sz w:val="21"/>
                <w:szCs w:val="21"/>
                <w:highlight w:val="none"/>
              </w:rPr>
            </w:pPr>
          </w:p>
        </w:tc>
        <w:tc>
          <w:tcPr>
            <w:tcW w:w="5220" w:type="dxa"/>
            <w:noWrap w:val="0"/>
            <w:vAlign w:val="top"/>
          </w:tcPr>
          <w:p w14:paraId="3FC54C10">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I类水体</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饮用水水源保护区/</w:t>
            </w:r>
            <w:r>
              <w:rPr>
                <w:rFonts w:hint="eastAsia" w:ascii="宋体" w:hAnsi="宋体" w:eastAsia="宋体" w:cs="宋体"/>
                <w:color w:val="auto"/>
                <w:sz w:val="21"/>
                <w:szCs w:val="21"/>
                <w:highlight w:val="none"/>
                <w:lang w:val="en-US" w:eastAsia="zh-CN"/>
              </w:rPr>
              <w:t>生态保护红线区域</w:t>
            </w:r>
          </w:p>
        </w:tc>
        <w:tc>
          <w:tcPr>
            <w:tcW w:w="1556" w:type="dxa"/>
            <w:noWrap w:val="0"/>
            <w:vAlign w:val="center"/>
          </w:tcPr>
          <w:p w14:paraId="429272F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2047A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6" w:type="dxa"/>
            <w:vMerge w:val="restart"/>
            <w:noWrap w:val="0"/>
            <w:vAlign w:val="center"/>
          </w:tcPr>
          <w:p w14:paraId="08F1B3F9">
            <w:pPr>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污染物排放、倾倒、填埋</w:t>
            </w:r>
            <w:r>
              <w:rPr>
                <w:rFonts w:hint="eastAsia" w:ascii="宋体" w:hAnsi="宋体" w:eastAsia="宋体" w:cs="宋体"/>
                <w:color w:val="auto"/>
                <w:sz w:val="21"/>
                <w:szCs w:val="21"/>
                <w:highlight w:val="none"/>
              </w:rPr>
              <w:t>数量</w:t>
            </w:r>
          </w:p>
        </w:tc>
        <w:tc>
          <w:tcPr>
            <w:tcW w:w="5220" w:type="dxa"/>
            <w:noWrap w:val="0"/>
            <w:vAlign w:val="top"/>
          </w:tcPr>
          <w:p w14:paraId="14C76366">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不足1千克</w:t>
            </w:r>
          </w:p>
        </w:tc>
        <w:tc>
          <w:tcPr>
            <w:tcW w:w="1556" w:type="dxa"/>
            <w:noWrap w:val="0"/>
            <w:vAlign w:val="top"/>
          </w:tcPr>
          <w:p w14:paraId="7C7458B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52087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6" w:type="dxa"/>
            <w:vMerge w:val="continue"/>
            <w:noWrap w:val="0"/>
            <w:vAlign w:val="center"/>
          </w:tcPr>
          <w:p w14:paraId="07C6E704">
            <w:pPr>
              <w:jc w:val="center"/>
              <w:rPr>
                <w:rFonts w:hint="eastAsia" w:ascii="宋体" w:hAnsi="宋体" w:eastAsia="宋体" w:cs="宋体"/>
                <w:color w:val="auto"/>
                <w:sz w:val="21"/>
                <w:szCs w:val="21"/>
                <w:highlight w:val="none"/>
              </w:rPr>
            </w:pPr>
          </w:p>
        </w:tc>
        <w:tc>
          <w:tcPr>
            <w:tcW w:w="5220" w:type="dxa"/>
            <w:noWrap w:val="0"/>
            <w:vAlign w:val="top"/>
          </w:tcPr>
          <w:p w14:paraId="2B714485">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1千克以上不足3千克</w:t>
            </w:r>
          </w:p>
        </w:tc>
        <w:tc>
          <w:tcPr>
            <w:tcW w:w="1556" w:type="dxa"/>
            <w:noWrap w:val="0"/>
            <w:vAlign w:val="top"/>
          </w:tcPr>
          <w:p w14:paraId="0022453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r>
      <w:tr w14:paraId="08859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6" w:type="dxa"/>
            <w:vMerge w:val="continue"/>
            <w:noWrap w:val="0"/>
            <w:vAlign w:val="center"/>
          </w:tcPr>
          <w:p w14:paraId="5984B3C9">
            <w:pPr>
              <w:jc w:val="center"/>
              <w:rPr>
                <w:rFonts w:hint="eastAsia" w:ascii="宋体" w:hAnsi="宋体" w:eastAsia="宋体" w:cs="宋体"/>
                <w:color w:val="auto"/>
                <w:sz w:val="21"/>
                <w:szCs w:val="21"/>
                <w:highlight w:val="none"/>
              </w:rPr>
            </w:pPr>
          </w:p>
        </w:tc>
        <w:tc>
          <w:tcPr>
            <w:tcW w:w="5220" w:type="dxa"/>
            <w:noWrap w:val="0"/>
            <w:vAlign w:val="top"/>
          </w:tcPr>
          <w:p w14:paraId="048F03B1">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3千克以上不足10千克</w:t>
            </w:r>
          </w:p>
        </w:tc>
        <w:tc>
          <w:tcPr>
            <w:tcW w:w="1556" w:type="dxa"/>
            <w:noWrap w:val="0"/>
            <w:vAlign w:val="top"/>
          </w:tcPr>
          <w:p w14:paraId="299A1FC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15B97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1886" w:type="dxa"/>
            <w:vMerge w:val="continue"/>
            <w:noWrap w:val="0"/>
            <w:vAlign w:val="center"/>
          </w:tcPr>
          <w:p w14:paraId="1746153C">
            <w:pPr>
              <w:jc w:val="center"/>
              <w:rPr>
                <w:rFonts w:hint="eastAsia" w:ascii="宋体" w:hAnsi="宋体" w:eastAsia="宋体" w:cs="宋体"/>
                <w:color w:val="auto"/>
                <w:sz w:val="21"/>
                <w:szCs w:val="21"/>
                <w:highlight w:val="none"/>
              </w:rPr>
            </w:pPr>
          </w:p>
        </w:tc>
        <w:tc>
          <w:tcPr>
            <w:tcW w:w="5220" w:type="dxa"/>
            <w:noWrap w:val="0"/>
            <w:vAlign w:val="top"/>
          </w:tcPr>
          <w:p w14:paraId="22B57BAA">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10千克以上不足50千克</w:t>
            </w:r>
          </w:p>
        </w:tc>
        <w:tc>
          <w:tcPr>
            <w:tcW w:w="1556" w:type="dxa"/>
            <w:noWrap w:val="0"/>
            <w:vAlign w:val="top"/>
          </w:tcPr>
          <w:p w14:paraId="3B7ECD5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r>
      <w:tr w14:paraId="5A653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1886" w:type="dxa"/>
            <w:vMerge w:val="continue"/>
            <w:noWrap w:val="0"/>
            <w:vAlign w:val="center"/>
          </w:tcPr>
          <w:p w14:paraId="4D3922E4">
            <w:pPr>
              <w:jc w:val="center"/>
              <w:rPr>
                <w:rFonts w:hint="eastAsia" w:ascii="宋体" w:hAnsi="宋体" w:eastAsia="宋体" w:cs="宋体"/>
                <w:color w:val="auto"/>
                <w:sz w:val="21"/>
                <w:szCs w:val="21"/>
                <w:highlight w:val="none"/>
              </w:rPr>
            </w:pPr>
          </w:p>
        </w:tc>
        <w:tc>
          <w:tcPr>
            <w:tcW w:w="5220" w:type="dxa"/>
            <w:noWrap w:val="0"/>
            <w:vAlign w:val="top"/>
          </w:tcPr>
          <w:p w14:paraId="0F7A314E">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50千克以上</w:t>
            </w:r>
          </w:p>
        </w:tc>
        <w:tc>
          <w:tcPr>
            <w:tcW w:w="1556" w:type="dxa"/>
            <w:noWrap w:val="0"/>
            <w:vAlign w:val="top"/>
          </w:tcPr>
          <w:p w14:paraId="242A60E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bl>
    <w:p w14:paraId="7ACF74BA">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7"/>
        <w:gridCol w:w="5575"/>
        <w:gridCol w:w="1566"/>
      </w:tblGrid>
      <w:tr w14:paraId="7602C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3"/>
            <w:noWrap w:val="0"/>
            <w:vAlign w:val="top"/>
          </w:tcPr>
          <w:p w14:paraId="73D34BFE">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w:t>
            </w:r>
            <w:r>
              <w:rPr>
                <w:rFonts w:hint="eastAsia" w:ascii="宋体" w:hAnsi="宋体" w:eastAsia="宋体" w:cs="宋体"/>
                <w:bCs/>
                <w:color w:val="auto"/>
                <w:sz w:val="21"/>
                <w:szCs w:val="21"/>
                <w:highlight w:val="none"/>
                <w:lang w:val="en-US" w:eastAsia="zh-CN"/>
              </w:rPr>
              <w:t>五</w:t>
            </w:r>
            <w:r>
              <w:rPr>
                <w:rFonts w:hint="eastAsia" w:ascii="宋体" w:hAnsi="宋体" w:eastAsia="宋体" w:cs="宋体"/>
                <w:bCs/>
                <w:color w:val="auto"/>
                <w:sz w:val="21"/>
                <w:szCs w:val="21"/>
                <w:highlight w:val="none"/>
              </w:rPr>
              <w:t>）水污染防治类</w:t>
            </w:r>
          </w:p>
        </w:tc>
      </w:tr>
      <w:tr w14:paraId="23D20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1" w:type="dxa"/>
            <w:noWrap w:val="0"/>
            <w:vAlign w:val="center"/>
          </w:tcPr>
          <w:p w14:paraId="0050DB0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801" w:type="dxa"/>
            <w:gridSpan w:val="2"/>
            <w:noWrap w:val="0"/>
            <w:vAlign w:val="top"/>
          </w:tcPr>
          <w:p w14:paraId="2D62226C">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r>
      <w:tr w14:paraId="28587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1" w:type="dxa"/>
            <w:noWrap w:val="0"/>
            <w:vAlign w:val="center"/>
          </w:tcPr>
          <w:p w14:paraId="336A950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6801" w:type="dxa"/>
            <w:gridSpan w:val="2"/>
            <w:noWrap w:val="0"/>
            <w:vAlign w:val="top"/>
          </w:tcPr>
          <w:p w14:paraId="592DF7E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在水体清洗装贮过油类、有毒有害污染物的车辆或者容器的</w:t>
            </w:r>
          </w:p>
        </w:tc>
      </w:tr>
      <w:tr w14:paraId="1C04B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1" w:type="dxa"/>
            <w:noWrap w:val="0"/>
            <w:vAlign w:val="center"/>
          </w:tcPr>
          <w:p w14:paraId="376E33F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6801" w:type="dxa"/>
            <w:gridSpan w:val="2"/>
            <w:noWrap w:val="0"/>
            <w:vAlign w:val="top"/>
          </w:tcPr>
          <w:p w14:paraId="14BAD88C">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《中华人民共和国生态环境法典》第二百七十九条第一款  禁止向水体排放油类、酸液、碱液、剧毒废液。禁止在水体清洗装贮过油类或者有毒有害污染物的车辆和容器。</w:t>
            </w:r>
          </w:p>
        </w:tc>
      </w:tr>
      <w:tr w14:paraId="597BE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1" w:type="dxa"/>
            <w:noWrap w:val="0"/>
            <w:vAlign w:val="center"/>
          </w:tcPr>
          <w:p w14:paraId="626E732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6801" w:type="dxa"/>
            <w:gridSpan w:val="2"/>
            <w:noWrap w:val="0"/>
            <w:vAlign w:val="top"/>
          </w:tcPr>
          <w:p w14:paraId="5D134589">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《中华人民共和国生态环境法典》第一千一百三十六条第一款第</w:t>
            </w:r>
            <w:r>
              <w:rPr>
                <w:rFonts w:hint="eastAsia" w:ascii="宋体" w:hAnsi="宋体" w:eastAsia="宋体" w:cs="宋体"/>
                <w:color w:val="auto"/>
                <w:sz w:val="21"/>
                <w:szCs w:val="21"/>
                <w:highlight w:val="none"/>
                <w:lang w:val="en-US" w:eastAsia="zh-CN"/>
              </w:rPr>
              <w:t>三</w:t>
            </w:r>
            <w:r>
              <w:rPr>
                <w:rFonts w:hint="eastAsia" w:ascii="宋体" w:hAnsi="宋体" w:eastAsia="宋体" w:cs="宋体"/>
                <w:color w:val="auto"/>
                <w:sz w:val="21"/>
                <w:szCs w:val="21"/>
                <w:highlight w:val="none"/>
              </w:rPr>
              <w:t>项、第二款  违反本法规定，有下列情形之一的，由生态环境主管部门责令停止违法行为，采取治理措施消除污染，处以罚款，可以责令采取限制生产、停产整治等措施；拒不采取治理措施的，可以指定有治理能力的单位代为治理，所需费用由违法者承担</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w:t>
            </w:r>
          </w:p>
          <w:p w14:paraId="3D7D2852">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（三）在水体清洗装贮过油类、有毒有害污染物的车辆或者容器；</w:t>
            </w:r>
          </w:p>
          <w:p w14:paraId="3083A6BA">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有前款第三项、第四项情形之一的，处二万元以上二十万元以下的罚款；有前款第一项、第五项情形之一的，处十万元以上一百万元以下的罚款；有前款第二项情形的，处二十万元以上二百万元以下的罚款。</w:t>
            </w:r>
          </w:p>
        </w:tc>
      </w:tr>
      <w:tr w14:paraId="2701E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1" w:type="dxa"/>
            <w:noWrap w:val="0"/>
            <w:vAlign w:val="center"/>
          </w:tcPr>
          <w:p w14:paraId="1739E45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310" w:type="dxa"/>
            <w:noWrap w:val="0"/>
            <w:vAlign w:val="top"/>
          </w:tcPr>
          <w:p w14:paraId="4EFF39E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491" w:type="dxa"/>
            <w:noWrap w:val="0"/>
            <w:vAlign w:val="top"/>
          </w:tcPr>
          <w:p w14:paraId="192D938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6D265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1" w:type="dxa"/>
            <w:vMerge w:val="restart"/>
            <w:noWrap w:val="0"/>
            <w:vAlign w:val="center"/>
          </w:tcPr>
          <w:p w14:paraId="3962089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违法事实</w:t>
            </w:r>
          </w:p>
        </w:tc>
        <w:tc>
          <w:tcPr>
            <w:tcW w:w="5310" w:type="dxa"/>
            <w:noWrap w:val="0"/>
            <w:vAlign w:val="top"/>
          </w:tcPr>
          <w:p w14:paraId="10111675">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在水体清洗装贮过动植物油类的车辆或者容器</w:t>
            </w:r>
          </w:p>
        </w:tc>
        <w:tc>
          <w:tcPr>
            <w:tcW w:w="1491" w:type="dxa"/>
            <w:noWrap w:val="0"/>
            <w:vAlign w:val="top"/>
          </w:tcPr>
          <w:p w14:paraId="0B0DC58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31471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1" w:type="dxa"/>
            <w:vMerge w:val="continue"/>
            <w:noWrap w:val="0"/>
            <w:vAlign w:val="center"/>
          </w:tcPr>
          <w:p w14:paraId="0651911E">
            <w:pPr>
              <w:jc w:val="center"/>
              <w:rPr>
                <w:rFonts w:hint="eastAsia" w:ascii="宋体" w:hAnsi="宋体" w:eastAsia="宋体" w:cs="宋体"/>
                <w:color w:val="auto"/>
                <w:sz w:val="21"/>
                <w:szCs w:val="21"/>
                <w:highlight w:val="none"/>
              </w:rPr>
            </w:pPr>
          </w:p>
        </w:tc>
        <w:tc>
          <w:tcPr>
            <w:tcW w:w="5310" w:type="dxa"/>
            <w:noWrap w:val="0"/>
            <w:vAlign w:val="top"/>
          </w:tcPr>
          <w:p w14:paraId="49EBB880">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在水体清洗装贮过含矿物油类的车辆或者容器</w:t>
            </w:r>
          </w:p>
        </w:tc>
        <w:tc>
          <w:tcPr>
            <w:tcW w:w="1491" w:type="dxa"/>
            <w:noWrap w:val="0"/>
            <w:vAlign w:val="top"/>
          </w:tcPr>
          <w:p w14:paraId="266CBAAE">
            <w:pPr>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3</w:t>
            </w:r>
          </w:p>
        </w:tc>
      </w:tr>
      <w:tr w14:paraId="529A1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1" w:type="dxa"/>
            <w:vMerge w:val="continue"/>
            <w:noWrap w:val="0"/>
            <w:vAlign w:val="center"/>
          </w:tcPr>
          <w:p w14:paraId="7B8B5D8B">
            <w:pPr>
              <w:jc w:val="center"/>
              <w:rPr>
                <w:rFonts w:hint="eastAsia" w:ascii="宋体" w:hAnsi="宋体" w:eastAsia="宋体" w:cs="宋体"/>
                <w:color w:val="auto"/>
                <w:sz w:val="21"/>
                <w:szCs w:val="21"/>
                <w:highlight w:val="none"/>
              </w:rPr>
            </w:pPr>
          </w:p>
        </w:tc>
        <w:tc>
          <w:tcPr>
            <w:tcW w:w="5310" w:type="dxa"/>
            <w:noWrap w:val="0"/>
            <w:vAlign w:val="top"/>
          </w:tcPr>
          <w:p w14:paraId="03C78DEF">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在水体清洗装贮过有毒有害污染物的车辆或者容器</w:t>
            </w:r>
          </w:p>
        </w:tc>
        <w:tc>
          <w:tcPr>
            <w:tcW w:w="1491" w:type="dxa"/>
            <w:noWrap w:val="0"/>
            <w:vAlign w:val="center"/>
          </w:tcPr>
          <w:p w14:paraId="2FCFB2C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3B85E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1" w:type="dxa"/>
            <w:vMerge w:val="restart"/>
            <w:noWrap w:val="0"/>
            <w:vAlign w:val="center"/>
          </w:tcPr>
          <w:p w14:paraId="61D98B7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车辆或容器</w:t>
            </w:r>
          </w:p>
          <w:p w14:paraId="57974D4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容积</w:t>
            </w:r>
          </w:p>
        </w:tc>
        <w:tc>
          <w:tcPr>
            <w:tcW w:w="5310" w:type="dxa"/>
            <w:noWrap w:val="0"/>
            <w:vAlign w:val="top"/>
          </w:tcPr>
          <w:p w14:paraId="696F6EB3">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不足100立方米的</w:t>
            </w:r>
          </w:p>
        </w:tc>
        <w:tc>
          <w:tcPr>
            <w:tcW w:w="1491" w:type="dxa"/>
            <w:noWrap w:val="0"/>
            <w:vAlign w:val="top"/>
          </w:tcPr>
          <w:p w14:paraId="245F24D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71690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1" w:type="dxa"/>
            <w:vMerge w:val="continue"/>
            <w:noWrap w:val="0"/>
            <w:vAlign w:val="center"/>
          </w:tcPr>
          <w:p w14:paraId="0422C4A4">
            <w:pPr>
              <w:jc w:val="center"/>
              <w:rPr>
                <w:rFonts w:hint="eastAsia" w:ascii="宋体" w:hAnsi="宋体" w:eastAsia="宋体" w:cs="宋体"/>
                <w:color w:val="auto"/>
                <w:sz w:val="21"/>
                <w:szCs w:val="21"/>
                <w:highlight w:val="none"/>
              </w:rPr>
            </w:pPr>
          </w:p>
        </w:tc>
        <w:tc>
          <w:tcPr>
            <w:tcW w:w="5310" w:type="dxa"/>
            <w:noWrap w:val="0"/>
            <w:vAlign w:val="top"/>
          </w:tcPr>
          <w:p w14:paraId="73FDE302">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100立方米以上不足500立方米</w:t>
            </w:r>
          </w:p>
        </w:tc>
        <w:tc>
          <w:tcPr>
            <w:tcW w:w="1491" w:type="dxa"/>
            <w:noWrap w:val="0"/>
            <w:vAlign w:val="top"/>
          </w:tcPr>
          <w:p w14:paraId="73454B1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21C5F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1" w:type="dxa"/>
            <w:vMerge w:val="continue"/>
            <w:noWrap w:val="0"/>
            <w:vAlign w:val="center"/>
          </w:tcPr>
          <w:p w14:paraId="7D1AA8D3">
            <w:pPr>
              <w:jc w:val="center"/>
              <w:rPr>
                <w:rFonts w:hint="eastAsia" w:ascii="宋体" w:hAnsi="宋体" w:eastAsia="宋体" w:cs="宋体"/>
                <w:color w:val="auto"/>
                <w:sz w:val="21"/>
                <w:szCs w:val="21"/>
                <w:highlight w:val="none"/>
              </w:rPr>
            </w:pPr>
          </w:p>
        </w:tc>
        <w:tc>
          <w:tcPr>
            <w:tcW w:w="5310" w:type="dxa"/>
            <w:noWrap w:val="0"/>
            <w:vAlign w:val="top"/>
          </w:tcPr>
          <w:p w14:paraId="376E502C">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500立方米以上</w:t>
            </w:r>
          </w:p>
        </w:tc>
        <w:tc>
          <w:tcPr>
            <w:tcW w:w="1491" w:type="dxa"/>
            <w:noWrap w:val="0"/>
            <w:vAlign w:val="top"/>
          </w:tcPr>
          <w:p w14:paraId="6186AA8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5FAE9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721" w:type="dxa"/>
            <w:vMerge w:val="restart"/>
            <w:noWrap w:val="0"/>
            <w:vAlign w:val="center"/>
          </w:tcPr>
          <w:p w14:paraId="0A57A28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排放去向或</w:t>
            </w:r>
          </w:p>
          <w:p w14:paraId="485AB7D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区域</w:t>
            </w:r>
          </w:p>
        </w:tc>
        <w:tc>
          <w:tcPr>
            <w:tcW w:w="5310" w:type="dxa"/>
            <w:noWrap w:val="0"/>
            <w:vAlign w:val="top"/>
          </w:tcPr>
          <w:p w14:paraId="4F886F1D">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V类水体</w:t>
            </w:r>
          </w:p>
        </w:tc>
        <w:tc>
          <w:tcPr>
            <w:tcW w:w="1491" w:type="dxa"/>
            <w:noWrap w:val="0"/>
            <w:vAlign w:val="top"/>
          </w:tcPr>
          <w:p w14:paraId="3E7D444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7B9A0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721" w:type="dxa"/>
            <w:vMerge w:val="continue"/>
            <w:noWrap w:val="0"/>
            <w:vAlign w:val="center"/>
          </w:tcPr>
          <w:p w14:paraId="74125E45">
            <w:pPr>
              <w:jc w:val="center"/>
              <w:rPr>
                <w:rFonts w:hint="eastAsia" w:ascii="宋体" w:hAnsi="宋体" w:eastAsia="宋体" w:cs="宋体"/>
                <w:color w:val="auto"/>
                <w:sz w:val="21"/>
                <w:szCs w:val="21"/>
                <w:highlight w:val="none"/>
              </w:rPr>
            </w:pPr>
          </w:p>
        </w:tc>
        <w:tc>
          <w:tcPr>
            <w:tcW w:w="5310" w:type="dxa"/>
            <w:noWrap w:val="0"/>
            <w:vAlign w:val="top"/>
          </w:tcPr>
          <w:p w14:paraId="4650C9BC">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Ⅳ类</w:t>
            </w:r>
            <w:r>
              <w:rPr>
                <w:rFonts w:hint="eastAsia" w:ascii="宋体" w:hAnsi="宋体" w:eastAsia="宋体" w:cs="宋体"/>
                <w:color w:val="auto"/>
                <w:sz w:val="21"/>
                <w:szCs w:val="21"/>
                <w:highlight w:val="none"/>
              </w:rPr>
              <w:t>水体</w:t>
            </w:r>
          </w:p>
        </w:tc>
        <w:tc>
          <w:tcPr>
            <w:tcW w:w="1491" w:type="dxa"/>
            <w:noWrap w:val="0"/>
            <w:vAlign w:val="top"/>
          </w:tcPr>
          <w:p w14:paraId="6F7B9B2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r>
      <w:tr w14:paraId="205F7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721" w:type="dxa"/>
            <w:vMerge w:val="continue"/>
            <w:noWrap w:val="0"/>
            <w:vAlign w:val="center"/>
          </w:tcPr>
          <w:p w14:paraId="11B972AE">
            <w:pPr>
              <w:jc w:val="center"/>
              <w:rPr>
                <w:rFonts w:hint="eastAsia" w:ascii="宋体" w:hAnsi="宋体" w:eastAsia="宋体" w:cs="宋体"/>
                <w:color w:val="auto"/>
                <w:sz w:val="21"/>
                <w:szCs w:val="21"/>
                <w:highlight w:val="none"/>
              </w:rPr>
            </w:pPr>
          </w:p>
        </w:tc>
        <w:tc>
          <w:tcPr>
            <w:tcW w:w="5310" w:type="dxa"/>
            <w:noWrap w:val="0"/>
            <w:vAlign w:val="top"/>
          </w:tcPr>
          <w:p w14:paraId="5B95994F">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Ⅲ类</w:t>
            </w:r>
            <w:r>
              <w:rPr>
                <w:rFonts w:hint="eastAsia" w:ascii="宋体" w:hAnsi="宋体" w:eastAsia="宋体" w:cs="宋体"/>
                <w:color w:val="auto"/>
                <w:sz w:val="21"/>
                <w:szCs w:val="21"/>
                <w:highlight w:val="none"/>
              </w:rPr>
              <w:t>水体</w:t>
            </w:r>
          </w:p>
        </w:tc>
        <w:tc>
          <w:tcPr>
            <w:tcW w:w="1491" w:type="dxa"/>
            <w:noWrap w:val="0"/>
            <w:vAlign w:val="top"/>
          </w:tcPr>
          <w:p w14:paraId="002D082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1C16F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721" w:type="dxa"/>
            <w:vMerge w:val="continue"/>
            <w:noWrap w:val="0"/>
            <w:vAlign w:val="center"/>
          </w:tcPr>
          <w:p w14:paraId="53F66B8C">
            <w:pPr>
              <w:jc w:val="center"/>
              <w:rPr>
                <w:rFonts w:hint="eastAsia" w:ascii="宋体" w:hAnsi="宋体" w:eastAsia="宋体" w:cs="宋体"/>
                <w:color w:val="auto"/>
                <w:sz w:val="21"/>
                <w:szCs w:val="21"/>
                <w:highlight w:val="none"/>
              </w:rPr>
            </w:pPr>
          </w:p>
        </w:tc>
        <w:tc>
          <w:tcPr>
            <w:tcW w:w="5310" w:type="dxa"/>
            <w:noWrap w:val="0"/>
            <w:vAlign w:val="top"/>
          </w:tcPr>
          <w:p w14:paraId="6085FFF7">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Ⅱ类</w:t>
            </w:r>
            <w:r>
              <w:rPr>
                <w:rFonts w:hint="eastAsia" w:ascii="宋体" w:hAnsi="宋体" w:eastAsia="宋体" w:cs="宋体"/>
                <w:color w:val="auto"/>
                <w:sz w:val="21"/>
                <w:szCs w:val="21"/>
                <w:highlight w:val="none"/>
              </w:rPr>
              <w:t>水体</w:t>
            </w:r>
          </w:p>
        </w:tc>
        <w:tc>
          <w:tcPr>
            <w:tcW w:w="1491" w:type="dxa"/>
            <w:noWrap w:val="0"/>
            <w:vAlign w:val="top"/>
          </w:tcPr>
          <w:p w14:paraId="71065E3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r>
      <w:tr w14:paraId="11DB1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721" w:type="dxa"/>
            <w:vMerge w:val="continue"/>
            <w:noWrap w:val="0"/>
            <w:vAlign w:val="center"/>
          </w:tcPr>
          <w:p w14:paraId="0F8E1288">
            <w:pPr>
              <w:jc w:val="center"/>
              <w:rPr>
                <w:rFonts w:hint="eastAsia" w:ascii="宋体" w:hAnsi="宋体" w:eastAsia="宋体" w:cs="宋体"/>
                <w:color w:val="auto"/>
                <w:sz w:val="21"/>
                <w:szCs w:val="21"/>
                <w:highlight w:val="none"/>
              </w:rPr>
            </w:pPr>
          </w:p>
        </w:tc>
        <w:tc>
          <w:tcPr>
            <w:tcW w:w="5310" w:type="dxa"/>
            <w:noWrap w:val="0"/>
            <w:vAlign w:val="top"/>
          </w:tcPr>
          <w:p w14:paraId="08FA38D8">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I类水体</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饮用水水源保护区/</w:t>
            </w:r>
            <w:r>
              <w:rPr>
                <w:rFonts w:hint="eastAsia" w:ascii="宋体" w:hAnsi="宋体" w:eastAsia="宋体" w:cs="宋体"/>
                <w:color w:val="auto"/>
                <w:sz w:val="21"/>
                <w:szCs w:val="21"/>
                <w:highlight w:val="none"/>
                <w:lang w:val="en-US" w:eastAsia="zh-CN"/>
              </w:rPr>
              <w:t>生态保护红线区域</w:t>
            </w:r>
          </w:p>
        </w:tc>
        <w:tc>
          <w:tcPr>
            <w:tcW w:w="1491" w:type="dxa"/>
            <w:noWrap w:val="0"/>
            <w:vAlign w:val="top"/>
          </w:tcPr>
          <w:p w14:paraId="384108E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bl>
    <w:p w14:paraId="05005398">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2"/>
        <w:gridCol w:w="5509"/>
        <w:gridCol w:w="1637"/>
      </w:tblGrid>
      <w:tr w14:paraId="0C21D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3"/>
            <w:noWrap w:val="0"/>
            <w:vAlign w:val="top"/>
          </w:tcPr>
          <w:p w14:paraId="136F7F1B">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w:t>
            </w:r>
            <w:r>
              <w:rPr>
                <w:rFonts w:hint="eastAsia" w:ascii="宋体" w:hAnsi="宋体" w:eastAsia="宋体" w:cs="宋体"/>
                <w:bCs/>
                <w:color w:val="auto"/>
                <w:sz w:val="21"/>
                <w:szCs w:val="21"/>
                <w:highlight w:val="none"/>
                <w:lang w:val="en-US" w:eastAsia="zh-CN"/>
              </w:rPr>
              <w:t>五</w:t>
            </w:r>
            <w:r>
              <w:rPr>
                <w:rFonts w:hint="eastAsia" w:ascii="宋体" w:hAnsi="宋体" w:eastAsia="宋体" w:cs="宋体"/>
                <w:bCs/>
                <w:color w:val="auto"/>
                <w:sz w:val="21"/>
                <w:szCs w:val="21"/>
                <w:highlight w:val="none"/>
              </w:rPr>
              <w:t>）水污染防治类</w:t>
            </w:r>
          </w:p>
        </w:tc>
      </w:tr>
      <w:tr w14:paraId="66503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6" w:type="dxa"/>
            <w:noWrap w:val="0"/>
            <w:vAlign w:val="center"/>
          </w:tcPr>
          <w:p w14:paraId="2C179B5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806" w:type="dxa"/>
            <w:gridSpan w:val="2"/>
            <w:noWrap w:val="0"/>
            <w:vAlign w:val="top"/>
          </w:tcPr>
          <w:p w14:paraId="4F5830D1">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r>
      <w:tr w14:paraId="1B5FD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6" w:type="dxa"/>
            <w:noWrap w:val="0"/>
            <w:vAlign w:val="center"/>
          </w:tcPr>
          <w:p w14:paraId="55A981B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6806" w:type="dxa"/>
            <w:gridSpan w:val="2"/>
            <w:noWrap w:val="0"/>
            <w:vAlign w:val="center"/>
          </w:tcPr>
          <w:p w14:paraId="3135487B">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违反国家规定或者标准，向水体排放含热废水或者含病原体的污水的</w:t>
            </w:r>
          </w:p>
        </w:tc>
      </w:tr>
      <w:tr w14:paraId="301B3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6" w:type="dxa"/>
            <w:noWrap w:val="0"/>
            <w:vAlign w:val="center"/>
          </w:tcPr>
          <w:p w14:paraId="45522EE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6806" w:type="dxa"/>
            <w:gridSpan w:val="2"/>
            <w:noWrap w:val="0"/>
            <w:vAlign w:val="top"/>
          </w:tcPr>
          <w:p w14:paraId="25A7DFFA">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《中华人民共和国生态环境法典》第二百八十条  向水体排放含热废水，应当采取有效措施，保证水体的水温符合水生态环境质量标准，避免对珍稀濒危水生生物、水产资源造成危害。</w:t>
            </w:r>
          </w:p>
          <w:p w14:paraId="7202FEFC">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《中华人民共和国生态环境法典》第二百八十一条  含病原体的污水应当经过消毒处理，符合国家相关标准后，方可排放。</w:t>
            </w:r>
          </w:p>
        </w:tc>
      </w:tr>
      <w:tr w14:paraId="0F7A8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6" w:type="dxa"/>
            <w:noWrap w:val="0"/>
            <w:vAlign w:val="center"/>
          </w:tcPr>
          <w:p w14:paraId="3AD1F35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6806" w:type="dxa"/>
            <w:gridSpan w:val="2"/>
            <w:noWrap w:val="0"/>
            <w:vAlign w:val="top"/>
          </w:tcPr>
          <w:p w14:paraId="29EFAA4C">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《中华人民共和国生态环境法典》第一千一百三十六条第一款第</w:t>
            </w:r>
            <w:r>
              <w:rPr>
                <w:rFonts w:hint="eastAsia" w:ascii="宋体" w:hAnsi="宋体" w:eastAsia="宋体" w:cs="宋体"/>
                <w:color w:val="auto"/>
                <w:sz w:val="21"/>
                <w:szCs w:val="21"/>
                <w:highlight w:val="none"/>
                <w:lang w:val="en-US" w:eastAsia="zh-CN"/>
              </w:rPr>
              <w:t>四</w:t>
            </w:r>
            <w:r>
              <w:rPr>
                <w:rFonts w:hint="eastAsia" w:ascii="宋体" w:hAnsi="宋体" w:eastAsia="宋体" w:cs="宋体"/>
                <w:color w:val="auto"/>
                <w:sz w:val="21"/>
                <w:szCs w:val="21"/>
                <w:highlight w:val="none"/>
              </w:rPr>
              <w:t>项、第二款  违反本法规定，有下列情形之一的，由生态环境主管部门责令停止违法行为，采取治理措施消除污染，处以罚款，可以责令采取限制生产、停产整治等措施；拒不采取治理措施的，可以指定有治理能力的单位代为治理，所需费用由违法者承担</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w:t>
            </w:r>
          </w:p>
          <w:p w14:paraId="1C520392">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（四）违反国家规定或者标准，向水体排放含热废水或者含病原体的污水；</w:t>
            </w:r>
          </w:p>
          <w:p w14:paraId="0FAE7DAF">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有前款第三项、第四项情形之一的，处二万元以上二十万元以下的罚款；有前款第一项、第五项情形之一的，处十万元以上一百万元以下的罚款；有前款第二项情形的，处二十万元以上二百万元以下的罚款。</w:t>
            </w:r>
          </w:p>
        </w:tc>
      </w:tr>
      <w:tr w14:paraId="2B644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6" w:type="dxa"/>
            <w:noWrap w:val="0"/>
            <w:vAlign w:val="center"/>
          </w:tcPr>
          <w:p w14:paraId="2120CEF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247" w:type="dxa"/>
            <w:noWrap w:val="0"/>
            <w:vAlign w:val="top"/>
          </w:tcPr>
          <w:p w14:paraId="35ACB42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559" w:type="dxa"/>
            <w:noWrap w:val="0"/>
            <w:vAlign w:val="top"/>
          </w:tcPr>
          <w:p w14:paraId="16208A5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42579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6" w:type="dxa"/>
            <w:vMerge w:val="restart"/>
            <w:noWrap w:val="0"/>
            <w:vAlign w:val="center"/>
          </w:tcPr>
          <w:p w14:paraId="22F727BB">
            <w:pPr>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污染物</w:t>
            </w:r>
            <w:r>
              <w:rPr>
                <w:rFonts w:hint="eastAsia" w:ascii="宋体" w:hAnsi="宋体" w:eastAsia="宋体" w:cs="宋体"/>
                <w:color w:val="auto"/>
                <w:sz w:val="21"/>
                <w:szCs w:val="21"/>
                <w:highlight w:val="none"/>
              </w:rPr>
              <w:t>排放量</w:t>
            </w:r>
          </w:p>
        </w:tc>
        <w:tc>
          <w:tcPr>
            <w:tcW w:w="5247" w:type="dxa"/>
            <w:noWrap w:val="0"/>
            <w:vAlign w:val="top"/>
          </w:tcPr>
          <w:p w14:paraId="703D5ADE">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含病原体废水排放量不足1吨</w:t>
            </w:r>
            <w:r>
              <w:rPr>
                <w:rFonts w:hint="eastAsia" w:ascii="宋体" w:hAnsi="宋体" w:eastAsia="宋体" w:cs="宋体"/>
                <w:color w:val="auto"/>
                <w:sz w:val="21"/>
                <w:szCs w:val="21"/>
                <w:highlight w:val="none"/>
                <w:lang w:val="en-US" w:eastAsia="zh-CN"/>
              </w:rPr>
              <w:t>/热废水排放量</w:t>
            </w:r>
            <w:r>
              <w:rPr>
                <w:rFonts w:hint="eastAsia" w:ascii="宋体" w:hAnsi="宋体" w:eastAsia="宋体" w:cs="宋体"/>
                <w:color w:val="auto"/>
                <w:sz w:val="21"/>
                <w:szCs w:val="21"/>
                <w:highlight w:val="none"/>
              </w:rPr>
              <w:t>不足1</w:t>
            </w: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rPr>
              <w:t>吨</w:t>
            </w:r>
          </w:p>
        </w:tc>
        <w:tc>
          <w:tcPr>
            <w:tcW w:w="1559" w:type="dxa"/>
            <w:noWrap w:val="0"/>
            <w:vAlign w:val="center"/>
          </w:tcPr>
          <w:p w14:paraId="59AAC484">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r>
      <w:tr w14:paraId="4B1E1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6" w:type="dxa"/>
            <w:vMerge w:val="continue"/>
            <w:noWrap w:val="0"/>
            <w:vAlign w:val="center"/>
          </w:tcPr>
          <w:p w14:paraId="0DD89925">
            <w:pPr>
              <w:jc w:val="center"/>
              <w:rPr>
                <w:rFonts w:hint="eastAsia" w:ascii="宋体" w:hAnsi="宋体" w:eastAsia="宋体" w:cs="宋体"/>
                <w:color w:val="auto"/>
                <w:sz w:val="21"/>
                <w:szCs w:val="21"/>
                <w:highlight w:val="none"/>
              </w:rPr>
            </w:pPr>
          </w:p>
        </w:tc>
        <w:tc>
          <w:tcPr>
            <w:tcW w:w="5247" w:type="dxa"/>
            <w:noWrap w:val="0"/>
            <w:vAlign w:val="top"/>
          </w:tcPr>
          <w:p w14:paraId="4BAD73AD">
            <w:pPr>
              <w:keepNext w:val="0"/>
              <w:keepLines w:val="0"/>
              <w:pageBreakBefore w:val="0"/>
              <w:widowControl w:val="0"/>
              <w:kinsoku/>
              <w:wordWrap/>
              <w:overflowPunct/>
              <w:topLinePunct w:val="0"/>
              <w:bidi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含病原体废水排放量1吨以上不足10吨</w:t>
            </w:r>
            <w:r>
              <w:rPr>
                <w:rFonts w:hint="eastAsia" w:ascii="宋体" w:hAnsi="宋体" w:eastAsia="宋体" w:cs="宋体"/>
                <w:color w:val="auto"/>
                <w:sz w:val="21"/>
                <w:szCs w:val="21"/>
                <w:highlight w:val="none"/>
                <w:lang w:val="en-US" w:eastAsia="zh-CN"/>
              </w:rPr>
              <w:t>/热废水排放量</w:t>
            </w: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rPr>
              <w:t>吨以上不足1</w:t>
            </w: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rPr>
              <w:t>0吨</w:t>
            </w:r>
          </w:p>
        </w:tc>
        <w:tc>
          <w:tcPr>
            <w:tcW w:w="1559" w:type="dxa"/>
            <w:noWrap w:val="0"/>
            <w:vAlign w:val="center"/>
          </w:tcPr>
          <w:p w14:paraId="53D68E09">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r>
      <w:tr w14:paraId="2403A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6" w:type="dxa"/>
            <w:vMerge w:val="continue"/>
            <w:noWrap w:val="0"/>
            <w:vAlign w:val="center"/>
          </w:tcPr>
          <w:p w14:paraId="09FFB32A">
            <w:pPr>
              <w:jc w:val="center"/>
              <w:rPr>
                <w:rFonts w:hint="eastAsia" w:ascii="宋体" w:hAnsi="宋体" w:eastAsia="宋体" w:cs="宋体"/>
                <w:color w:val="auto"/>
                <w:sz w:val="21"/>
                <w:szCs w:val="21"/>
                <w:highlight w:val="none"/>
              </w:rPr>
            </w:pPr>
          </w:p>
        </w:tc>
        <w:tc>
          <w:tcPr>
            <w:tcW w:w="5247" w:type="dxa"/>
            <w:noWrap w:val="0"/>
            <w:vAlign w:val="top"/>
          </w:tcPr>
          <w:p w14:paraId="4B867108">
            <w:pPr>
              <w:keepNext w:val="0"/>
              <w:keepLines w:val="0"/>
              <w:pageBreakBefore w:val="0"/>
              <w:widowControl w:val="0"/>
              <w:kinsoku/>
              <w:wordWrap/>
              <w:overflowPunct/>
              <w:topLinePunct w:val="0"/>
              <w:bidi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含病原体废水排放量10吨以上不足50吨</w:t>
            </w:r>
            <w:r>
              <w:rPr>
                <w:rFonts w:hint="eastAsia" w:ascii="宋体" w:hAnsi="宋体" w:eastAsia="宋体" w:cs="宋体"/>
                <w:color w:val="auto"/>
                <w:sz w:val="21"/>
                <w:szCs w:val="21"/>
                <w:highlight w:val="none"/>
                <w:lang w:val="en-US" w:eastAsia="zh-CN"/>
              </w:rPr>
              <w:t>/热废水排放量</w:t>
            </w:r>
            <w:r>
              <w:rPr>
                <w:rFonts w:hint="eastAsia" w:ascii="宋体" w:hAnsi="宋体" w:eastAsia="宋体" w:cs="宋体"/>
                <w:color w:val="auto"/>
                <w:sz w:val="21"/>
                <w:szCs w:val="21"/>
                <w:highlight w:val="none"/>
              </w:rPr>
              <w:t>10</w:t>
            </w: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rPr>
              <w:t>吨以上不足50</w:t>
            </w: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rPr>
              <w:t>吨</w:t>
            </w:r>
          </w:p>
        </w:tc>
        <w:tc>
          <w:tcPr>
            <w:tcW w:w="1559" w:type="dxa"/>
            <w:noWrap w:val="0"/>
            <w:vAlign w:val="center"/>
          </w:tcPr>
          <w:p w14:paraId="188764D9">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r>
      <w:tr w14:paraId="3E083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6" w:type="dxa"/>
            <w:vMerge w:val="continue"/>
            <w:noWrap w:val="0"/>
            <w:vAlign w:val="center"/>
          </w:tcPr>
          <w:p w14:paraId="512681C8">
            <w:pPr>
              <w:jc w:val="center"/>
              <w:rPr>
                <w:rFonts w:hint="eastAsia" w:ascii="宋体" w:hAnsi="宋体" w:eastAsia="宋体" w:cs="宋体"/>
                <w:color w:val="auto"/>
                <w:sz w:val="21"/>
                <w:szCs w:val="21"/>
                <w:highlight w:val="none"/>
              </w:rPr>
            </w:pPr>
          </w:p>
        </w:tc>
        <w:tc>
          <w:tcPr>
            <w:tcW w:w="5247" w:type="dxa"/>
            <w:noWrap w:val="0"/>
            <w:vAlign w:val="top"/>
          </w:tcPr>
          <w:p w14:paraId="098C9AC8">
            <w:pPr>
              <w:keepNext w:val="0"/>
              <w:keepLines w:val="0"/>
              <w:pageBreakBefore w:val="0"/>
              <w:widowControl w:val="0"/>
              <w:kinsoku/>
              <w:wordWrap/>
              <w:overflowPunct/>
              <w:topLinePunct w:val="0"/>
              <w:bidi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含病原体废水排放量50吨以上不足100吨</w:t>
            </w:r>
            <w:r>
              <w:rPr>
                <w:rFonts w:hint="eastAsia" w:ascii="宋体" w:hAnsi="宋体" w:eastAsia="宋体" w:cs="宋体"/>
                <w:color w:val="auto"/>
                <w:sz w:val="21"/>
                <w:szCs w:val="21"/>
                <w:highlight w:val="none"/>
                <w:lang w:val="en-US" w:eastAsia="zh-CN"/>
              </w:rPr>
              <w:t>/热废水排放量</w:t>
            </w:r>
            <w:r>
              <w:rPr>
                <w:rFonts w:hint="eastAsia" w:ascii="宋体" w:hAnsi="宋体" w:eastAsia="宋体" w:cs="宋体"/>
                <w:color w:val="auto"/>
                <w:sz w:val="21"/>
                <w:szCs w:val="21"/>
                <w:highlight w:val="none"/>
              </w:rPr>
              <w:t>5</w:t>
            </w: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rPr>
              <w:t>0吨以上不足10</w:t>
            </w: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rPr>
              <w:t>0吨</w:t>
            </w:r>
          </w:p>
        </w:tc>
        <w:tc>
          <w:tcPr>
            <w:tcW w:w="1559" w:type="dxa"/>
            <w:noWrap w:val="0"/>
            <w:vAlign w:val="center"/>
          </w:tcPr>
          <w:p w14:paraId="33C27882">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r>
      <w:tr w14:paraId="5AEEC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6" w:type="dxa"/>
            <w:vMerge w:val="continue"/>
            <w:noWrap w:val="0"/>
            <w:vAlign w:val="center"/>
          </w:tcPr>
          <w:p w14:paraId="76C9A427">
            <w:pPr>
              <w:jc w:val="center"/>
              <w:rPr>
                <w:rFonts w:hint="eastAsia" w:ascii="宋体" w:hAnsi="宋体" w:eastAsia="宋体" w:cs="宋体"/>
                <w:color w:val="auto"/>
                <w:sz w:val="21"/>
                <w:szCs w:val="21"/>
                <w:highlight w:val="none"/>
              </w:rPr>
            </w:pPr>
          </w:p>
        </w:tc>
        <w:tc>
          <w:tcPr>
            <w:tcW w:w="5247" w:type="dxa"/>
            <w:noWrap w:val="0"/>
            <w:vAlign w:val="top"/>
          </w:tcPr>
          <w:p w14:paraId="7B885DA0">
            <w:pPr>
              <w:keepNext w:val="0"/>
              <w:keepLines w:val="0"/>
              <w:pageBreakBefore w:val="0"/>
              <w:widowControl w:val="0"/>
              <w:kinsoku/>
              <w:wordWrap/>
              <w:overflowPunct/>
              <w:topLinePunct w:val="0"/>
              <w:bidi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含病原体废水排放量100吨以上</w:t>
            </w:r>
            <w:r>
              <w:rPr>
                <w:rFonts w:hint="eastAsia" w:ascii="宋体" w:hAnsi="宋体" w:eastAsia="宋体" w:cs="宋体"/>
                <w:color w:val="auto"/>
                <w:sz w:val="21"/>
                <w:szCs w:val="21"/>
                <w:highlight w:val="none"/>
                <w:lang w:val="en-US" w:eastAsia="zh-CN"/>
              </w:rPr>
              <w:t>/热废水排放量</w:t>
            </w:r>
            <w:r>
              <w:rPr>
                <w:rFonts w:hint="eastAsia" w:ascii="宋体" w:hAnsi="宋体" w:eastAsia="宋体" w:cs="宋体"/>
                <w:color w:val="auto"/>
                <w:sz w:val="21"/>
                <w:szCs w:val="21"/>
                <w:highlight w:val="none"/>
              </w:rPr>
              <w:t>10</w:t>
            </w: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rPr>
              <w:t>0吨以上</w:t>
            </w:r>
          </w:p>
        </w:tc>
        <w:tc>
          <w:tcPr>
            <w:tcW w:w="1559" w:type="dxa"/>
            <w:noWrap w:val="0"/>
            <w:vAlign w:val="center"/>
          </w:tcPr>
          <w:p w14:paraId="4E0B489B">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r>
      <w:tr w14:paraId="7EA8E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716" w:type="dxa"/>
            <w:vMerge w:val="restart"/>
            <w:noWrap w:val="0"/>
            <w:vAlign w:val="center"/>
          </w:tcPr>
          <w:p w14:paraId="76DDD600">
            <w:pPr>
              <w:pStyle w:val="11"/>
              <w:keepNext w:val="0"/>
              <w:keepLines w:val="0"/>
              <w:pageBreakBefore w:val="0"/>
              <w:widowControl w:val="0"/>
              <w:shd w:val="clear" w:color="auto" w:fill="auto"/>
              <w:kinsoku/>
              <w:wordWrap/>
              <w:overflowPunct/>
              <w:autoSpaceDE w:val="0"/>
              <w:autoSpaceDN w:val="0"/>
              <w:bidi w:val="0"/>
              <w:adjustRightInd w:val="0"/>
              <w:snapToGrid w:val="0"/>
              <w:spacing w:line="308" w:lineRule="exact"/>
              <w:ind w:left="0" w:right="0" w:rightChars="0" w:firstLine="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排放去向或</w:t>
            </w:r>
          </w:p>
          <w:p w14:paraId="4ACADAD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区域</w:t>
            </w:r>
          </w:p>
        </w:tc>
        <w:tc>
          <w:tcPr>
            <w:tcW w:w="5247" w:type="dxa"/>
            <w:noWrap w:val="0"/>
            <w:vAlign w:val="top"/>
          </w:tcPr>
          <w:p w14:paraId="297C45D7">
            <w:pPr>
              <w:keepNext w:val="0"/>
              <w:keepLines w:val="0"/>
              <w:pageBreakBefore w:val="0"/>
              <w:widowControl w:val="0"/>
              <w:kinsoku/>
              <w:wordWrap/>
              <w:overflowPunct/>
              <w:topLinePunct w:val="0"/>
              <w:bidi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V类水体</w:t>
            </w:r>
          </w:p>
        </w:tc>
        <w:tc>
          <w:tcPr>
            <w:tcW w:w="1559" w:type="dxa"/>
            <w:noWrap w:val="0"/>
            <w:vAlign w:val="top"/>
          </w:tcPr>
          <w:p w14:paraId="6C86F9C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700EB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716" w:type="dxa"/>
            <w:vMerge w:val="continue"/>
            <w:noWrap w:val="0"/>
            <w:vAlign w:val="center"/>
          </w:tcPr>
          <w:p w14:paraId="6482A70B">
            <w:pPr>
              <w:jc w:val="center"/>
              <w:rPr>
                <w:rFonts w:hint="eastAsia" w:ascii="宋体" w:hAnsi="宋体" w:eastAsia="宋体" w:cs="宋体"/>
                <w:color w:val="auto"/>
                <w:sz w:val="21"/>
                <w:szCs w:val="21"/>
                <w:highlight w:val="none"/>
              </w:rPr>
            </w:pPr>
          </w:p>
        </w:tc>
        <w:tc>
          <w:tcPr>
            <w:tcW w:w="5247" w:type="dxa"/>
            <w:noWrap w:val="0"/>
            <w:vAlign w:val="top"/>
          </w:tcPr>
          <w:p w14:paraId="79FBD12C">
            <w:pPr>
              <w:keepNext w:val="0"/>
              <w:keepLines w:val="0"/>
              <w:pageBreakBefore w:val="0"/>
              <w:widowControl w:val="0"/>
              <w:kinsoku/>
              <w:wordWrap/>
              <w:overflowPunct/>
              <w:topLinePunct w:val="0"/>
              <w:bidi w:val="0"/>
              <w:ind w:firstLine="420" w:firstLineChars="200"/>
              <w:jc w:val="both"/>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Ⅳ类</w:t>
            </w:r>
            <w:r>
              <w:rPr>
                <w:rFonts w:hint="eastAsia" w:ascii="宋体" w:hAnsi="宋体" w:eastAsia="宋体" w:cs="宋体"/>
                <w:color w:val="auto"/>
                <w:sz w:val="21"/>
                <w:szCs w:val="21"/>
                <w:highlight w:val="none"/>
              </w:rPr>
              <w:t>水体</w:t>
            </w:r>
          </w:p>
        </w:tc>
        <w:tc>
          <w:tcPr>
            <w:tcW w:w="1559" w:type="dxa"/>
            <w:noWrap w:val="0"/>
            <w:vAlign w:val="top"/>
          </w:tcPr>
          <w:p w14:paraId="48D0A19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r>
      <w:tr w14:paraId="32C50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716" w:type="dxa"/>
            <w:vMerge w:val="continue"/>
            <w:noWrap w:val="0"/>
            <w:vAlign w:val="center"/>
          </w:tcPr>
          <w:p w14:paraId="14BFCE8B">
            <w:pPr>
              <w:jc w:val="center"/>
              <w:rPr>
                <w:rFonts w:hint="eastAsia" w:ascii="宋体" w:hAnsi="宋体" w:eastAsia="宋体" w:cs="宋体"/>
                <w:color w:val="auto"/>
                <w:sz w:val="21"/>
                <w:szCs w:val="21"/>
                <w:highlight w:val="none"/>
              </w:rPr>
            </w:pPr>
          </w:p>
        </w:tc>
        <w:tc>
          <w:tcPr>
            <w:tcW w:w="5247" w:type="dxa"/>
            <w:noWrap w:val="0"/>
            <w:vAlign w:val="top"/>
          </w:tcPr>
          <w:p w14:paraId="276E431B">
            <w:pPr>
              <w:keepNext w:val="0"/>
              <w:keepLines w:val="0"/>
              <w:pageBreakBefore w:val="0"/>
              <w:widowControl w:val="0"/>
              <w:kinsoku/>
              <w:wordWrap/>
              <w:overflowPunct/>
              <w:topLinePunct w:val="0"/>
              <w:bidi w:val="0"/>
              <w:ind w:firstLine="420" w:firstLineChars="200"/>
              <w:jc w:val="both"/>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Ⅲ类</w:t>
            </w:r>
            <w:r>
              <w:rPr>
                <w:rFonts w:hint="eastAsia" w:ascii="宋体" w:hAnsi="宋体" w:eastAsia="宋体" w:cs="宋体"/>
                <w:color w:val="auto"/>
                <w:sz w:val="21"/>
                <w:szCs w:val="21"/>
                <w:highlight w:val="none"/>
              </w:rPr>
              <w:t>水体</w:t>
            </w:r>
          </w:p>
        </w:tc>
        <w:tc>
          <w:tcPr>
            <w:tcW w:w="1559" w:type="dxa"/>
            <w:noWrap w:val="0"/>
            <w:vAlign w:val="top"/>
          </w:tcPr>
          <w:p w14:paraId="5A3B27E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37F15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716" w:type="dxa"/>
            <w:vMerge w:val="continue"/>
            <w:noWrap w:val="0"/>
            <w:vAlign w:val="center"/>
          </w:tcPr>
          <w:p w14:paraId="4D93FBB4">
            <w:pPr>
              <w:jc w:val="center"/>
              <w:rPr>
                <w:rFonts w:hint="eastAsia" w:ascii="宋体" w:hAnsi="宋体" w:eastAsia="宋体" w:cs="宋体"/>
                <w:color w:val="auto"/>
                <w:sz w:val="21"/>
                <w:szCs w:val="21"/>
                <w:highlight w:val="none"/>
              </w:rPr>
            </w:pPr>
          </w:p>
        </w:tc>
        <w:tc>
          <w:tcPr>
            <w:tcW w:w="5247" w:type="dxa"/>
            <w:noWrap w:val="0"/>
            <w:vAlign w:val="top"/>
          </w:tcPr>
          <w:p w14:paraId="5E397812">
            <w:pPr>
              <w:keepNext w:val="0"/>
              <w:keepLines w:val="0"/>
              <w:pageBreakBefore w:val="0"/>
              <w:widowControl w:val="0"/>
              <w:kinsoku/>
              <w:wordWrap/>
              <w:overflowPunct/>
              <w:topLinePunct w:val="0"/>
              <w:bidi w:val="0"/>
              <w:ind w:firstLine="420" w:firstLineChars="200"/>
              <w:jc w:val="both"/>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Ⅱ类</w:t>
            </w:r>
            <w:r>
              <w:rPr>
                <w:rFonts w:hint="eastAsia" w:ascii="宋体" w:hAnsi="宋体" w:eastAsia="宋体" w:cs="宋体"/>
                <w:color w:val="auto"/>
                <w:sz w:val="21"/>
                <w:szCs w:val="21"/>
                <w:highlight w:val="none"/>
              </w:rPr>
              <w:t>水体</w:t>
            </w:r>
          </w:p>
        </w:tc>
        <w:tc>
          <w:tcPr>
            <w:tcW w:w="1559" w:type="dxa"/>
            <w:noWrap w:val="0"/>
            <w:vAlign w:val="top"/>
          </w:tcPr>
          <w:p w14:paraId="6E8E176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r>
      <w:tr w14:paraId="46CCA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716" w:type="dxa"/>
            <w:vMerge w:val="continue"/>
            <w:noWrap w:val="0"/>
            <w:vAlign w:val="center"/>
          </w:tcPr>
          <w:p w14:paraId="3B81327A">
            <w:pPr>
              <w:jc w:val="center"/>
              <w:rPr>
                <w:rFonts w:hint="eastAsia" w:ascii="宋体" w:hAnsi="宋体" w:eastAsia="宋体" w:cs="宋体"/>
                <w:color w:val="auto"/>
                <w:sz w:val="21"/>
                <w:szCs w:val="21"/>
                <w:highlight w:val="none"/>
              </w:rPr>
            </w:pPr>
          </w:p>
        </w:tc>
        <w:tc>
          <w:tcPr>
            <w:tcW w:w="5247" w:type="dxa"/>
            <w:noWrap w:val="0"/>
            <w:vAlign w:val="top"/>
          </w:tcPr>
          <w:p w14:paraId="705BCB49">
            <w:pPr>
              <w:keepNext w:val="0"/>
              <w:keepLines w:val="0"/>
              <w:pageBreakBefore w:val="0"/>
              <w:widowControl w:val="0"/>
              <w:kinsoku/>
              <w:wordWrap/>
              <w:overflowPunct/>
              <w:topLinePunct w:val="0"/>
              <w:bidi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I类水体</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饮用水水源保护区/</w:t>
            </w:r>
            <w:r>
              <w:rPr>
                <w:rFonts w:hint="eastAsia" w:ascii="宋体" w:hAnsi="宋体" w:eastAsia="宋体" w:cs="宋体"/>
                <w:color w:val="auto"/>
                <w:sz w:val="21"/>
                <w:szCs w:val="21"/>
                <w:highlight w:val="none"/>
                <w:lang w:val="en-US" w:eastAsia="zh-CN"/>
              </w:rPr>
              <w:t>生态保护红线区域</w:t>
            </w:r>
          </w:p>
        </w:tc>
        <w:tc>
          <w:tcPr>
            <w:tcW w:w="1559" w:type="dxa"/>
            <w:noWrap w:val="0"/>
            <w:vAlign w:val="top"/>
          </w:tcPr>
          <w:p w14:paraId="6F74ED3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bl>
    <w:p w14:paraId="4B9AEA52">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22"/>
        <w:gridCol w:w="5643"/>
        <w:gridCol w:w="1483"/>
      </w:tblGrid>
      <w:tr w14:paraId="12B49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3"/>
            <w:noWrap w:val="0"/>
            <w:vAlign w:val="top"/>
          </w:tcPr>
          <w:p w14:paraId="0C6BBE16">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w:t>
            </w:r>
            <w:r>
              <w:rPr>
                <w:rFonts w:hint="eastAsia" w:ascii="宋体" w:hAnsi="宋体" w:eastAsia="宋体" w:cs="宋体"/>
                <w:bCs/>
                <w:color w:val="auto"/>
                <w:sz w:val="21"/>
                <w:szCs w:val="21"/>
                <w:highlight w:val="none"/>
                <w:lang w:val="en-US" w:eastAsia="zh-CN"/>
              </w:rPr>
              <w:t>五</w:t>
            </w:r>
            <w:r>
              <w:rPr>
                <w:rFonts w:hint="eastAsia" w:ascii="宋体" w:hAnsi="宋体" w:eastAsia="宋体" w:cs="宋体"/>
                <w:bCs/>
                <w:color w:val="auto"/>
                <w:sz w:val="21"/>
                <w:szCs w:val="21"/>
                <w:highlight w:val="none"/>
              </w:rPr>
              <w:t>）水污染防治类</w:t>
            </w:r>
          </w:p>
        </w:tc>
      </w:tr>
      <w:tr w14:paraId="2AE0A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6" w:type="dxa"/>
            <w:noWrap w:val="0"/>
            <w:vAlign w:val="center"/>
          </w:tcPr>
          <w:p w14:paraId="0DC24FD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786" w:type="dxa"/>
            <w:gridSpan w:val="2"/>
            <w:noWrap w:val="0"/>
            <w:vAlign w:val="top"/>
          </w:tcPr>
          <w:p w14:paraId="6F261BA3">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r>
      <w:tr w14:paraId="19262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6" w:type="dxa"/>
            <w:noWrap w:val="0"/>
            <w:vAlign w:val="center"/>
          </w:tcPr>
          <w:p w14:paraId="17D0074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6786" w:type="dxa"/>
            <w:gridSpan w:val="2"/>
            <w:noWrap w:val="0"/>
            <w:vAlign w:val="center"/>
          </w:tcPr>
          <w:p w14:paraId="24594A45">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向水体排放、倾倒工业废渣、城镇垃圾或者其他废弃物，或者向江河湖泊、运河、渠道、水库及其最高水位线以下的滩地、岸坡以及法律法规规定的其他地点倾倒、堆放、贮存固体废物或者其他污染物的</w:t>
            </w:r>
          </w:p>
        </w:tc>
      </w:tr>
      <w:tr w14:paraId="05D53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6" w:type="dxa"/>
            <w:noWrap w:val="0"/>
            <w:vAlign w:val="center"/>
          </w:tcPr>
          <w:p w14:paraId="02CA5B1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6786" w:type="dxa"/>
            <w:gridSpan w:val="2"/>
            <w:noWrap w:val="0"/>
            <w:vAlign w:val="top"/>
          </w:tcPr>
          <w:p w14:paraId="33989552">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《中华人民共和国生态环境法典》第一百六十四条第二款   禁止向江河湖泊、运河、渠道、水库及其最高水位线以下的滩地和岸坡以及法律法规规定的其他地点倾倒、堆放、贮存固体废物和其他污染物。</w:t>
            </w:r>
          </w:p>
          <w:p w14:paraId="26C3EA01">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《中华人民共和国生态环境法典》第二百八十二条第一款  禁止向水体排放、倾倒工业废渣、城镇垃圾和其他废弃物。</w:t>
            </w:r>
          </w:p>
        </w:tc>
      </w:tr>
      <w:tr w14:paraId="4120D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6" w:type="dxa"/>
            <w:noWrap w:val="0"/>
            <w:vAlign w:val="center"/>
          </w:tcPr>
          <w:p w14:paraId="36F5CE0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6786" w:type="dxa"/>
            <w:gridSpan w:val="2"/>
            <w:noWrap w:val="0"/>
            <w:vAlign w:val="top"/>
          </w:tcPr>
          <w:p w14:paraId="0586536A">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《中华人民共和国生态环境法典》第一千一百三十六条第一款第五项、第二款  违反本法规定，有下列情形之一的，由生态环境主管部门责令停止违法行为，采取治理措施消除污染，处以罚款，可以责令采取限制生产、停产整治等措施；拒不采取治理措施的，可以指定有治理能力的单位代为治理，所需费用由违法者承担</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w:t>
            </w:r>
          </w:p>
          <w:p w14:paraId="16E349B8">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（五）向水体排放、倾倒工业废渣、城镇垃圾或者其他废弃物，或者向江河湖泊、运河、渠道、水库及其最高水位线以下的滩地、岸坡以及法律法规规定的其他地点倾倒、堆放、贮存固体废物或者其他污染物。</w:t>
            </w:r>
          </w:p>
          <w:p w14:paraId="6B222E34">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有前款第三项、第四项情形之一的，处二万元以上二十万元以下的罚款；有前款第一项、第五项情形之一的，处十万元以上一百万元以下的罚款；有前款第二项情形的，处二十万元以上二百万元以下的罚款。</w:t>
            </w:r>
          </w:p>
        </w:tc>
      </w:tr>
      <w:tr w14:paraId="514D2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6" w:type="dxa"/>
            <w:noWrap w:val="0"/>
            <w:vAlign w:val="center"/>
          </w:tcPr>
          <w:p w14:paraId="074C71C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374" w:type="dxa"/>
            <w:noWrap w:val="0"/>
            <w:vAlign w:val="top"/>
          </w:tcPr>
          <w:p w14:paraId="6B40F69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412" w:type="dxa"/>
            <w:noWrap w:val="0"/>
            <w:vAlign w:val="top"/>
          </w:tcPr>
          <w:p w14:paraId="0427481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2AB39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736" w:type="dxa"/>
            <w:vMerge w:val="restart"/>
            <w:noWrap w:val="0"/>
            <w:vAlign w:val="center"/>
          </w:tcPr>
          <w:p w14:paraId="315FCEE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排放去向</w:t>
            </w:r>
            <w:r>
              <w:rPr>
                <w:rFonts w:hint="eastAsia" w:ascii="宋体" w:hAnsi="宋体" w:cs="宋体"/>
                <w:color w:val="auto"/>
                <w:sz w:val="21"/>
                <w:szCs w:val="21"/>
                <w:highlight w:val="none"/>
                <w:lang w:val="en-US" w:eastAsia="zh-CN"/>
              </w:rPr>
              <w:t>或</w:t>
            </w:r>
            <w:r>
              <w:rPr>
                <w:rFonts w:hint="eastAsia" w:ascii="宋体" w:hAnsi="宋体" w:eastAsia="宋体" w:cs="宋体"/>
                <w:color w:val="auto"/>
                <w:sz w:val="21"/>
                <w:szCs w:val="21"/>
                <w:highlight w:val="none"/>
              </w:rPr>
              <w:t>倾倒、</w:t>
            </w:r>
            <w:r>
              <w:rPr>
                <w:rFonts w:hint="eastAsia" w:ascii="宋体" w:hAnsi="宋体" w:cs="宋体"/>
                <w:color w:val="auto"/>
                <w:sz w:val="21"/>
                <w:szCs w:val="21"/>
                <w:highlight w:val="none"/>
                <w:lang w:val="en-US" w:eastAsia="zh-CN"/>
              </w:rPr>
              <w:t>堆放、贮存</w:t>
            </w:r>
            <w:r>
              <w:rPr>
                <w:rFonts w:hint="eastAsia" w:ascii="宋体" w:hAnsi="宋体" w:eastAsia="宋体" w:cs="宋体"/>
                <w:color w:val="auto"/>
                <w:sz w:val="21"/>
                <w:szCs w:val="21"/>
                <w:highlight w:val="none"/>
              </w:rPr>
              <w:t>区域</w:t>
            </w:r>
          </w:p>
        </w:tc>
        <w:tc>
          <w:tcPr>
            <w:tcW w:w="5374" w:type="dxa"/>
            <w:noWrap w:val="0"/>
            <w:vAlign w:val="top"/>
          </w:tcPr>
          <w:p w14:paraId="65AB800D">
            <w:pPr>
              <w:keepNext w:val="0"/>
              <w:keepLines w:val="0"/>
              <w:pageBreakBefore w:val="0"/>
              <w:widowControl w:val="0"/>
              <w:kinsoku/>
              <w:wordWrap/>
              <w:overflowPunct/>
              <w:topLinePunct w:val="0"/>
              <w:bidi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V类水体或其最高水位线以下的滩地、岸坡</w:t>
            </w:r>
          </w:p>
        </w:tc>
        <w:tc>
          <w:tcPr>
            <w:tcW w:w="1412" w:type="dxa"/>
            <w:noWrap w:val="0"/>
            <w:vAlign w:val="top"/>
          </w:tcPr>
          <w:p w14:paraId="5C74D39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2DF64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736" w:type="dxa"/>
            <w:vMerge w:val="continue"/>
            <w:noWrap w:val="0"/>
            <w:vAlign w:val="center"/>
          </w:tcPr>
          <w:p w14:paraId="3368BF63">
            <w:pPr>
              <w:jc w:val="center"/>
              <w:rPr>
                <w:rFonts w:hint="eastAsia" w:ascii="宋体" w:hAnsi="宋体" w:eastAsia="宋体" w:cs="宋体"/>
                <w:color w:val="auto"/>
                <w:sz w:val="21"/>
                <w:szCs w:val="21"/>
                <w:highlight w:val="none"/>
              </w:rPr>
            </w:pPr>
          </w:p>
        </w:tc>
        <w:tc>
          <w:tcPr>
            <w:tcW w:w="5374" w:type="dxa"/>
            <w:noWrap w:val="0"/>
            <w:vAlign w:val="top"/>
          </w:tcPr>
          <w:p w14:paraId="3E26F7FF">
            <w:pPr>
              <w:keepNext w:val="0"/>
              <w:keepLines w:val="0"/>
              <w:pageBreakBefore w:val="0"/>
              <w:widowControl w:val="0"/>
              <w:kinsoku/>
              <w:wordWrap/>
              <w:overflowPunct/>
              <w:topLinePunct w:val="0"/>
              <w:bidi w:val="0"/>
              <w:ind w:firstLine="420" w:firstLineChars="200"/>
              <w:jc w:val="both"/>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Ⅳ类</w:t>
            </w:r>
            <w:r>
              <w:rPr>
                <w:rFonts w:hint="eastAsia" w:ascii="宋体" w:hAnsi="宋体" w:eastAsia="宋体" w:cs="宋体"/>
                <w:color w:val="auto"/>
                <w:sz w:val="21"/>
                <w:szCs w:val="21"/>
                <w:highlight w:val="none"/>
              </w:rPr>
              <w:t>水体或其最高水位线以下的滩地、岸坡</w:t>
            </w:r>
          </w:p>
        </w:tc>
        <w:tc>
          <w:tcPr>
            <w:tcW w:w="1412" w:type="dxa"/>
            <w:noWrap w:val="0"/>
            <w:vAlign w:val="top"/>
          </w:tcPr>
          <w:p w14:paraId="4C6C29D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r>
      <w:tr w14:paraId="70FFF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736" w:type="dxa"/>
            <w:vMerge w:val="continue"/>
            <w:noWrap w:val="0"/>
            <w:vAlign w:val="center"/>
          </w:tcPr>
          <w:p w14:paraId="401EB9FC">
            <w:pPr>
              <w:jc w:val="center"/>
              <w:rPr>
                <w:rFonts w:hint="eastAsia" w:ascii="宋体" w:hAnsi="宋体" w:eastAsia="宋体" w:cs="宋体"/>
                <w:color w:val="auto"/>
                <w:sz w:val="21"/>
                <w:szCs w:val="21"/>
                <w:highlight w:val="none"/>
              </w:rPr>
            </w:pPr>
          </w:p>
        </w:tc>
        <w:tc>
          <w:tcPr>
            <w:tcW w:w="5374" w:type="dxa"/>
            <w:noWrap w:val="0"/>
            <w:vAlign w:val="top"/>
          </w:tcPr>
          <w:p w14:paraId="57570936">
            <w:pPr>
              <w:keepNext w:val="0"/>
              <w:keepLines w:val="0"/>
              <w:pageBreakBefore w:val="0"/>
              <w:widowControl w:val="0"/>
              <w:kinsoku/>
              <w:wordWrap/>
              <w:overflowPunct/>
              <w:topLinePunct w:val="0"/>
              <w:bidi w:val="0"/>
              <w:ind w:firstLine="420" w:firstLineChars="200"/>
              <w:jc w:val="both"/>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Ⅲ类</w:t>
            </w:r>
            <w:r>
              <w:rPr>
                <w:rFonts w:hint="eastAsia" w:ascii="宋体" w:hAnsi="宋体" w:eastAsia="宋体" w:cs="宋体"/>
                <w:color w:val="auto"/>
                <w:sz w:val="21"/>
                <w:szCs w:val="21"/>
                <w:highlight w:val="none"/>
              </w:rPr>
              <w:t>水体或其最高水位线以下的滩地、岸坡</w:t>
            </w:r>
          </w:p>
        </w:tc>
        <w:tc>
          <w:tcPr>
            <w:tcW w:w="1412" w:type="dxa"/>
            <w:noWrap w:val="0"/>
            <w:vAlign w:val="top"/>
          </w:tcPr>
          <w:p w14:paraId="4433AE9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237EA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1736" w:type="dxa"/>
            <w:vMerge w:val="continue"/>
            <w:noWrap w:val="0"/>
            <w:vAlign w:val="center"/>
          </w:tcPr>
          <w:p w14:paraId="2BCBA059">
            <w:pPr>
              <w:jc w:val="center"/>
              <w:rPr>
                <w:rFonts w:hint="eastAsia" w:ascii="宋体" w:hAnsi="宋体" w:eastAsia="宋体" w:cs="宋体"/>
                <w:color w:val="auto"/>
                <w:sz w:val="21"/>
                <w:szCs w:val="21"/>
                <w:highlight w:val="none"/>
              </w:rPr>
            </w:pPr>
          </w:p>
        </w:tc>
        <w:tc>
          <w:tcPr>
            <w:tcW w:w="5374" w:type="dxa"/>
            <w:noWrap w:val="0"/>
            <w:vAlign w:val="top"/>
          </w:tcPr>
          <w:p w14:paraId="4ED61D97">
            <w:pPr>
              <w:keepNext w:val="0"/>
              <w:keepLines w:val="0"/>
              <w:pageBreakBefore w:val="0"/>
              <w:widowControl w:val="0"/>
              <w:kinsoku/>
              <w:wordWrap/>
              <w:overflowPunct/>
              <w:topLinePunct w:val="0"/>
              <w:bidi w:val="0"/>
              <w:ind w:firstLine="420" w:firstLineChars="200"/>
              <w:jc w:val="both"/>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Ⅱ类</w:t>
            </w:r>
            <w:r>
              <w:rPr>
                <w:rFonts w:hint="eastAsia" w:ascii="宋体" w:hAnsi="宋体" w:eastAsia="宋体" w:cs="宋体"/>
                <w:color w:val="auto"/>
                <w:sz w:val="21"/>
                <w:szCs w:val="21"/>
                <w:highlight w:val="none"/>
              </w:rPr>
              <w:t>水体或其最高水位线以下的滩地、岸坡</w:t>
            </w:r>
          </w:p>
        </w:tc>
        <w:tc>
          <w:tcPr>
            <w:tcW w:w="1412" w:type="dxa"/>
            <w:noWrap w:val="0"/>
            <w:vAlign w:val="top"/>
          </w:tcPr>
          <w:p w14:paraId="42B9EE5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r>
      <w:tr w14:paraId="6D610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736" w:type="dxa"/>
            <w:vMerge w:val="continue"/>
            <w:noWrap w:val="0"/>
            <w:vAlign w:val="center"/>
          </w:tcPr>
          <w:p w14:paraId="49C1D754">
            <w:pPr>
              <w:jc w:val="center"/>
              <w:rPr>
                <w:rFonts w:hint="eastAsia" w:ascii="宋体" w:hAnsi="宋体" w:eastAsia="宋体" w:cs="宋体"/>
                <w:color w:val="auto"/>
                <w:sz w:val="21"/>
                <w:szCs w:val="21"/>
                <w:highlight w:val="none"/>
              </w:rPr>
            </w:pPr>
          </w:p>
        </w:tc>
        <w:tc>
          <w:tcPr>
            <w:tcW w:w="5374" w:type="dxa"/>
            <w:noWrap w:val="0"/>
            <w:vAlign w:val="top"/>
          </w:tcPr>
          <w:p w14:paraId="50D3D7A1">
            <w:pPr>
              <w:keepNext w:val="0"/>
              <w:keepLines w:val="0"/>
              <w:pageBreakBefore w:val="0"/>
              <w:widowControl w:val="0"/>
              <w:kinsoku/>
              <w:wordWrap/>
              <w:overflowPunct/>
              <w:topLinePunct w:val="0"/>
              <w:bidi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I类水体或其最高水位线以下的滩地、岸坡</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饮用水水源保护区/</w:t>
            </w:r>
            <w:r>
              <w:rPr>
                <w:rFonts w:hint="eastAsia" w:ascii="宋体" w:hAnsi="宋体" w:eastAsia="宋体" w:cs="宋体"/>
                <w:color w:val="auto"/>
                <w:sz w:val="21"/>
                <w:szCs w:val="21"/>
                <w:highlight w:val="none"/>
                <w:lang w:val="en-US" w:eastAsia="zh-CN"/>
              </w:rPr>
              <w:t>生态保护红线区域</w:t>
            </w:r>
          </w:p>
        </w:tc>
        <w:tc>
          <w:tcPr>
            <w:tcW w:w="1412" w:type="dxa"/>
            <w:noWrap w:val="0"/>
            <w:vAlign w:val="center"/>
          </w:tcPr>
          <w:p w14:paraId="41DAD8B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75D54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6" w:type="dxa"/>
            <w:vMerge w:val="restart"/>
            <w:noWrap w:val="0"/>
            <w:vAlign w:val="center"/>
          </w:tcPr>
          <w:p w14:paraId="6CD2E6E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污染物</w:t>
            </w:r>
            <w:r>
              <w:rPr>
                <w:rFonts w:hint="eastAsia" w:ascii="宋体" w:hAnsi="宋体" w:cs="宋体"/>
                <w:color w:val="auto"/>
                <w:sz w:val="21"/>
                <w:szCs w:val="21"/>
                <w:highlight w:val="none"/>
                <w:lang w:val="en-US" w:eastAsia="zh-CN"/>
              </w:rPr>
              <w:t>排放、倾倒、堆放、贮存</w:t>
            </w:r>
            <w:r>
              <w:rPr>
                <w:rFonts w:hint="eastAsia" w:ascii="宋体" w:hAnsi="宋体" w:eastAsia="宋体" w:cs="宋体"/>
                <w:color w:val="auto"/>
                <w:sz w:val="21"/>
                <w:szCs w:val="21"/>
                <w:highlight w:val="none"/>
              </w:rPr>
              <w:t>数量</w:t>
            </w:r>
          </w:p>
        </w:tc>
        <w:tc>
          <w:tcPr>
            <w:tcW w:w="5374" w:type="dxa"/>
            <w:noWrap w:val="0"/>
            <w:vAlign w:val="top"/>
          </w:tcPr>
          <w:p w14:paraId="17A93EF3">
            <w:pPr>
              <w:keepNext w:val="0"/>
              <w:keepLines w:val="0"/>
              <w:pageBreakBefore w:val="0"/>
              <w:widowControl w:val="0"/>
              <w:kinsoku/>
              <w:wordWrap/>
              <w:overflowPunct/>
              <w:topLinePunct w:val="0"/>
              <w:bidi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不足2吨</w:t>
            </w:r>
          </w:p>
        </w:tc>
        <w:tc>
          <w:tcPr>
            <w:tcW w:w="1412" w:type="dxa"/>
            <w:noWrap w:val="0"/>
            <w:vAlign w:val="top"/>
          </w:tcPr>
          <w:p w14:paraId="02E1857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2EADB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6" w:type="dxa"/>
            <w:vMerge w:val="continue"/>
            <w:noWrap w:val="0"/>
            <w:vAlign w:val="center"/>
          </w:tcPr>
          <w:p w14:paraId="13C38CA1">
            <w:pPr>
              <w:jc w:val="center"/>
              <w:rPr>
                <w:rFonts w:hint="eastAsia" w:ascii="宋体" w:hAnsi="宋体" w:eastAsia="宋体" w:cs="宋体"/>
                <w:color w:val="auto"/>
                <w:sz w:val="21"/>
                <w:szCs w:val="21"/>
                <w:highlight w:val="none"/>
              </w:rPr>
            </w:pPr>
          </w:p>
        </w:tc>
        <w:tc>
          <w:tcPr>
            <w:tcW w:w="5374" w:type="dxa"/>
            <w:noWrap w:val="0"/>
            <w:vAlign w:val="top"/>
          </w:tcPr>
          <w:p w14:paraId="1A574DAD">
            <w:pPr>
              <w:keepNext w:val="0"/>
              <w:keepLines w:val="0"/>
              <w:pageBreakBefore w:val="0"/>
              <w:widowControl w:val="0"/>
              <w:kinsoku/>
              <w:wordWrap/>
              <w:overflowPunct/>
              <w:topLinePunct w:val="0"/>
              <w:bidi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2吨以上不足5吨</w:t>
            </w:r>
          </w:p>
        </w:tc>
        <w:tc>
          <w:tcPr>
            <w:tcW w:w="1412" w:type="dxa"/>
            <w:noWrap w:val="0"/>
            <w:vAlign w:val="top"/>
          </w:tcPr>
          <w:p w14:paraId="7F58E52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r>
      <w:tr w14:paraId="0A6B5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6" w:type="dxa"/>
            <w:vMerge w:val="continue"/>
            <w:noWrap w:val="0"/>
            <w:vAlign w:val="center"/>
          </w:tcPr>
          <w:p w14:paraId="1FF91FFE">
            <w:pPr>
              <w:jc w:val="center"/>
              <w:rPr>
                <w:rFonts w:hint="eastAsia" w:ascii="宋体" w:hAnsi="宋体" w:eastAsia="宋体" w:cs="宋体"/>
                <w:color w:val="auto"/>
                <w:sz w:val="21"/>
                <w:szCs w:val="21"/>
                <w:highlight w:val="none"/>
              </w:rPr>
            </w:pPr>
          </w:p>
        </w:tc>
        <w:tc>
          <w:tcPr>
            <w:tcW w:w="5374" w:type="dxa"/>
            <w:noWrap w:val="0"/>
            <w:vAlign w:val="top"/>
          </w:tcPr>
          <w:p w14:paraId="3BC80BCC">
            <w:pPr>
              <w:keepNext w:val="0"/>
              <w:keepLines w:val="0"/>
              <w:pageBreakBefore w:val="0"/>
              <w:widowControl w:val="0"/>
              <w:kinsoku/>
              <w:wordWrap/>
              <w:overflowPunct/>
              <w:topLinePunct w:val="0"/>
              <w:bidi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5吨以上不足10吨</w:t>
            </w:r>
          </w:p>
        </w:tc>
        <w:tc>
          <w:tcPr>
            <w:tcW w:w="1412" w:type="dxa"/>
            <w:noWrap w:val="0"/>
            <w:vAlign w:val="top"/>
          </w:tcPr>
          <w:p w14:paraId="51486A5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06261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1736" w:type="dxa"/>
            <w:vMerge w:val="continue"/>
            <w:noWrap w:val="0"/>
            <w:vAlign w:val="center"/>
          </w:tcPr>
          <w:p w14:paraId="0CB74D7C">
            <w:pPr>
              <w:jc w:val="center"/>
              <w:rPr>
                <w:rFonts w:hint="eastAsia" w:ascii="宋体" w:hAnsi="宋体" w:eastAsia="宋体" w:cs="宋体"/>
                <w:color w:val="auto"/>
                <w:sz w:val="21"/>
                <w:szCs w:val="21"/>
                <w:highlight w:val="none"/>
              </w:rPr>
            </w:pPr>
          </w:p>
        </w:tc>
        <w:tc>
          <w:tcPr>
            <w:tcW w:w="5374" w:type="dxa"/>
            <w:noWrap w:val="0"/>
            <w:vAlign w:val="top"/>
          </w:tcPr>
          <w:p w14:paraId="35BB36FD">
            <w:pPr>
              <w:keepNext w:val="0"/>
              <w:keepLines w:val="0"/>
              <w:pageBreakBefore w:val="0"/>
              <w:widowControl w:val="0"/>
              <w:kinsoku/>
              <w:wordWrap/>
              <w:overflowPunct/>
              <w:topLinePunct w:val="0"/>
              <w:bidi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10吨以上不足20吨</w:t>
            </w:r>
          </w:p>
        </w:tc>
        <w:tc>
          <w:tcPr>
            <w:tcW w:w="1412" w:type="dxa"/>
            <w:noWrap w:val="0"/>
            <w:vAlign w:val="top"/>
          </w:tcPr>
          <w:p w14:paraId="6F852C4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r>
      <w:tr w14:paraId="1C791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1736" w:type="dxa"/>
            <w:vMerge w:val="continue"/>
            <w:noWrap w:val="0"/>
            <w:vAlign w:val="center"/>
          </w:tcPr>
          <w:p w14:paraId="1F690A4E">
            <w:pPr>
              <w:jc w:val="center"/>
              <w:rPr>
                <w:rFonts w:hint="eastAsia" w:ascii="宋体" w:hAnsi="宋体" w:eastAsia="宋体" w:cs="宋体"/>
                <w:color w:val="auto"/>
                <w:sz w:val="21"/>
                <w:szCs w:val="21"/>
                <w:highlight w:val="none"/>
              </w:rPr>
            </w:pPr>
          </w:p>
        </w:tc>
        <w:tc>
          <w:tcPr>
            <w:tcW w:w="5374" w:type="dxa"/>
            <w:noWrap w:val="0"/>
            <w:vAlign w:val="top"/>
          </w:tcPr>
          <w:p w14:paraId="5570C31E">
            <w:pPr>
              <w:keepNext w:val="0"/>
              <w:keepLines w:val="0"/>
              <w:pageBreakBefore w:val="0"/>
              <w:widowControl w:val="0"/>
              <w:kinsoku/>
              <w:wordWrap/>
              <w:overflowPunct/>
              <w:topLinePunct w:val="0"/>
              <w:bidi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20吨以上</w:t>
            </w:r>
          </w:p>
        </w:tc>
        <w:tc>
          <w:tcPr>
            <w:tcW w:w="1412" w:type="dxa"/>
            <w:noWrap w:val="0"/>
            <w:vAlign w:val="top"/>
          </w:tcPr>
          <w:p w14:paraId="14DA34B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bl>
    <w:p w14:paraId="5383A6BF">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503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0"/>
        <w:gridCol w:w="5506"/>
        <w:gridCol w:w="1710"/>
      </w:tblGrid>
      <w:tr w14:paraId="0D945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87" w:type="dxa"/>
            <w:gridSpan w:val="3"/>
            <w:noWrap w:val="0"/>
            <w:vAlign w:val="top"/>
          </w:tcPr>
          <w:p w14:paraId="6651081B">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w:t>
            </w:r>
            <w:r>
              <w:rPr>
                <w:rFonts w:hint="eastAsia" w:ascii="宋体" w:hAnsi="宋体" w:eastAsia="宋体" w:cs="宋体"/>
                <w:bCs/>
                <w:color w:val="auto"/>
                <w:sz w:val="21"/>
                <w:szCs w:val="21"/>
                <w:highlight w:val="none"/>
                <w:lang w:val="en-US" w:eastAsia="zh-CN"/>
              </w:rPr>
              <w:t>五</w:t>
            </w:r>
            <w:r>
              <w:rPr>
                <w:rFonts w:hint="eastAsia" w:ascii="宋体" w:hAnsi="宋体" w:eastAsia="宋体" w:cs="宋体"/>
                <w:bCs/>
                <w:color w:val="auto"/>
                <w:sz w:val="21"/>
                <w:szCs w:val="21"/>
                <w:highlight w:val="none"/>
              </w:rPr>
              <w:t>）水污染防治类</w:t>
            </w:r>
          </w:p>
        </w:tc>
      </w:tr>
      <w:tr w14:paraId="7FD92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4" w:type="dxa"/>
            <w:noWrap w:val="0"/>
            <w:vAlign w:val="center"/>
          </w:tcPr>
          <w:p w14:paraId="129D4A4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873" w:type="dxa"/>
            <w:gridSpan w:val="2"/>
            <w:noWrap w:val="0"/>
            <w:vAlign w:val="top"/>
          </w:tcPr>
          <w:p w14:paraId="68EE210A">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w:t>
            </w:r>
          </w:p>
        </w:tc>
      </w:tr>
      <w:tr w14:paraId="70D2D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4" w:type="dxa"/>
            <w:noWrap w:val="0"/>
            <w:vAlign w:val="center"/>
          </w:tcPr>
          <w:p w14:paraId="4BFCDC6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6873" w:type="dxa"/>
            <w:gridSpan w:val="2"/>
            <w:noWrap w:val="0"/>
            <w:vAlign w:val="center"/>
          </w:tcPr>
          <w:p w14:paraId="4AF14099">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未采取防渗漏等措施，未建设地下水水质监测井进行监测的</w:t>
            </w:r>
          </w:p>
        </w:tc>
      </w:tr>
      <w:tr w14:paraId="3A32D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4" w:type="dxa"/>
            <w:noWrap w:val="0"/>
            <w:vAlign w:val="center"/>
          </w:tcPr>
          <w:p w14:paraId="2560902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6873" w:type="dxa"/>
            <w:gridSpan w:val="2"/>
            <w:noWrap w:val="0"/>
            <w:vAlign w:val="top"/>
          </w:tcPr>
          <w:p w14:paraId="6B10EC75">
            <w:pPr>
              <w:ind w:firstLine="420" w:firstLineChars="200"/>
              <w:rPr>
                <w:rFonts w:hint="eastAsia" w:ascii="宋体" w:hAnsi="宋体" w:eastAsia="宋体" w:cs="宋体"/>
                <w:color w:val="auto"/>
                <w:sz w:val="21"/>
                <w:szCs w:val="21"/>
                <w:highlight w:val="none"/>
                <w:lang w:eastAsia="zh-TW"/>
              </w:rPr>
            </w:pPr>
            <w:r>
              <w:rPr>
                <w:rFonts w:hint="eastAsia" w:ascii="宋体" w:hAnsi="宋体" w:eastAsia="宋体" w:cs="宋体"/>
                <w:color w:val="auto"/>
                <w:sz w:val="21"/>
                <w:szCs w:val="21"/>
                <w:highlight w:val="none"/>
                <w:lang w:eastAsia="zh-TW"/>
              </w:rPr>
              <w:t>《中华人民共和国生态环境法典》第二百八十七条第一款  化工园区和化工项目、矿山开采区、尾矿库、危险废物处置场、垃圾填埋场等的运营、管理单位，应当采取防渗漏等措施，并建设地下水水质监测井进行监测，防止地下水污染。</w:t>
            </w:r>
          </w:p>
        </w:tc>
      </w:tr>
      <w:tr w14:paraId="7D021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4" w:type="dxa"/>
            <w:noWrap w:val="0"/>
            <w:vAlign w:val="center"/>
          </w:tcPr>
          <w:p w14:paraId="36650B4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6873" w:type="dxa"/>
            <w:gridSpan w:val="2"/>
            <w:noWrap w:val="0"/>
            <w:vAlign w:val="top"/>
          </w:tcPr>
          <w:p w14:paraId="1CEC6AA0">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《中华人民共和国生态环境法典》第一千一百三十七条第一款第一项、第二款  违反本法规定，有下列情形之一的，由生态环境主管部门责令停止违法行为，采取治理措施消除污染，处以罚款，可以责令采取限制生产、停产整治等措施；拒不采取治理措施的，指定有治理能力的单位代为治理，所需费用由违法者承担</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w:t>
            </w:r>
          </w:p>
          <w:p w14:paraId="5410E290">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（一）未采取防渗漏等措施，未建设地下水水质监测井进行监测；</w:t>
            </w:r>
          </w:p>
          <w:p w14:paraId="27D24B17">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有前款第一项、第二项情形之一的，处二万元以上二十万元以下的罚款；有前款第三项、第四项情形之一的，处十万元以上一百万元以下的罚款。</w:t>
            </w:r>
          </w:p>
        </w:tc>
      </w:tr>
      <w:tr w14:paraId="05BAC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4" w:type="dxa"/>
            <w:noWrap w:val="0"/>
            <w:vAlign w:val="center"/>
          </w:tcPr>
          <w:p w14:paraId="3716C18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244" w:type="dxa"/>
            <w:noWrap w:val="0"/>
            <w:vAlign w:val="top"/>
          </w:tcPr>
          <w:p w14:paraId="3BBE712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629" w:type="dxa"/>
            <w:noWrap w:val="0"/>
            <w:vAlign w:val="top"/>
          </w:tcPr>
          <w:p w14:paraId="47CAA48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1B352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4" w:type="dxa"/>
            <w:vMerge w:val="restart"/>
            <w:noWrap w:val="0"/>
            <w:vAlign w:val="center"/>
          </w:tcPr>
          <w:p w14:paraId="28CC3E10">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违法</w:t>
            </w:r>
            <w:r>
              <w:rPr>
                <w:rFonts w:hint="eastAsia" w:ascii="宋体" w:hAnsi="宋体" w:eastAsia="宋体" w:cs="宋体"/>
                <w:color w:val="auto"/>
                <w:sz w:val="21"/>
                <w:szCs w:val="21"/>
                <w:highlight w:val="none"/>
                <w:lang w:val="en-US" w:eastAsia="zh-CN"/>
              </w:rPr>
              <w:t>事实</w:t>
            </w:r>
          </w:p>
        </w:tc>
        <w:tc>
          <w:tcPr>
            <w:tcW w:w="5244" w:type="dxa"/>
            <w:noWrap w:val="0"/>
            <w:vAlign w:val="top"/>
          </w:tcPr>
          <w:p w14:paraId="138B889D">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采取防渗漏措施，未建设地下水水质监测井进行监测</w:t>
            </w:r>
          </w:p>
        </w:tc>
        <w:tc>
          <w:tcPr>
            <w:tcW w:w="1629" w:type="dxa"/>
            <w:noWrap w:val="0"/>
            <w:vAlign w:val="center"/>
          </w:tcPr>
          <w:p w14:paraId="585FC5E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19FD7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4" w:type="dxa"/>
            <w:vMerge w:val="continue"/>
            <w:noWrap w:val="0"/>
            <w:vAlign w:val="center"/>
          </w:tcPr>
          <w:p w14:paraId="61672920">
            <w:pPr>
              <w:jc w:val="center"/>
              <w:rPr>
                <w:rFonts w:hint="eastAsia" w:ascii="宋体" w:hAnsi="宋体" w:eastAsia="宋体" w:cs="宋体"/>
                <w:color w:val="auto"/>
                <w:sz w:val="21"/>
                <w:szCs w:val="21"/>
                <w:highlight w:val="none"/>
              </w:rPr>
            </w:pPr>
          </w:p>
        </w:tc>
        <w:tc>
          <w:tcPr>
            <w:tcW w:w="5244" w:type="dxa"/>
            <w:noWrap w:val="0"/>
            <w:vAlign w:val="top"/>
          </w:tcPr>
          <w:p w14:paraId="2A6A8BD9">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未采取防渗漏措施，建设地下水水质监测井进行监测</w:t>
            </w:r>
          </w:p>
        </w:tc>
        <w:tc>
          <w:tcPr>
            <w:tcW w:w="1629" w:type="dxa"/>
            <w:noWrap w:val="0"/>
            <w:vAlign w:val="center"/>
          </w:tcPr>
          <w:p w14:paraId="6F0D7DD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p>
        </w:tc>
      </w:tr>
      <w:tr w14:paraId="0A0C9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4" w:type="dxa"/>
            <w:vMerge w:val="continue"/>
            <w:noWrap w:val="0"/>
            <w:vAlign w:val="center"/>
          </w:tcPr>
          <w:p w14:paraId="02574C1E">
            <w:pPr>
              <w:jc w:val="center"/>
              <w:rPr>
                <w:rFonts w:hint="eastAsia" w:ascii="宋体" w:hAnsi="宋体" w:eastAsia="宋体" w:cs="宋体"/>
                <w:color w:val="auto"/>
                <w:sz w:val="21"/>
                <w:szCs w:val="21"/>
                <w:highlight w:val="none"/>
              </w:rPr>
            </w:pPr>
          </w:p>
        </w:tc>
        <w:tc>
          <w:tcPr>
            <w:tcW w:w="5244" w:type="dxa"/>
            <w:noWrap w:val="0"/>
            <w:vAlign w:val="top"/>
          </w:tcPr>
          <w:p w14:paraId="0F15B454">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未采取防渗漏措施，未建设地下水水质监测井进行监测</w:t>
            </w:r>
          </w:p>
        </w:tc>
        <w:tc>
          <w:tcPr>
            <w:tcW w:w="1629" w:type="dxa"/>
            <w:noWrap w:val="0"/>
            <w:vAlign w:val="center"/>
          </w:tcPr>
          <w:p w14:paraId="7B6FC5C9">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5</w:t>
            </w:r>
          </w:p>
        </w:tc>
      </w:tr>
      <w:tr w14:paraId="586B5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trPr>
        <w:tc>
          <w:tcPr>
            <w:tcW w:w="1714" w:type="dxa"/>
            <w:vMerge w:val="restart"/>
            <w:noWrap w:val="0"/>
            <w:vAlign w:val="center"/>
          </w:tcPr>
          <w:p w14:paraId="27F3BE9F">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地下水质量分类</w:t>
            </w:r>
          </w:p>
        </w:tc>
        <w:tc>
          <w:tcPr>
            <w:tcW w:w="5244" w:type="dxa"/>
            <w:noWrap w:val="0"/>
            <w:vAlign w:val="top"/>
          </w:tcPr>
          <w:p w14:paraId="05AB325D">
            <w:pPr>
              <w:keepNext w:val="0"/>
              <w:keepLines w:val="0"/>
              <w:pageBreakBefore w:val="0"/>
              <w:widowControl w:val="0"/>
              <w:kinsoku/>
              <w:wordWrap/>
              <w:overflowPunct/>
              <w:topLinePunct w:val="0"/>
              <w:bidi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V类</w:t>
            </w:r>
          </w:p>
        </w:tc>
        <w:tc>
          <w:tcPr>
            <w:tcW w:w="1629" w:type="dxa"/>
            <w:noWrap w:val="0"/>
            <w:vAlign w:val="center"/>
          </w:tcPr>
          <w:p w14:paraId="54C51BE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1EC1B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trPr>
        <w:tc>
          <w:tcPr>
            <w:tcW w:w="1714" w:type="dxa"/>
            <w:vMerge w:val="continue"/>
            <w:noWrap w:val="0"/>
            <w:vAlign w:val="center"/>
          </w:tcPr>
          <w:p w14:paraId="0DBF4E46">
            <w:pPr>
              <w:jc w:val="center"/>
              <w:rPr>
                <w:rFonts w:hint="eastAsia" w:ascii="宋体" w:hAnsi="宋体" w:eastAsia="宋体" w:cs="宋体"/>
                <w:color w:val="auto"/>
                <w:sz w:val="21"/>
                <w:szCs w:val="21"/>
                <w:highlight w:val="none"/>
              </w:rPr>
            </w:pPr>
          </w:p>
        </w:tc>
        <w:tc>
          <w:tcPr>
            <w:tcW w:w="5244" w:type="dxa"/>
            <w:noWrap w:val="0"/>
            <w:vAlign w:val="top"/>
          </w:tcPr>
          <w:p w14:paraId="66BE25E4">
            <w:pPr>
              <w:keepNext w:val="0"/>
              <w:keepLines w:val="0"/>
              <w:pageBreakBefore w:val="0"/>
              <w:widowControl w:val="0"/>
              <w:kinsoku/>
              <w:wordWrap/>
              <w:overflowPunct/>
              <w:topLinePunct w:val="0"/>
              <w:bidi w:val="0"/>
              <w:ind w:firstLine="420" w:firstLineChars="200"/>
              <w:jc w:val="both"/>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Ⅳ</w:t>
            </w:r>
            <w:r>
              <w:rPr>
                <w:rFonts w:hint="eastAsia" w:ascii="宋体" w:hAnsi="宋体" w:eastAsia="宋体" w:cs="宋体"/>
                <w:color w:val="auto"/>
                <w:sz w:val="21"/>
                <w:szCs w:val="21"/>
                <w:highlight w:val="none"/>
              </w:rPr>
              <w:t>类</w:t>
            </w:r>
          </w:p>
        </w:tc>
        <w:tc>
          <w:tcPr>
            <w:tcW w:w="1629" w:type="dxa"/>
            <w:noWrap w:val="0"/>
            <w:vAlign w:val="center"/>
          </w:tcPr>
          <w:p w14:paraId="4A1F785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r>
      <w:tr w14:paraId="3D9FE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trPr>
        <w:tc>
          <w:tcPr>
            <w:tcW w:w="1714" w:type="dxa"/>
            <w:vMerge w:val="continue"/>
            <w:noWrap w:val="0"/>
            <w:vAlign w:val="center"/>
          </w:tcPr>
          <w:p w14:paraId="5E6A0C8A">
            <w:pPr>
              <w:jc w:val="center"/>
              <w:rPr>
                <w:rFonts w:hint="eastAsia" w:ascii="宋体" w:hAnsi="宋体" w:eastAsia="宋体" w:cs="宋体"/>
                <w:color w:val="auto"/>
                <w:sz w:val="21"/>
                <w:szCs w:val="21"/>
                <w:highlight w:val="none"/>
              </w:rPr>
            </w:pPr>
          </w:p>
        </w:tc>
        <w:tc>
          <w:tcPr>
            <w:tcW w:w="5244" w:type="dxa"/>
            <w:noWrap w:val="0"/>
            <w:vAlign w:val="top"/>
          </w:tcPr>
          <w:p w14:paraId="3C77DC2D">
            <w:pPr>
              <w:keepNext w:val="0"/>
              <w:keepLines w:val="0"/>
              <w:pageBreakBefore w:val="0"/>
              <w:widowControl w:val="0"/>
              <w:kinsoku/>
              <w:wordWrap/>
              <w:overflowPunct/>
              <w:topLinePunct w:val="0"/>
              <w:bidi w:val="0"/>
              <w:ind w:firstLine="420" w:firstLineChars="200"/>
              <w:jc w:val="both"/>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Ⅲ</w:t>
            </w:r>
            <w:r>
              <w:rPr>
                <w:rFonts w:hint="eastAsia" w:ascii="宋体" w:hAnsi="宋体" w:eastAsia="宋体" w:cs="宋体"/>
                <w:color w:val="auto"/>
                <w:sz w:val="21"/>
                <w:szCs w:val="21"/>
                <w:highlight w:val="none"/>
              </w:rPr>
              <w:t>类</w:t>
            </w:r>
          </w:p>
        </w:tc>
        <w:tc>
          <w:tcPr>
            <w:tcW w:w="1629" w:type="dxa"/>
            <w:noWrap w:val="0"/>
            <w:vAlign w:val="center"/>
          </w:tcPr>
          <w:p w14:paraId="774E85E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1271C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trPr>
        <w:tc>
          <w:tcPr>
            <w:tcW w:w="1714" w:type="dxa"/>
            <w:vMerge w:val="continue"/>
            <w:noWrap w:val="0"/>
            <w:vAlign w:val="center"/>
          </w:tcPr>
          <w:p w14:paraId="67647E11">
            <w:pPr>
              <w:jc w:val="center"/>
              <w:rPr>
                <w:rFonts w:hint="eastAsia" w:ascii="宋体" w:hAnsi="宋体" w:eastAsia="宋体" w:cs="宋体"/>
                <w:color w:val="auto"/>
                <w:sz w:val="21"/>
                <w:szCs w:val="21"/>
                <w:highlight w:val="none"/>
              </w:rPr>
            </w:pPr>
          </w:p>
        </w:tc>
        <w:tc>
          <w:tcPr>
            <w:tcW w:w="5244" w:type="dxa"/>
            <w:noWrap w:val="0"/>
            <w:vAlign w:val="top"/>
          </w:tcPr>
          <w:p w14:paraId="2A1D986C">
            <w:pPr>
              <w:keepNext w:val="0"/>
              <w:keepLines w:val="0"/>
              <w:pageBreakBefore w:val="0"/>
              <w:widowControl w:val="0"/>
              <w:kinsoku/>
              <w:wordWrap/>
              <w:overflowPunct/>
              <w:topLinePunct w:val="0"/>
              <w:bidi w:val="0"/>
              <w:ind w:firstLine="420" w:firstLineChars="200"/>
              <w:jc w:val="both"/>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Ⅱ</w:t>
            </w:r>
            <w:r>
              <w:rPr>
                <w:rFonts w:hint="eastAsia" w:ascii="宋体" w:hAnsi="宋体" w:eastAsia="宋体" w:cs="宋体"/>
                <w:color w:val="auto"/>
                <w:sz w:val="21"/>
                <w:szCs w:val="21"/>
                <w:highlight w:val="none"/>
              </w:rPr>
              <w:t>类</w:t>
            </w:r>
          </w:p>
        </w:tc>
        <w:tc>
          <w:tcPr>
            <w:tcW w:w="1629" w:type="dxa"/>
            <w:noWrap w:val="0"/>
            <w:vAlign w:val="center"/>
          </w:tcPr>
          <w:p w14:paraId="76E538F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r>
      <w:tr w14:paraId="6E2BE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trPr>
        <w:tc>
          <w:tcPr>
            <w:tcW w:w="1714" w:type="dxa"/>
            <w:vMerge w:val="continue"/>
            <w:noWrap w:val="0"/>
            <w:vAlign w:val="center"/>
          </w:tcPr>
          <w:p w14:paraId="662F2462">
            <w:pPr>
              <w:jc w:val="center"/>
              <w:rPr>
                <w:rFonts w:hint="eastAsia" w:ascii="宋体" w:hAnsi="宋体" w:eastAsia="宋体" w:cs="宋体"/>
                <w:color w:val="auto"/>
                <w:sz w:val="21"/>
                <w:szCs w:val="21"/>
                <w:highlight w:val="none"/>
              </w:rPr>
            </w:pPr>
          </w:p>
        </w:tc>
        <w:tc>
          <w:tcPr>
            <w:tcW w:w="5244" w:type="dxa"/>
            <w:noWrap w:val="0"/>
            <w:vAlign w:val="top"/>
          </w:tcPr>
          <w:p w14:paraId="7EAF2D8F">
            <w:pPr>
              <w:keepNext w:val="0"/>
              <w:keepLines w:val="0"/>
              <w:pageBreakBefore w:val="0"/>
              <w:widowControl w:val="0"/>
              <w:kinsoku/>
              <w:wordWrap/>
              <w:overflowPunct/>
              <w:topLinePunct w:val="0"/>
              <w:bidi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I类</w:t>
            </w:r>
          </w:p>
        </w:tc>
        <w:tc>
          <w:tcPr>
            <w:tcW w:w="1629" w:type="dxa"/>
            <w:noWrap w:val="0"/>
            <w:vAlign w:val="center"/>
          </w:tcPr>
          <w:p w14:paraId="79D905D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bl>
    <w:p w14:paraId="080E981D">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2"/>
        <w:gridCol w:w="5510"/>
        <w:gridCol w:w="1636"/>
      </w:tblGrid>
      <w:tr w14:paraId="18A17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8522" w:type="dxa"/>
            <w:gridSpan w:val="3"/>
            <w:noWrap w:val="0"/>
            <w:vAlign w:val="top"/>
          </w:tcPr>
          <w:p w14:paraId="5D3D821F">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w:t>
            </w:r>
            <w:r>
              <w:rPr>
                <w:rFonts w:hint="eastAsia" w:ascii="宋体" w:hAnsi="宋体" w:eastAsia="宋体" w:cs="宋体"/>
                <w:bCs/>
                <w:color w:val="auto"/>
                <w:sz w:val="21"/>
                <w:szCs w:val="21"/>
                <w:highlight w:val="none"/>
                <w:lang w:val="en-US" w:eastAsia="zh-CN"/>
              </w:rPr>
              <w:t>五</w:t>
            </w:r>
            <w:r>
              <w:rPr>
                <w:rFonts w:hint="eastAsia" w:ascii="宋体" w:hAnsi="宋体" w:eastAsia="宋体" w:cs="宋体"/>
                <w:bCs/>
                <w:color w:val="auto"/>
                <w:sz w:val="21"/>
                <w:szCs w:val="21"/>
                <w:highlight w:val="none"/>
              </w:rPr>
              <w:t>）水污染防治类</w:t>
            </w:r>
          </w:p>
        </w:tc>
      </w:tr>
      <w:tr w14:paraId="08D10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6" w:type="dxa"/>
            <w:noWrap w:val="0"/>
            <w:vAlign w:val="center"/>
          </w:tcPr>
          <w:p w14:paraId="2042A7D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806" w:type="dxa"/>
            <w:gridSpan w:val="2"/>
            <w:noWrap w:val="0"/>
            <w:vAlign w:val="top"/>
          </w:tcPr>
          <w:p w14:paraId="7901C7B5">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w:t>
            </w:r>
          </w:p>
        </w:tc>
      </w:tr>
      <w:tr w14:paraId="040A6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6" w:type="dxa"/>
            <w:noWrap w:val="0"/>
            <w:vAlign w:val="center"/>
          </w:tcPr>
          <w:p w14:paraId="7B20652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6806" w:type="dxa"/>
            <w:gridSpan w:val="2"/>
            <w:noWrap w:val="0"/>
            <w:vAlign w:val="center"/>
          </w:tcPr>
          <w:p w14:paraId="1FCE427F">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加油站、采油厂等的地下油罐未使用双层罐或者采取建造防渗池等其他有效措施，或者未进行防渗漏监测的</w:t>
            </w:r>
          </w:p>
        </w:tc>
      </w:tr>
      <w:tr w14:paraId="1F192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6" w:type="dxa"/>
            <w:noWrap w:val="0"/>
            <w:vAlign w:val="center"/>
          </w:tcPr>
          <w:p w14:paraId="53B4764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6806" w:type="dxa"/>
            <w:gridSpan w:val="2"/>
            <w:noWrap w:val="0"/>
            <w:vAlign w:val="top"/>
          </w:tcPr>
          <w:p w14:paraId="2BEBFE1B">
            <w:pPr>
              <w:ind w:firstLine="420" w:firstLineChars="200"/>
              <w:rPr>
                <w:rFonts w:hint="eastAsia" w:ascii="宋体" w:hAnsi="宋体" w:eastAsia="宋体" w:cs="宋体"/>
                <w:color w:val="auto"/>
                <w:sz w:val="21"/>
                <w:szCs w:val="21"/>
                <w:highlight w:val="none"/>
                <w:lang w:eastAsia="zh-TW"/>
              </w:rPr>
            </w:pPr>
            <w:r>
              <w:rPr>
                <w:rFonts w:hint="eastAsia" w:ascii="宋体" w:hAnsi="宋体" w:eastAsia="宋体" w:cs="宋体"/>
                <w:color w:val="auto"/>
                <w:sz w:val="21"/>
                <w:szCs w:val="21"/>
                <w:highlight w:val="none"/>
                <w:lang w:eastAsia="zh-TW"/>
              </w:rPr>
              <w:t>《中华人民共和国生态环境法典》第二百八十七条第二款  加油站、采油厂等的地下油罐应当使用双层罐或者采取建造防渗池等其他有效措施，并进行防渗漏监测，防止地下水污染。</w:t>
            </w:r>
          </w:p>
        </w:tc>
      </w:tr>
      <w:tr w14:paraId="5DD78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6" w:type="dxa"/>
            <w:noWrap w:val="0"/>
            <w:vAlign w:val="center"/>
          </w:tcPr>
          <w:p w14:paraId="53202F8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6806" w:type="dxa"/>
            <w:gridSpan w:val="2"/>
            <w:noWrap w:val="0"/>
            <w:vAlign w:val="top"/>
          </w:tcPr>
          <w:p w14:paraId="6B3841C2">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《中华人民共和国生态环境法典》第一千一百三十七条第一款第</w:t>
            </w:r>
            <w:r>
              <w:rPr>
                <w:rFonts w:hint="eastAsia" w:ascii="宋体" w:hAnsi="宋体" w:eastAsia="宋体" w:cs="宋体"/>
                <w:color w:val="auto"/>
                <w:sz w:val="21"/>
                <w:szCs w:val="21"/>
                <w:highlight w:val="none"/>
                <w:lang w:val="en-US" w:eastAsia="zh-CN"/>
              </w:rPr>
              <w:t>二</w:t>
            </w:r>
            <w:r>
              <w:rPr>
                <w:rFonts w:hint="eastAsia" w:ascii="宋体" w:hAnsi="宋体" w:eastAsia="宋体" w:cs="宋体"/>
                <w:color w:val="auto"/>
                <w:sz w:val="21"/>
                <w:szCs w:val="21"/>
                <w:highlight w:val="none"/>
              </w:rPr>
              <w:t>项、第二款  违反本法规定，有下列情形之一的，由生态环境主管部门责令停止违法行为，采取治理措施消除污染，处以罚款，可以责令采取限制生产、停产整治等措施；拒不采取治理措施的，指定有治理能力的单位代为治理，所需费用由违法者承担</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w:t>
            </w:r>
          </w:p>
          <w:p w14:paraId="46AFF268">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（二）加油站、采油厂等的地下油罐未使用双层罐或者采取建造防渗池等其他有效措施，或者未进行防渗漏监测；</w:t>
            </w:r>
          </w:p>
          <w:p w14:paraId="24E5FA0F">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有前款第一项、第二项情形之一的，处二万元以上二十万元以下的罚款；有前款第三项、第四项情形之一的，处十万元以上一百万元以下的罚款。</w:t>
            </w:r>
          </w:p>
        </w:tc>
      </w:tr>
      <w:tr w14:paraId="4DE5F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6" w:type="dxa"/>
            <w:noWrap w:val="0"/>
            <w:vAlign w:val="center"/>
          </w:tcPr>
          <w:p w14:paraId="6774C1C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248" w:type="dxa"/>
            <w:noWrap w:val="0"/>
            <w:vAlign w:val="top"/>
          </w:tcPr>
          <w:p w14:paraId="6F59DCA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558" w:type="dxa"/>
            <w:noWrap w:val="0"/>
            <w:vAlign w:val="top"/>
          </w:tcPr>
          <w:p w14:paraId="77B3586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4410F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716" w:type="dxa"/>
            <w:vMerge w:val="restart"/>
            <w:noWrap w:val="0"/>
            <w:vAlign w:val="center"/>
          </w:tcPr>
          <w:p w14:paraId="07F2FC8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违法事实</w:t>
            </w:r>
          </w:p>
        </w:tc>
        <w:tc>
          <w:tcPr>
            <w:tcW w:w="5248" w:type="dxa"/>
            <w:noWrap w:val="0"/>
            <w:vAlign w:val="top"/>
          </w:tcPr>
          <w:p w14:paraId="0907117E">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已使用双层罐或者采取建设防渗池等其他有效措施，但是未规范进行防渗漏监测的</w:t>
            </w:r>
          </w:p>
        </w:tc>
        <w:tc>
          <w:tcPr>
            <w:tcW w:w="1558" w:type="dxa"/>
            <w:noWrap w:val="0"/>
            <w:vAlign w:val="center"/>
          </w:tcPr>
          <w:p w14:paraId="3BCFC50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748FD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716" w:type="dxa"/>
            <w:vMerge w:val="continue"/>
            <w:noWrap w:val="0"/>
            <w:vAlign w:val="center"/>
          </w:tcPr>
          <w:p w14:paraId="008DB68A">
            <w:pPr>
              <w:jc w:val="center"/>
              <w:rPr>
                <w:rFonts w:hint="eastAsia" w:ascii="宋体" w:hAnsi="宋体" w:eastAsia="宋体" w:cs="宋体"/>
                <w:color w:val="auto"/>
                <w:sz w:val="21"/>
                <w:szCs w:val="21"/>
                <w:highlight w:val="none"/>
              </w:rPr>
            </w:pPr>
          </w:p>
        </w:tc>
        <w:tc>
          <w:tcPr>
            <w:tcW w:w="5248" w:type="dxa"/>
            <w:noWrap w:val="0"/>
            <w:vAlign w:val="top"/>
          </w:tcPr>
          <w:p w14:paraId="6A7C70A0">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已使用双层罐或者采取建设防渗池等其他有效措施，但是未进行防渗漏监测的</w:t>
            </w:r>
          </w:p>
        </w:tc>
        <w:tc>
          <w:tcPr>
            <w:tcW w:w="1558" w:type="dxa"/>
            <w:noWrap w:val="0"/>
            <w:vAlign w:val="center"/>
          </w:tcPr>
          <w:p w14:paraId="1370215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r>
      <w:tr w14:paraId="7ECD4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716" w:type="dxa"/>
            <w:vMerge w:val="continue"/>
            <w:noWrap w:val="0"/>
            <w:vAlign w:val="center"/>
          </w:tcPr>
          <w:p w14:paraId="017CDD33">
            <w:pPr>
              <w:jc w:val="center"/>
              <w:rPr>
                <w:rFonts w:hint="eastAsia" w:ascii="宋体" w:hAnsi="宋体" w:eastAsia="宋体" w:cs="宋体"/>
                <w:color w:val="auto"/>
                <w:sz w:val="21"/>
                <w:szCs w:val="21"/>
                <w:highlight w:val="none"/>
              </w:rPr>
            </w:pPr>
          </w:p>
        </w:tc>
        <w:tc>
          <w:tcPr>
            <w:tcW w:w="5248" w:type="dxa"/>
            <w:noWrap w:val="0"/>
            <w:vAlign w:val="top"/>
          </w:tcPr>
          <w:p w14:paraId="7DE54DDA">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未规范使用双层罐或者采取建设防渗池等其他有效措施的</w:t>
            </w:r>
          </w:p>
        </w:tc>
        <w:tc>
          <w:tcPr>
            <w:tcW w:w="1558" w:type="dxa"/>
            <w:noWrap w:val="0"/>
            <w:vAlign w:val="center"/>
          </w:tcPr>
          <w:p w14:paraId="2919CC0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r>
      <w:tr w14:paraId="51BAD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716" w:type="dxa"/>
            <w:vMerge w:val="continue"/>
            <w:noWrap w:val="0"/>
            <w:vAlign w:val="center"/>
          </w:tcPr>
          <w:p w14:paraId="70C90AC6">
            <w:pPr>
              <w:jc w:val="center"/>
              <w:rPr>
                <w:rFonts w:hint="eastAsia" w:ascii="宋体" w:hAnsi="宋体" w:eastAsia="宋体" w:cs="宋体"/>
                <w:color w:val="auto"/>
                <w:sz w:val="21"/>
                <w:szCs w:val="21"/>
                <w:highlight w:val="none"/>
              </w:rPr>
            </w:pPr>
          </w:p>
        </w:tc>
        <w:tc>
          <w:tcPr>
            <w:tcW w:w="5248" w:type="dxa"/>
            <w:noWrap w:val="0"/>
            <w:vAlign w:val="top"/>
          </w:tcPr>
          <w:p w14:paraId="3A7F0914">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未使用双层罐或者采取建设防渗池等其他有效措施的</w:t>
            </w:r>
          </w:p>
        </w:tc>
        <w:tc>
          <w:tcPr>
            <w:tcW w:w="1558" w:type="dxa"/>
            <w:noWrap w:val="0"/>
            <w:vAlign w:val="center"/>
          </w:tcPr>
          <w:p w14:paraId="74DAEE2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0BAD2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716" w:type="dxa"/>
            <w:vMerge w:val="restart"/>
            <w:noWrap w:val="0"/>
            <w:vAlign w:val="center"/>
          </w:tcPr>
          <w:p w14:paraId="7214321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地下油罐容积</w:t>
            </w:r>
          </w:p>
        </w:tc>
        <w:tc>
          <w:tcPr>
            <w:tcW w:w="5248" w:type="dxa"/>
            <w:noWrap w:val="0"/>
            <w:vAlign w:val="top"/>
          </w:tcPr>
          <w:p w14:paraId="67F20D1D">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不足100</w:t>
            </w:r>
            <w:r>
              <w:rPr>
                <w:rFonts w:hint="eastAsia" w:ascii="宋体" w:hAnsi="宋体" w:cs="宋体"/>
                <w:color w:val="auto"/>
                <w:sz w:val="21"/>
                <w:szCs w:val="21"/>
                <w:highlight w:val="none"/>
                <w:lang w:eastAsia="zh-CN"/>
              </w:rPr>
              <w:t>立方米</w:t>
            </w:r>
            <w:r>
              <w:rPr>
                <w:rFonts w:hint="eastAsia" w:ascii="宋体" w:hAnsi="宋体" w:eastAsia="宋体" w:cs="宋体"/>
                <w:color w:val="auto"/>
                <w:sz w:val="21"/>
                <w:szCs w:val="21"/>
                <w:highlight w:val="none"/>
              </w:rPr>
              <w:t>的</w:t>
            </w:r>
          </w:p>
        </w:tc>
        <w:tc>
          <w:tcPr>
            <w:tcW w:w="1558" w:type="dxa"/>
            <w:noWrap w:val="0"/>
            <w:vAlign w:val="center"/>
          </w:tcPr>
          <w:p w14:paraId="1190C30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78C86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716" w:type="dxa"/>
            <w:vMerge w:val="continue"/>
            <w:noWrap w:val="0"/>
            <w:vAlign w:val="center"/>
          </w:tcPr>
          <w:p w14:paraId="4E53D77C">
            <w:pPr>
              <w:jc w:val="center"/>
              <w:rPr>
                <w:rFonts w:hint="eastAsia" w:ascii="宋体" w:hAnsi="宋体" w:eastAsia="宋体" w:cs="宋体"/>
                <w:color w:val="auto"/>
                <w:sz w:val="21"/>
                <w:szCs w:val="21"/>
                <w:highlight w:val="none"/>
              </w:rPr>
            </w:pPr>
          </w:p>
        </w:tc>
        <w:tc>
          <w:tcPr>
            <w:tcW w:w="5248" w:type="dxa"/>
            <w:noWrap w:val="0"/>
            <w:vAlign w:val="top"/>
          </w:tcPr>
          <w:p w14:paraId="5D9251B9">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lOO </w:t>
            </w:r>
            <w:r>
              <w:rPr>
                <w:rFonts w:hint="eastAsia" w:ascii="宋体" w:hAnsi="宋体" w:cs="宋体"/>
                <w:color w:val="auto"/>
                <w:sz w:val="21"/>
                <w:szCs w:val="21"/>
                <w:highlight w:val="none"/>
                <w:lang w:eastAsia="zh-CN"/>
              </w:rPr>
              <w:t>立方米</w:t>
            </w:r>
            <w:r>
              <w:rPr>
                <w:rFonts w:hint="eastAsia" w:ascii="宋体" w:hAnsi="宋体" w:eastAsia="宋体" w:cs="宋体"/>
                <w:color w:val="auto"/>
                <w:sz w:val="21"/>
                <w:szCs w:val="21"/>
                <w:highlight w:val="none"/>
              </w:rPr>
              <w:t>以上不足500</w:t>
            </w:r>
            <w:r>
              <w:rPr>
                <w:rFonts w:hint="eastAsia" w:ascii="宋体" w:hAnsi="宋体" w:cs="宋体"/>
                <w:color w:val="auto"/>
                <w:sz w:val="21"/>
                <w:szCs w:val="21"/>
                <w:highlight w:val="none"/>
                <w:lang w:eastAsia="zh-CN"/>
              </w:rPr>
              <w:t>立方米</w:t>
            </w:r>
            <w:r>
              <w:rPr>
                <w:rFonts w:hint="eastAsia" w:ascii="宋体" w:hAnsi="宋体" w:eastAsia="宋体" w:cs="宋体"/>
                <w:color w:val="auto"/>
                <w:sz w:val="21"/>
                <w:szCs w:val="21"/>
                <w:highlight w:val="none"/>
              </w:rPr>
              <w:t>的</w:t>
            </w:r>
          </w:p>
        </w:tc>
        <w:tc>
          <w:tcPr>
            <w:tcW w:w="1558" w:type="dxa"/>
            <w:noWrap w:val="0"/>
            <w:vAlign w:val="center"/>
          </w:tcPr>
          <w:p w14:paraId="630B6BE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65EF2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716" w:type="dxa"/>
            <w:vMerge w:val="continue"/>
            <w:noWrap w:val="0"/>
            <w:vAlign w:val="center"/>
          </w:tcPr>
          <w:p w14:paraId="49B44C50">
            <w:pPr>
              <w:jc w:val="center"/>
              <w:rPr>
                <w:rFonts w:hint="eastAsia" w:ascii="宋体" w:hAnsi="宋体" w:eastAsia="宋体" w:cs="宋体"/>
                <w:color w:val="auto"/>
                <w:sz w:val="21"/>
                <w:szCs w:val="21"/>
                <w:highlight w:val="none"/>
              </w:rPr>
            </w:pPr>
          </w:p>
        </w:tc>
        <w:tc>
          <w:tcPr>
            <w:tcW w:w="5248" w:type="dxa"/>
            <w:noWrap w:val="0"/>
            <w:vAlign w:val="top"/>
          </w:tcPr>
          <w:p w14:paraId="00B216F8">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500</w:t>
            </w:r>
            <w:r>
              <w:rPr>
                <w:rFonts w:hint="eastAsia" w:ascii="宋体" w:hAnsi="宋体" w:cs="宋体"/>
                <w:color w:val="auto"/>
                <w:sz w:val="21"/>
                <w:szCs w:val="21"/>
                <w:highlight w:val="none"/>
                <w:lang w:eastAsia="zh-CN"/>
              </w:rPr>
              <w:t>立方米</w:t>
            </w:r>
            <w:r>
              <w:rPr>
                <w:rFonts w:hint="eastAsia" w:ascii="宋体" w:hAnsi="宋体" w:eastAsia="宋体" w:cs="宋体"/>
                <w:color w:val="auto"/>
                <w:sz w:val="21"/>
                <w:szCs w:val="21"/>
                <w:highlight w:val="none"/>
              </w:rPr>
              <w:t>以上的</w:t>
            </w:r>
          </w:p>
        </w:tc>
        <w:tc>
          <w:tcPr>
            <w:tcW w:w="1558" w:type="dxa"/>
            <w:noWrap w:val="0"/>
            <w:vAlign w:val="center"/>
          </w:tcPr>
          <w:p w14:paraId="14152AB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bl>
    <w:p w14:paraId="6AD7FCDA">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1"/>
        <w:gridCol w:w="5664"/>
        <w:gridCol w:w="1483"/>
      </w:tblGrid>
      <w:tr w14:paraId="39606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3"/>
            <w:noWrap w:val="0"/>
            <w:vAlign w:val="top"/>
          </w:tcPr>
          <w:p w14:paraId="3176AE88">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w:t>
            </w:r>
            <w:r>
              <w:rPr>
                <w:rFonts w:hint="eastAsia" w:ascii="宋体" w:hAnsi="宋体" w:eastAsia="宋体" w:cs="宋体"/>
                <w:bCs/>
                <w:color w:val="auto"/>
                <w:sz w:val="21"/>
                <w:szCs w:val="21"/>
                <w:highlight w:val="none"/>
                <w:lang w:val="en-US" w:eastAsia="zh-CN"/>
              </w:rPr>
              <w:t>五</w:t>
            </w:r>
            <w:r>
              <w:rPr>
                <w:rFonts w:hint="eastAsia" w:ascii="宋体" w:hAnsi="宋体" w:eastAsia="宋体" w:cs="宋体"/>
                <w:bCs/>
                <w:color w:val="auto"/>
                <w:sz w:val="21"/>
                <w:szCs w:val="21"/>
                <w:highlight w:val="none"/>
              </w:rPr>
              <w:t>）水污染防治类</w:t>
            </w:r>
          </w:p>
        </w:tc>
      </w:tr>
      <w:tr w14:paraId="6E428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6" w:type="dxa"/>
            <w:noWrap w:val="0"/>
            <w:vAlign w:val="center"/>
          </w:tcPr>
          <w:p w14:paraId="3F3A08B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806" w:type="dxa"/>
            <w:gridSpan w:val="2"/>
            <w:noWrap w:val="0"/>
            <w:vAlign w:val="top"/>
          </w:tcPr>
          <w:p w14:paraId="77A66FB2">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w:t>
            </w:r>
          </w:p>
        </w:tc>
      </w:tr>
      <w:tr w14:paraId="28120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6" w:type="dxa"/>
            <w:noWrap w:val="0"/>
            <w:vAlign w:val="center"/>
          </w:tcPr>
          <w:p w14:paraId="2511CDF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6806" w:type="dxa"/>
            <w:gridSpan w:val="2"/>
            <w:noWrap w:val="0"/>
            <w:vAlign w:val="center"/>
          </w:tcPr>
          <w:p w14:paraId="3FCF8F87">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利用无防渗漏措施的沟渠、坑塘等输送或者贮存含有毒有害污染物的废水、含病原体的污水或者其他废弃物的</w:t>
            </w:r>
          </w:p>
        </w:tc>
      </w:tr>
      <w:tr w14:paraId="55841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6" w:type="dxa"/>
            <w:noWrap w:val="0"/>
            <w:vAlign w:val="center"/>
          </w:tcPr>
          <w:p w14:paraId="5E5960D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6806" w:type="dxa"/>
            <w:gridSpan w:val="2"/>
            <w:noWrap w:val="0"/>
            <w:vAlign w:val="top"/>
          </w:tcPr>
          <w:p w14:paraId="5F2DBBA8">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《中华人民共和国生态环境法典》第二百八十七条第三款  禁止利用无防渗漏措施的沟渠、坑塘等输送或者贮存含有毒有害污染物的废水、含病原体的污水和其他废弃物。</w:t>
            </w:r>
          </w:p>
        </w:tc>
      </w:tr>
      <w:tr w14:paraId="4B9D4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6" w:type="dxa"/>
            <w:noWrap w:val="0"/>
            <w:vAlign w:val="center"/>
          </w:tcPr>
          <w:p w14:paraId="680F44E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6806" w:type="dxa"/>
            <w:gridSpan w:val="2"/>
            <w:noWrap w:val="0"/>
            <w:vAlign w:val="top"/>
          </w:tcPr>
          <w:p w14:paraId="56172ED9">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《中华人民共和国生态环境法典》第一千一百三十七条第一款第</w:t>
            </w:r>
            <w:r>
              <w:rPr>
                <w:rFonts w:hint="eastAsia" w:ascii="宋体" w:hAnsi="宋体" w:eastAsia="宋体" w:cs="宋体"/>
                <w:color w:val="auto"/>
                <w:sz w:val="21"/>
                <w:szCs w:val="21"/>
                <w:highlight w:val="none"/>
                <w:lang w:val="en-US" w:eastAsia="zh-CN"/>
              </w:rPr>
              <w:t>三</w:t>
            </w:r>
            <w:r>
              <w:rPr>
                <w:rFonts w:hint="eastAsia" w:ascii="宋体" w:hAnsi="宋体" w:eastAsia="宋体" w:cs="宋体"/>
                <w:color w:val="auto"/>
                <w:sz w:val="21"/>
                <w:szCs w:val="21"/>
                <w:highlight w:val="none"/>
              </w:rPr>
              <w:t>项、第二款  违反本法规定，有下列情形之一的，由生态环境主管部门责令停止违法行为，采取治理措施消除污染，处以罚款，可以责令采取限制生产、停产整治等措施；拒不采取治理措施的，指定有治理能力的单位代为治理，所需费用由违法者承担</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w:t>
            </w:r>
          </w:p>
          <w:p w14:paraId="45CE50CD">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（三）利用无防渗漏措施的沟渠、坑塘等输送或者贮存含有毒有害污染物的废水、含病原体的污水或者其他废弃物；</w:t>
            </w:r>
          </w:p>
          <w:p w14:paraId="659A6018">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有前款第一项、第二项情形之一的，处二万元以上二十万元以下的罚款；有前款第三项、第四项情形之一的，处十万元以上一百万元以下的罚款。</w:t>
            </w:r>
          </w:p>
        </w:tc>
      </w:tr>
      <w:tr w14:paraId="784AE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6" w:type="dxa"/>
            <w:noWrap w:val="0"/>
            <w:vAlign w:val="center"/>
          </w:tcPr>
          <w:p w14:paraId="27AEDEF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394" w:type="dxa"/>
            <w:noWrap w:val="0"/>
            <w:vAlign w:val="top"/>
          </w:tcPr>
          <w:p w14:paraId="30C0FA5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412" w:type="dxa"/>
            <w:noWrap w:val="0"/>
            <w:vAlign w:val="top"/>
          </w:tcPr>
          <w:p w14:paraId="76798E7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17E14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6" w:type="dxa"/>
            <w:vMerge w:val="restart"/>
            <w:noWrap w:val="0"/>
            <w:vAlign w:val="center"/>
          </w:tcPr>
          <w:p w14:paraId="373A7A7F">
            <w:pPr>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污染物</w:t>
            </w:r>
            <w:r>
              <w:rPr>
                <w:rFonts w:hint="eastAsia" w:ascii="宋体" w:hAnsi="宋体" w:eastAsia="宋体" w:cs="宋体"/>
                <w:color w:val="auto"/>
                <w:sz w:val="21"/>
                <w:szCs w:val="21"/>
                <w:highlight w:val="none"/>
              </w:rPr>
              <w:t>排放量</w:t>
            </w:r>
          </w:p>
        </w:tc>
        <w:tc>
          <w:tcPr>
            <w:tcW w:w="5394" w:type="dxa"/>
            <w:noWrap w:val="0"/>
            <w:vAlign w:val="top"/>
          </w:tcPr>
          <w:p w14:paraId="7BB5E1CF">
            <w:pPr>
              <w:keepNext w:val="0"/>
              <w:keepLines w:val="0"/>
              <w:pageBreakBefore w:val="0"/>
              <w:widowControl w:val="0"/>
              <w:kinsoku/>
              <w:wordWrap/>
              <w:overflowPunct/>
              <w:topLinePunct w:val="0"/>
              <w:bidi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不足2吨</w:t>
            </w:r>
          </w:p>
        </w:tc>
        <w:tc>
          <w:tcPr>
            <w:tcW w:w="1412" w:type="dxa"/>
            <w:noWrap w:val="0"/>
            <w:vAlign w:val="top"/>
          </w:tcPr>
          <w:p w14:paraId="16E50BA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0E3FC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6" w:type="dxa"/>
            <w:vMerge w:val="continue"/>
            <w:noWrap w:val="0"/>
            <w:vAlign w:val="center"/>
          </w:tcPr>
          <w:p w14:paraId="4A8792AE">
            <w:pPr>
              <w:jc w:val="center"/>
              <w:rPr>
                <w:rFonts w:hint="eastAsia" w:ascii="宋体" w:hAnsi="宋体" w:eastAsia="宋体" w:cs="宋体"/>
                <w:color w:val="auto"/>
                <w:sz w:val="21"/>
                <w:szCs w:val="21"/>
                <w:highlight w:val="none"/>
              </w:rPr>
            </w:pPr>
          </w:p>
        </w:tc>
        <w:tc>
          <w:tcPr>
            <w:tcW w:w="5394" w:type="dxa"/>
            <w:noWrap w:val="0"/>
            <w:vAlign w:val="top"/>
          </w:tcPr>
          <w:p w14:paraId="65B20A78">
            <w:pPr>
              <w:keepNext w:val="0"/>
              <w:keepLines w:val="0"/>
              <w:pageBreakBefore w:val="0"/>
              <w:widowControl w:val="0"/>
              <w:kinsoku/>
              <w:wordWrap/>
              <w:overflowPunct/>
              <w:topLinePunct w:val="0"/>
              <w:bidi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2吨以上不足5吨</w:t>
            </w:r>
          </w:p>
        </w:tc>
        <w:tc>
          <w:tcPr>
            <w:tcW w:w="1412" w:type="dxa"/>
            <w:noWrap w:val="0"/>
            <w:vAlign w:val="top"/>
          </w:tcPr>
          <w:p w14:paraId="4FAA6A0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r>
      <w:tr w14:paraId="7DFF3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6" w:type="dxa"/>
            <w:vMerge w:val="continue"/>
            <w:noWrap w:val="0"/>
            <w:vAlign w:val="center"/>
          </w:tcPr>
          <w:p w14:paraId="1765E566">
            <w:pPr>
              <w:jc w:val="center"/>
              <w:rPr>
                <w:rFonts w:hint="eastAsia" w:ascii="宋体" w:hAnsi="宋体" w:eastAsia="宋体" w:cs="宋体"/>
                <w:color w:val="auto"/>
                <w:sz w:val="21"/>
                <w:szCs w:val="21"/>
                <w:highlight w:val="none"/>
              </w:rPr>
            </w:pPr>
          </w:p>
        </w:tc>
        <w:tc>
          <w:tcPr>
            <w:tcW w:w="5394" w:type="dxa"/>
            <w:noWrap w:val="0"/>
            <w:vAlign w:val="top"/>
          </w:tcPr>
          <w:p w14:paraId="3A8927B4">
            <w:pPr>
              <w:keepNext w:val="0"/>
              <w:keepLines w:val="0"/>
              <w:pageBreakBefore w:val="0"/>
              <w:widowControl w:val="0"/>
              <w:kinsoku/>
              <w:wordWrap/>
              <w:overflowPunct/>
              <w:topLinePunct w:val="0"/>
              <w:bidi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5吨以上不足10吨</w:t>
            </w:r>
          </w:p>
        </w:tc>
        <w:tc>
          <w:tcPr>
            <w:tcW w:w="1412" w:type="dxa"/>
            <w:noWrap w:val="0"/>
            <w:vAlign w:val="top"/>
          </w:tcPr>
          <w:p w14:paraId="07009BB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35D5B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1716" w:type="dxa"/>
            <w:vMerge w:val="continue"/>
            <w:noWrap w:val="0"/>
            <w:vAlign w:val="center"/>
          </w:tcPr>
          <w:p w14:paraId="26483CF5">
            <w:pPr>
              <w:jc w:val="center"/>
              <w:rPr>
                <w:rFonts w:hint="eastAsia" w:ascii="宋体" w:hAnsi="宋体" w:eastAsia="宋体" w:cs="宋体"/>
                <w:color w:val="auto"/>
                <w:sz w:val="21"/>
                <w:szCs w:val="21"/>
                <w:highlight w:val="none"/>
              </w:rPr>
            </w:pPr>
          </w:p>
        </w:tc>
        <w:tc>
          <w:tcPr>
            <w:tcW w:w="5394" w:type="dxa"/>
            <w:noWrap w:val="0"/>
            <w:vAlign w:val="top"/>
          </w:tcPr>
          <w:p w14:paraId="6BB148E7">
            <w:pPr>
              <w:keepNext w:val="0"/>
              <w:keepLines w:val="0"/>
              <w:pageBreakBefore w:val="0"/>
              <w:widowControl w:val="0"/>
              <w:kinsoku/>
              <w:wordWrap/>
              <w:overflowPunct/>
              <w:topLinePunct w:val="0"/>
              <w:bidi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10吨以上不足20吨</w:t>
            </w:r>
          </w:p>
        </w:tc>
        <w:tc>
          <w:tcPr>
            <w:tcW w:w="1412" w:type="dxa"/>
            <w:noWrap w:val="0"/>
            <w:vAlign w:val="top"/>
          </w:tcPr>
          <w:p w14:paraId="4F769CD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r>
      <w:tr w14:paraId="12609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1716" w:type="dxa"/>
            <w:vMerge w:val="continue"/>
            <w:noWrap w:val="0"/>
            <w:vAlign w:val="center"/>
          </w:tcPr>
          <w:p w14:paraId="4D301A39">
            <w:pPr>
              <w:jc w:val="center"/>
              <w:rPr>
                <w:rFonts w:hint="eastAsia" w:ascii="宋体" w:hAnsi="宋体" w:eastAsia="宋体" w:cs="宋体"/>
                <w:color w:val="auto"/>
                <w:sz w:val="21"/>
                <w:szCs w:val="21"/>
                <w:highlight w:val="none"/>
              </w:rPr>
            </w:pPr>
          </w:p>
          <w:p w14:paraId="45374565">
            <w:pPr>
              <w:jc w:val="center"/>
              <w:rPr>
                <w:rFonts w:hint="eastAsia" w:ascii="宋体" w:hAnsi="宋体" w:eastAsia="宋体" w:cs="宋体"/>
                <w:color w:val="auto"/>
                <w:sz w:val="21"/>
                <w:szCs w:val="21"/>
                <w:highlight w:val="none"/>
              </w:rPr>
            </w:pPr>
          </w:p>
        </w:tc>
        <w:tc>
          <w:tcPr>
            <w:tcW w:w="5394" w:type="dxa"/>
            <w:noWrap w:val="0"/>
            <w:vAlign w:val="top"/>
          </w:tcPr>
          <w:p w14:paraId="01982A36">
            <w:pPr>
              <w:keepNext w:val="0"/>
              <w:keepLines w:val="0"/>
              <w:pageBreakBefore w:val="0"/>
              <w:widowControl w:val="0"/>
              <w:kinsoku/>
              <w:wordWrap/>
              <w:overflowPunct/>
              <w:topLinePunct w:val="0"/>
              <w:bidi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20吨以上</w:t>
            </w:r>
          </w:p>
        </w:tc>
        <w:tc>
          <w:tcPr>
            <w:tcW w:w="1412" w:type="dxa"/>
            <w:noWrap w:val="0"/>
            <w:vAlign w:val="top"/>
          </w:tcPr>
          <w:p w14:paraId="03373AA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bl>
    <w:p w14:paraId="513C2885">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5"/>
        <w:gridCol w:w="5807"/>
        <w:gridCol w:w="1336"/>
      </w:tblGrid>
      <w:tr w14:paraId="0B594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948" w:type="dxa"/>
            <w:gridSpan w:val="3"/>
            <w:noWrap w:val="0"/>
            <w:vAlign w:val="top"/>
          </w:tcPr>
          <w:p w14:paraId="7F00E168">
            <w:pPr>
              <w:jc w:val="center"/>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rPr>
              <w:t>（</w:t>
            </w:r>
            <w:r>
              <w:rPr>
                <w:rFonts w:hint="eastAsia" w:ascii="宋体" w:hAnsi="宋体" w:eastAsia="宋体" w:cs="宋体"/>
                <w:bCs/>
                <w:color w:val="auto"/>
                <w:sz w:val="21"/>
                <w:szCs w:val="21"/>
                <w:highlight w:val="none"/>
                <w:lang w:val="en-US" w:eastAsia="zh-CN"/>
              </w:rPr>
              <w:t>五</w:t>
            </w:r>
            <w:r>
              <w:rPr>
                <w:rFonts w:hint="eastAsia" w:ascii="宋体" w:hAnsi="宋体" w:eastAsia="宋体" w:cs="宋体"/>
                <w:bCs/>
                <w:color w:val="auto"/>
                <w:sz w:val="21"/>
                <w:szCs w:val="21"/>
                <w:highlight w:val="none"/>
              </w:rPr>
              <w:t>）水污染防治类</w:t>
            </w:r>
          </w:p>
        </w:tc>
      </w:tr>
      <w:tr w14:paraId="28EAD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5" w:type="dxa"/>
            <w:noWrap w:val="0"/>
            <w:vAlign w:val="top"/>
          </w:tcPr>
          <w:p w14:paraId="6AFFCAF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7143" w:type="dxa"/>
            <w:gridSpan w:val="2"/>
            <w:noWrap w:val="0"/>
            <w:vAlign w:val="top"/>
          </w:tcPr>
          <w:p w14:paraId="10493771">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w:t>
            </w:r>
          </w:p>
        </w:tc>
      </w:tr>
      <w:tr w14:paraId="4ED1F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05" w:type="dxa"/>
            <w:noWrap w:val="0"/>
            <w:vAlign w:val="center"/>
          </w:tcPr>
          <w:p w14:paraId="1C13215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7143" w:type="dxa"/>
            <w:gridSpan w:val="2"/>
            <w:noWrap w:val="0"/>
            <w:vAlign w:val="center"/>
          </w:tcPr>
          <w:p w14:paraId="6F34791F">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未采取有效措施，致使在处理安全生产事故过程中产生的可能严重污染水体的消防废物直接排入水体的</w:t>
            </w:r>
          </w:p>
        </w:tc>
      </w:tr>
      <w:tr w14:paraId="4C401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5" w:type="dxa"/>
            <w:noWrap w:val="0"/>
            <w:vAlign w:val="center"/>
          </w:tcPr>
          <w:p w14:paraId="2A37A89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7143" w:type="dxa"/>
            <w:gridSpan w:val="2"/>
            <w:noWrap w:val="0"/>
            <w:vAlign w:val="top"/>
          </w:tcPr>
          <w:p w14:paraId="44F948DD">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《中华人民共和国生态环境法典》第二百九十一条第二款   生产、储存危险化学品的企业事业单位，应当采取封堵、围挡、转移等措施，防止在处理安全生产事故过程中产生的可能严重污染水体的消防废物直接排入水体。</w:t>
            </w:r>
          </w:p>
        </w:tc>
      </w:tr>
      <w:tr w14:paraId="44B81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5" w:type="dxa"/>
            <w:noWrap w:val="0"/>
            <w:vAlign w:val="center"/>
          </w:tcPr>
          <w:p w14:paraId="6386B7C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7143" w:type="dxa"/>
            <w:gridSpan w:val="2"/>
            <w:noWrap w:val="0"/>
            <w:vAlign w:val="top"/>
          </w:tcPr>
          <w:p w14:paraId="54280BFF">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《中华人民共和国生态环境法典》第一千一百三十九条第一款第一项、第二款  违反本法规定，有下列情形之一的，由生态环境主管部门责令改正，处以罚款，可以责令采取限制生产、停产整治等措施</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w:t>
            </w:r>
          </w:p>
          <w:p w14:paraId="3210B1BE">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（一）未采取有效措施，致使在处理安全生产事故过程中产生的可能严重污染水体的消防废物直接排入水体；</w:t>
            </w:r>
          </w:p>
          <w:p w14:paraId="67AA18A1">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有前款第三项、第四项情形之一的，处二万元以上二十万元以下的罚款；有前款第一项、第二项情形之一的，处十万元以上一百万元以下的罚款。</w:t>
            </w:r>
          </w:p>
        </w:tc>
      </w:tr>
      <w:tr w14:paraId="34BA3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5" w:type="dxa"/>
            <w:noWrap w:val="0"/>
            <w:vAlign w:val="center"/>
          </w:tcPr>
          <w:p w14:paraId="794A730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807" w:type="dxa"/>
            <w:noWrap w:val="0"/>
            <w:vAlign w:val="top"/>
          </w:tcPr>
          <w:p w14:paraId="312EBB0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336" w:type="dxa"/>
            <w:noWrap w:val="0"/>
            <w:vAlign w:val="top"/>
          </w:tcPr>
          <w:p w14:paraId="52A6004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40525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5" w:type="dxa"/>
            <w:vMerge w:val="restart"/>
            <w:noWrap w:val="0"/>
            <w:vAlign w:val="center"/>
          </w:tcPr>
          <w:p w14:paraId="3859D4CF">
            <w:pPr>
              <w:ind w:left="0" w:leftChars="0" w:right="0" w:rightChars="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 w:val="21"/>
                <w:szCs w:val="21"/>
                <w:highlight w:val="none"/>
                <w:lang w:val="en-US" w:eastAsia="zh-CN"/>
              </w:rPr>
              <w:t>污染物</w:t>
            </w:r>
            <w:r>
              <w:rPr>
                <w:rFonts w:hint="eastAsia" w:ascii="宋体" w:hAnsi="宋体" w:eastAsia="宋体" w:cs="宋体"/>
                <w:color w:val="auto"/>
                <w:sz w:val="21"/>
                <w:szCs w:val="21"/>
                <w:highlight w:val="none"/>
              </w:rPr>
              <w:t>排放量</w:t>
            </w:r>
          </w:p>
        </w:tc>
        <w:tc>
          <w:tcPr>
            <w:tcW w:w="5807" w:type="dxa"/>
            <w:noWrap w:val="0"/>
            <w:vAlign w:val="center"/>
          </w:tcPr>
          <w:p w14:paraId="085AF57F">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316" w:lineRule="atLeast"/>
              <w:ind w:left="0" w:leftChars="0" w:right="0" w:rightChars="0" w:firstLine="420" w:firstLineChars="200"/>
              <w:jc w:val="both"/>
              <w:textAlignment w:val="baseline"/>
              <w:rPr>
                <w:rFonts w:hint="eastAsia" w:ascii="宋体" w:hAnsi="宋体" w:eastAsia="宋体" w:cs="宋体"/>
                <w:strike w:val="0"/>
                <w:color w:val="auto"/>
                <w:kern w:val="2"/>
                <w:sz w:val="21"/>
                <w:szCs w:val="21"/>
                <w:highlight w:val="none"/>
                <w:lang w:val="en-US" w:eastAsia="zh-CN" w:bidi="ar-SA"/>
              </w:rPr>
            </w:pPr>
            <w:r>
              <w:rPr>
                <w:rFonts w:hint="eastAsia" w:ascii="宋体" w:hAnsi="宋体" w:eastAsia="宋体" w:cs="宋体"/>
                <w:strike w:val="0"/>
                <w:dstrike w:val="0"/>
                <w:color w:val="auto"/>
                <w:sz w:val="21"/>
                <w:szCs w:val="21"/>
                <w:highlight w:val="none"/>
                <w:lang w:eastAsia="zh-CN"/>
              </w:rPr>
              <w:t>1吨以下</w:t>
            </w:r>
          </w:p>
        </w:tc>
        <w:tc>
          <w:tcPr>
            <w:tcW w:w="1336" w:type="dxa"/>
            <w:noWrap w:val="0"/>
            <w:vAlign w:val="top"/>
          </w:tcPr>
          <w:p w14:paraId="5F0B4B52">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r>
      <w:tr w14:paraId="2C4F5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805" w:type="dxa"/>
            <w:vMerge w:val="continue"/>
            <w:noWrap w:val="0"/>
            <w:vAlign w:val="center"/>
          </w:tcPr>
          <w:p w14:paraId="72649810">
            <w:pPr>
              <w:ind w:left="0" w:leftChars="0" w:right="0" w:rightChars="0"/>
              <w:jc w:val="center"/>
              <w:textAlignment w:val="center"/>
              <w:rPr>
                <w:rFonts w:hint="eastAsia" w:ascii="宋体" w:hAnsi="宋体" w:eastAsia="宋体" w:cs="宋体"/>
                <w:color w:val="auto"/>
                <w:kern w:val="2"/>
                <w:sz w:val="21"/>
                <w:szCs w:val="21"/>
                <w:highlight w:val="none"/>
                <w:lang w:val="en-US" w:eastAsia="zh-CN" w:bidi="ar-SA"/>
              </w:rPr>
            </w:pPr>
          </w:p>
        </w:tc>
        <w:tc>
          <w:tcPr>
            <w:tcW w:w="5807" w:type="dxa"/>
            <w:noWrap w:val="0"/>
            <w:vAlign w:val="center"/>
          </w:tcPr>
          <w:p w14:paraId="27D6206A">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316" w:lineRule="atLeast"/>
              <w:ind w:left="0" w:leftChars="0" w:right="0" w:rightChars="0" w:firstLine="420" w:firstLineChars="200"/>
              <w:jc w:val="both"/>
              <w:textAlignment w:val="baseline"/>
              <w:rPr>
                <w:rFonts w:hint="eastAsia" w:ascii="宋体" w:hAnsi="宋体" w:eastAsia="宋体" w:cs="宋体"/>
                <w:strike w:val="0"/>
                <w:color w:val="auto"/>
                <w:kern w:val="2"/>
                <w:sz w:val="21"/>
                <w:szCs w:val="21"/>
                <w:highlight w:val="none"/>
                <w:lang w:val="en-US" w:eastAsia="zh-CN" w:bidi="ar-SA"/>
              </w:rPr>
            </w:pPr>
            <w:r>
              <w:rPr>
                <w:rFonts w:hint="eastAsia" w:ascii="宋体" w:hAnsi="宋体" w:eastAsia="宋体" w:cs="宋体"/>
                <w:strike w:val="0"/>
                <w:dstrike w:val="0"/>
                <w:color w:val="auto"/>
                <w:sz w:val="21"/>
                <w:szCs w:val="21"/>
                <w:highlight w:val="none"/>
                <w:lang w:eastAsia="zh-CN"/>
              </w:rPr>
              <w:t>1吨以上10吨以下</w:t>
            </w:r>
          </w:p>
        </w:tc>
        <w:tc>
          <w:tcPr>
            <w:tcW w:w="1336" w:type="dxa"/>
            <w:noWrap w:val="0"/>
            <w:vAlign w:val="top"/>
          </w:tcPr>
          <w:p w14:paraId="035C8980">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r>
      <w:tr w14:paraId="27B3B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805" w:type="dxa"/>
            <w:vMerge w:val="continue"/>
            <w:noWrap w:val="0"/>
            <w:vAlign w:val="center"/>
          </w:tcPr>
          <w:p w14:paraId="0ACB7C91">
            <w:pPr>
              <w:ind w:left="0" w:leftChars="0" w:right="0" w:rightChars="0"/>
              <w:jc w:val="center"/>
              <w:textAlignment w:val="center"/>
              <w:rPr>
                <w:rFonts w:hint="eastAsia" w:ascii="宋体" w:hAnsi="宋体" w:eastAsia="宋体" w:cs="宋体"/>
                <w:color w:val="auto"/>
                <w:kern w:val="2"/>
                <w:sz w:val="21"/>
                <w:szCs w:val="21"/>
                <w:highlight w:val="none"/>
                <w:lang w:val="en-US" w:eastAsia="zh-CN" w:bidi="ar-SA"/>
              </w:rPr>
            </w:pPr>
          </w:p>
        </w:tc>
        <w:tc>
          <w:tcPr>
            <w:tcW w:w="5807" w:type="dxa"/>
            <w:noWrap w:val="0"/>
            <w:vAlign w:val="center"/>
          </w:tcPr>
          <w:p w14:paraId="0031AF2B">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316" w:lineRule="atLeast"/>
              <w:ind w:left="0" w:leftChars="0" w:right="0" w:rightChars="0" w:firstLine="420" w:firstLineChars="200"/>
              <w:jc w:val="both"/>
              <w:textAlignment w:val="baseline"/>
              <w:rPr>
                <w:rFonts w:hint="eastAsia" w:ascii="宋体" w:hAnsi="宋体" w:eastAsia="宋体" w:cs="宋体"/>
                <w:strike w:val="0"/>
                <w:color w:val="auto"/>
                <w:kern w:val="2"/>
                <w:sz w:val="21"/>
                <w:szCs w:val="21"/>
                <w:highlight w:val="none"/>
                <w:lang w:val="en-US" w:eastAsia="zh-CN" w:bidi="ar-SA"/>
              </w:rPr>
            </w:pPr>
            <w:r>
              <w:rPr>
                <w:rFonts w:hint="eastAsia" w:ascii="宋体" w:hAnsi="宋体" w:eastAsia="宋体" w:cs="宋体"/>
                <w:strike w:val="0"/>
                <w:dstrike w:val="0"/>
                <w:color w:val="auto"/>
                <w:sz w:val="21"/>
                <w:szCs w:val="21"/>
                <w:highlight w:val="none"/>
                <w:lang w:eastAsia="zh-CN"/>
              </w:rPr>
              <w:t>10吨以上50吨以下</w:t>
            </w:r>
          </w:p>
        </w:tc>
        <w:tc>
          <w:tcPr>
            <w:tcW w:w="1336" w:type="dxa"/>
            <w:noWrap w:val="0"/>
            <w:vAlign w:val="top"/>
          </w:tcPr>
          <w:p w14:paraId="6BDF8CF1">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r>
      <w:tr w14:paraId="4112C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805" w:type="dxa"/>
            <w:vMerge w:val="continue"/>
            <w:noWrap w:val="0"/>
            <w:vAlign w:val="center"/>
          </w:tcPr>
          <w:p w14:paraId="093254E0">
            <w:pPr>
              <w:ind w:left="0" w:leftChars="0" w:right="0" w:rightChars="0"/>
              <w:jc w:val="center"/>
              <w:textAlignment w:val="center"/>
              <w:rPr>
                <w:rFonts w:hint="eastAsia" w:ascii="宋体" w:hAnsi="宋体" w:eastAsia="宋体" w:cs="宋体"/>
                <w:color w:val="auto"/>
                <w:kern w:val="2"/>
                <w:sz w:val="21"/>
                <w:szCs w:val="21"/>
                <w:highlight w:val="none"/>
                <w:lang w:val="en-US" w:eastAsia="zh-CN" w:bidi="ar-SA"/>
              </w:rPr>
            </w:pPr>
          </w:p>
        </w:tc>
        <w:tc>
          <w:tcPr>
            <w:tcW w:w="5807" w:type="dxa"/>
            <w:noWrap w:val="0"/>
            <w:vAlign w:val="center"/>
          </w:tcPr>
          <w:p w14:paraId="72294D0E">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316" w:lineRule="atLeast"/>
              <w:ind w:left="0" w:leftChars="0" w:right="0" w:rightChars="0" w:firstLine="420" w:firstLineChars="200"/>
              <w:jc w:val="both"/>
              <w:textAlignment w:val="baseline"/>
              <w:rPr>
                <w:rFonts w:hint="eastAsia" w:ascii="宋体" w:hAnsi="宋体" w:eastAsia="宋体" w:cs="宋体"/>
                <w:strike w:val="0"/>
                <w:color w:val="auto"/>
                <w:kern w:val="2"/>
                <w:sz w:val="21"/>
                <w:szCs w:val="21"/>
                <w:highlight w:val="none"/>
                <w:lang w:val="en-US" w:eastAsia="zh-CN" w:bidi="ar-SA"/>
              </w:rPr>
            </w:pPr>
            <w:r>
              <w:rPr>
                <w:rFonts w:hint="eastAsia" w:ascii="宋体" w:hAnsi="宋体" w:eastAsia="宋体" w:cs="宋体"/>
                <w:strike w:val="0"/>
                <w:dstrike w:val="0"/>
                <w:color w:val="auto"/>
                <w:sz w:val="21"/>
                <w:szCs w:val="21"/>
                <w:highlight w:val="none"/>
                <w:lang w:eastAsia="zh-CN"/>
              </w:rPr>
              <w:t>50吨以上100吨以下</w:t>
            </w:r>
          </w:p>
        </w:tc>
        <w:tc>
          <w:tcPr>
            <w:tcW w:w="1336" w:type="dxa"/>
            <w:noWrap w:val="0"/>
            <w:vAlign w:val="top"/>
          </w:tcPr>
          <w:p w14:paraId="02BDDBEB">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r>
      <w:tr w14:paraId="4D905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805" w:type="dxa"/>
            <w:vMerge w:val="continue"/>
            <w:noWrap w:val="0"/>
            <w:vAlign w:val="center"/>
          </w:tcPr>
          <w:p w14:paraId="4E29C9B1">
            <w:pPr>
              <w:jc w:val="center"/>
              <w:rPr>
                <w:rFonts w:hint="eastAsia" w:ascii="宋体" w:hAnsi="宋体" w:eastAsia="宋体" w:cs="宋体"/>
                <w:color w:val="auto"/>
                <w:kern w:val="2"/>
                <w:sz w:val="21"/>
                <w:szCs w:val="21"/>
                <w:highlight w:val="none"/>
                <w:lang w:val="en-US" w:eastAsia="zh-CN" w:bidi="ar-SA"/>
              </w:rPr>
            </w:pPr>
          </w:p>
        </w:tc>
        <w:tc>
          <w:tcPr>
            <w:tcW w:w="5807" w:type="dxa"/>
            <w:noWrap w:val="0"/>
            <w:vAlign w:val="center"/>
          </w:tcPr>
          <w:p w14:paraId="4F55BFD3">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316" w:lineRule="atLeast"/>
              <w:ind w:left="0" w:leftChars="0" w:right="0" w:rightChars="0" w:firstLine="420" w:firstLineChars="200"/>
              <w:jc w:val="both"/>
              <w:textAlignment w:val="baseline"/>
              <w:rPr>
                <w:rFonts w:hint="eastAsia" w:ascii="宋体" w:hAnsi="宋体" w:eastAsia="宋体" w:cs="宋体"/>
                <w:strike w:val="0"/>
                <w:color w:val="auto"/>
                <w:kern w:val="2"/>
                <w:sz w:val="21"/>
                <w:szCs w:val="21"/>
                <w:highlight w:val="none"/>
                <w:lang w:val="en-US" w:eastAsia="zh-CN" w:bidi="ar-SA"/>
              </w:rPr>
            </w:pPr>
            <w:r>
              <w:rPr>
                <w:rFonts w:hint="eastAsia" w:ascii="宋体" w:hAnsi="宋体" w:eastAsia="宋体" w:cs="宋体"/>
                <w:strike w:val="0"/>
                <w:dstrike w:val="0"/>
                <w:color w:val="auto"/>
                <w:sz w:val="21"/>
                <w:szCs w:val="21"/>
                <w:highlight w:val="none"/>
                <w:lang w:eastAsia="zh-CN"/>
              </w:rPr>
              <w:t>100吨以上</w:t>
            </w:r>
          </w:p>
        </w:tc>
        <w:tc>
          <w:tcPr>
            <w:tcW w:w="1336" w:type="dxa"/>
            <w:noWrap w:val="0"/>
            <w:vAlign w:val="top"/>
          </w:tcPr>
          <w:p w14:paraId="7CC4F985">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r>
      <w:tr w14:paraId="26ACC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805" w:type="dxa"/>
            <w:vMerge w:val="restart"/>
            <w:noWrap w:val="0"/>
            <w:vAlign w:val="center"/>
          </w:tcPr>
          <w:p w14:paraId="18B8CF8C">
            <w:pPr>
              <w:pStyle w:val="11"/>
              <w:keepNext w:val="0"/>
              <w:keepLines w:val="0"/>
              <w:pageBreakBefore w:val="0"/>
              <w:widowControl w:val="0"/>
              <w:shd w:val="clear" w:color="auto" w:fill="auto"/>
              <w:kinsoku/>
              <w:wordWrap/>
              <w:overflowPunct/>
              <w:autoSpaceDE w:val="0"/>
              <w:autoSpaceDN w:val="0"/>
              <w:bidi w:val="0"/>
              <w:adjustRightInd w:val="0"/>
              <w:snapToGrid w:val="0"/>
              <w:spacing w:line="308" w:lineRule="exact"/>
              <w:ind w:left="0" w:right="0" w:rightChars="0" w:firstLine="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排放去向或</w:t>
            </w:r>
          </w:p>
          <w:p w14:paraId="2C847B25">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310"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区域</w:t>
            </w:r>
          </w:p>
        </w:tc>
        <w:tc>
          <w:tcPr>
            <w:tcW w:w="5807" w:type="dxa"/>
            <w:noWrap w:val="0"/>
            <w:vAlign w:val="top"/>
          </w:tcPr>
          <w:p w14:paraId="5EA886CF">
            <w:pPr>
              <w:keepNext w:val="0"/>
              <w:keepLines w:val="0"/>
              <w:pageBreakBefore w:val="0"/>
              <w:widowControl w:val="0"/>
              <w:kinsoku/>
              <w:wordWrap/>
              <w:overflowPunct/>
              <w:topLinePunct w:val="0"/>
              <w:bidi w:val="0"/>
              <w:ind w:firstLine="420" w:firstLineChars="200"/>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V类水体</w:t>
            </w:r>
          </w:p>
        </w:tc>
        <w:tc>
          <w:tcPr>
            <w:tcW w:w="1336" w:type="dxa"/>
            <w:noWrap w:val="0"/>
            <w:vAlign w:val="center"/>
          </w:tcPr>
          <w:p w14:paraId="6AD1A65E">
            <w:pPr>
              <w:keepNext w:val="0"/>
              <w:keepLines w:val="0"/>
              <w:pageBreakBefore w:val="0"/>
              <w:widowControl w:val="0"/>
              <w:shd w:val="clear" w:color="auto" w:fill="auto"/>
              <w:kinsoku/>
              <w:wordWrap/>
              <w:overflowPunct/>
              <w:topLinePunct w:val="0"/>
              <w:autoSpaceDE w:val="0"/>
              <w:autoSpaceDN w:val="0"/>
              <w:bidi w:val="0"/>
              <w:adjustRightInd w:val="0"/>
              <w:snapToGrid w:val="0"/>
              <w:spacing w:line="310"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24224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805" w:type="dxa"/>
            <w:vMerge w:val="continue"/>
            <w:noWrap w:val="0"/>
            <w:vAlign w:val="center"/>
          </w:tcPr>
          <w:p w14:paraId="0D9311D8">
            <w:pPr>
              <w:keepNext w:val="0"/>
              <w:keepLines w:val="0"/>
              <w:pageBreakBefore w:val="0"/>
              <w:widowControl w:val="0"/>
              <w:shd w:val="clear" w:color="auto" w:fill="auto"/>
              <w:kinsoku/>
              <w:wordWrap/>
              <w:overflowPunct/>
              <w:topLinePunct w:val="0"/>
              <w:autoSpaceDE w:val="0"/>
              <w:autoSpaceDN w:val="0"/>
              <w:bidi w:val="0"/>
              <w:adjustRightInd w:val="0"/>
              <w:snapToGrid w:val="0"/>
              <w:spacing w:line="310"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p>
        </w:tc>
        <w:tc>
          <w:tcPr>
            <w:tcW w:w="5807" w:type="dxa"/>
            <w:noWrap w:val="0"/>
            <w:vAlign w:val="top"/>
          </w:tcPr>
          <w:p w14:paraId="608F77C5">
            <w:pPr>
              <w:keepNext w:val="0"/>
              <w:keepLines w:val="0"/>
              <w:pageBreakBefore w:val="0"/>
              <w:widowControl w:val="0"/>
              <w:kinsoku/>
              <w:wordWrap/>
              <w:overflowPunct/>
              <w:topLinePunct w:val="0"/>
              <w:bidi w:val="0"/>
              <w:ind w:firstLine="420" w:firstLineChars="200"/>
              <w:jc w:val="both"/>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Ⅳ类</w:t>
            </w:r>
            <w:r>
              <w:rPr>
                <w:rFonts w:hint="eastAsia" w:ascii="宋体" w:hAnsi="宋体" w:eastAsia="宋体" w:cs="宋体"/>
                <w:color w:val="auto"/>
                <w:sz w:val="21"/>
                <w:szCs w:val="21"/>
                <w:highlight w:val="none"/>
              </w:rPr>
              <w:t>水体</w:t>
            </w:r>
          </w:p>
        </w:tc>
        <w:tc>
          <w:tcPr>
            <w:tcW w:w="1336" w:type="dxa"/>
            <w:noWrap w:val="0"/>
            <w:vAlign w:val="center"/>
          </w:tcPr>
          <w:p w14:paraId="5A4097D4">
            <w:pPr>
              <w:keepNext w:val="0"/>
              <w:keepLines w:val="0"/>
              <w:pageBreakBefore w:val="0"/>
              <w:widowControl w:val="0"/>
              <w:shd w:val="clear" w:color="auto" w:fill="auto"/>
              <w:kinsoku/>
              <w:wordWrap/>
              <w:overflowPunct/>
              <w:topLinePunct w:val="0"/>
              <w:autoSpaceDE w:val="0"/>
              <w:autoSpaceDN w:val="0"/>
              <w:bidi w:val="0"/>
              <w:adjustRightInd w:val="0"/>
              <w:snapToGrid w:val="0"/>
              <w:spacing w:line="310"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r>
      <w:tr w14:paraId="4BA9A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805" w:type="dxa"/>
            <w:vMerge w:val="continue"/>
            <w:noWrap w:val="0"/>
            <w:vAlign w:val="center"/>
          </w:tcPr>
          <w:p w14:paraId="06E77C93">
            <w:pPr>
              <w:keepNext w:val="0"/>
              <w:keepLines w:val="0"/>
              <w:pageBreakBefore w:val="0"/>
              <w:widowControl w:val="0"/>
              <w:shd w:val="clear" w:color="auto" w:fill="auto"/>
              <w:kinsoku/>
              <w:wordWrap/>
              <w:overflowPunct/>
              <w:topLinePunct w:val="0"/>
              <w:autoSpaceDE w:val="0"/>
              <w:autoSpaceDN w:val="0"/>
              <w:bidi w:val="0"/>
              <w:adjustRightInd w:val="0"/>
              <w:snapToGrid w:val="0"/>
              <w:spacing w:line="310"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p>
        </w:tc>
        <w:tc>
          <w:tcPr>
            <w:tcW w:w="5807" w:type="dxa"/>
            <w:noWrap w:val="0"/>
            <w:vAlign w:val="top"/>
          </w:tcPr>
          <w:p w14:paraId="65B4E217">
            <w:pPr>
              <w:keepNext w:val="0"/>
              <w:keepLines w:val="0"/>
              <w:pageBreakBefore w:val="0"/>
              <w:widowControl w:val="0"/>
              <w:kinsoku/>
              <w:wordWrap/>
              <w:overflowPunct/>
              <w:topLinePunct w:val="0"/>
              <w:bidi w:val="0"/>
              <w:ind w:firstLine="420" w:firstLineChars="200"/>
              <w:jc w:val="both"/>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Ⅲ类</w:t>
            </w:r>
            <w:r>
              <w:rPr>
                <w:rFonts w:hint="eastAsia" w:ascii="宋体" w:hAnsi="宋体" w:eastAsia="宋体" w:cs="宋体"/>
                <w:color w:val="auto"/>
                <w:sz w:val="21"/>
                <w:szCs w:val="21"/>
                <w:highlight w:val="none"/>
              </w:rPr>
              <w:t>水体</w:t>
            </w:r>
          </w:p>
        </w:tc>
        <w:tc>
          <w:tcPr>
            <w:tcW w:w="1336" w:type="dxa"/>
            <w:noWrap w:val="0"/>
            <w:vAlign w:val="center"/>
          </w:tcPr>
          <w:p w14:paraId="393FB95A">
            <w:pPr>
              <w:keepNext w:val="0"/>
              <w:keepLines w:val="0"/>
              <w:pageBreakBefore w:val="0"/>
              <w:widowControl w:val="0"/>
              <w:shd w:val="clear" w:color="auto" w:fill="auto"/>
              <w:kinsoku/>
              <w:wordWrap/>
              <w:overflowPunct/>
              <w:topLinePunct w:val="0"/>
              <w:autoSpaceDE w:val="0"/>
              <w:autoSpaceDN w:val="0"/>
              <w:bidi w:val="0"/>
              <w:adjustRightInd w:val="0"/>
              <w:snapToGrid w:val="0"/>
              <w:spacing w:line="310"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0C66A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805" w:type="dxa"/>
            <w:vMerge w:val="continue"/>
            <w:noWrap w:val="0"/>
            <w:vAlign w:val="center"/>
          </w:tcPr>
          <w:p w14:paraId="1CE49CA3">
            <w:pPr>
              <w:keepNext w:val="0"/>
              <w:keepLines w:val="0"/>
              <w:pageBreakBefore w:val="0"/>
              <w:widowControl w:val="0"/>
              <w:shd w:val="clear" w:color="auto" w:fill="auto"/>
              <w:kinsoku/>
              <w:wordWrap/>
              <w:overflowPunct/>
              <w:topLinePunct w:val="0"/>
              <w:autoSpaceDE w:val="0"/>
              <w:autoSpaceDN w:val="0"/>
              <w:bidi w:val="0"/>
              <w:adjustRightInd w:val="0"/>
              <w:snapToGrid w:val="0"/>
              <w:spacing w:line="310"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p>
        </w:tc>
        <w:tc>
          <w:tcPr>
            <w:tcW w:w="5807" w:type="dxa"/>
            <w:noWrap w:val="0"/>
            <w:vAlign w:val="top"/>
          </w:tcPr>
          <w:p w14:paraId="0C085D0F">
            <w:pPr>
              <w:keepNext w:val="0"/>
              <w:keepLines w:val="0"/>
              <w:pageBreakBefore w:val="0"/>
              <w:widowControl w:val="0"/>
              <w:kinsoku/>
              <w:wordWrap/>
              <w:overflowPunct/>
              <w:topLinePunct w:val="0"/>
              <w:bidi w:val="0"/>
              <w:ind w:firstLine="420" w:firstLineChars="200"/>
              <w:jc w:val="both"/>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Ⅱ类</w:t>
            </w:r>
            <w:r>
              <w:rPr>
                <w:rFonts w:hint="eastAsia" w:ascii="宋体" w:hAnsi="宋体" w:eastAsia="宋体" w:cs="宋体"/>
                <w:color w:val="auto"/>
                <w:sz w:val="21"/>
                <w:szCs w:val="21"/>
                <w:highlight w:val="none"/>
              </w:rPr>
              <w:t>水体</w:t>
            </w:r>
          </w:p>
        </w:tc>
        <w:tc>
          <w:tcPr>
            <w:tcW w:w="1336" w:type="dxa"/>
            <w:noWrap w:val="0"/>
            <w:vAlign w:val="center"/>
          </w:tcPr>
          <w:p w14:paraId="48985326">
            <w:pPr>
              <w:keepNext w:val="0"/>
              <w:keepLines w:val="0"/>
              <w:pageBreakBefore w:val="0"/>
              <w:widowControl w:val="0"/>
              <w:shd w:val="clear" w:color="auto" w:fill="auto"/>
              <w:kinsoku/>
              <w:wordWrap/>
              <w:overflowPunct/>
              <w:topLinePunct w:val="0"/>
              <w:autoSpaceDE w:val="0"/>
              <w:autoSpaceDN w:val="0"/>
              <w:bidi w:val="0"/>
              <w:adjustRightInd w:val="0"/>
              <w:snapToGrid w:val="0"/>
              <w:spacing w:line="310"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4</w:t>
            </w:r>
          </w:p>
        </w:tc>
      </w:tr>
      <w:tr w14:paraId="6C4CC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805" w:type="dxa"/>
            <w:vMerge w:val="continue"/>
            <w:noWrap w:val="0"/>
            <w:vAlign w:val="center"/>
          </w:tcPr>
          <w:p w14:paraId="04D4D662">
            <w:pPr>
              <w:keepNext w:val="0"/>
              <w:keepLines w:val="0"/>
              <w:pageBreakBefore w:val="0"/>
              <w:widowControl w:val="0"/>
              <w:shd w:val="clear" w:color="auto" w:fill="auto"/>
              <w:kinsoku/>
              <w:wordWrap/>
              <w:overflowPunct/>
              <w:topLinePunct w:val="0"/>
              <w:autoSpaceDE w:val="0"/>
              <w:autoSpaceDN w:val="0"/>
              <w:bidi w:val="0"/>
              <w:adjustRightInd w:val="0"/>
              <w:snapToGrid w:val="0"/>
              <w:spacing w:line="310"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p>
        </w:tc>
        <w:tc>
          <w:tcPr>
            <w:tcW w:w="5807" w:type="dxa"/>
            <w:noWrap w:val="0"/>
            <w:vAlign w:val="top"/>
          </w:tcPr>
          <w:p w14:paraId="607DFD80">
            <w:pPr>
              <w:keepNext w:val="0"/>
              <w:keepLines w:val="0"/>
              <w:pageBreakBefore w:val="0"/>
              <w:widowControl w:val="0"/>
              <w:kinsoku/>
              <w:wordWrap/>
              <w:overflowPunct/>
              <w:topLinePunct w:val="0"/>
              <w:bidi w:val="0"/>
              <w:ind w:firstLine="420" w:firstLineChars="200"/>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I类水体</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饮用水水源保护区/</w:t>
            </w:r>
            <w:r>
              <w:rPr>
                <w:rFonts w:hint="eastAsia" w:ascii="宋体" w:hAnsi="宋体" w:eastAsia="宋体" w:cs="宋体"/>
                <w:color w:val="auto"/>
                <w:sz w:val="21"/>
                <w:szCs w:val="21"/>
                <w:highlight w:val="none"/>
                <w:lang w:val="en-US" w:eastAsia="zh-CN"/>
              </w:rPr>
              <w:t>生态保护红线区域</w:t>
            </w:r>
          </w:p>
        </w:tc>
        <w:tc>
          <w:tcPr>
            <w:tcW w:w="1336" w:type="dxa"/>
            <w:noWrap w:val="0"/>
            <w:vAlign w:val="center"/>
          </w:tcPr>
          <w:p w14:paraId="69B93DCF">
            <w:pPr>
              <w:keepNext w:val="0"/>
              <w:keepLines w:val="0"/>
              <w:pageBreakBefore w:val="0"/>
              <w:widowControl w:val="0"/>
              <w:shd w:val="clear" w:color="auto" w:fill="auto"/>
              <w:kinsoku/>
              <w:wordWrap/>
              <w:overflowPunct/>
              <w:topLinePunct w:val="0"/>
              <w:autoSpaceDE w:val="0"/>
              <w:autoSpaceDN w:val="0"/>
              <w:bidi w:val="0"/>
              <w:adjustRightInd w:val="0"/>
              <w:snapToGrid w:val="0"/>
              <w:spacing w:line="310"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bl>
    <w:p w14:paraId="5A357BD0">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5"/>
        <w:gridCol w:w="5807"/>
        <w:gridCol w:w="1336"/>
      </w:tblGrid>
      <w:tr w14:paraId="4F97F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3"/>
            <w:noWrap w:val="0"/>
            <w:vAlign w:val="top"/>
          </w:tcPr>
          <w:p w14:paraId="6450020A">
            <w:pPr>
              <w:jc w:val="center"/>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rPr>
              <w:t>（</w:t>
            </w:r>
            <w:r>
              <w:rPr>
                <w:rFonts w:hint="eastAsia" w:ascii="宋体" w:hAnsi="宋体" w:eastAsia="宋体" w:cs="宋体"/>
                <w:bCs/>
                <w:color w:val="auto"/>
                <w:sz w:val="21"/>
                <w:szCs w:val="21"/>
                <w:highlight w:val="none"/>
                <w:lang w:val="en-US" w:eastAsia="zh-CN"/>
              </w:rPr>
              <w:t>五</w:t>
            </w:r>
            <w:r>
              <w:rPr>
                <w:rFonts w:hint="eastAsia" w:ascii="宋体" w:hAnsi="宋体" w:eastAsia="宋体" w:cs="宋体"/>
                <w:bCs/>
                <w:color w:val="auto"/>
                <w:sz w:val="21"/>
                <w:szCs w:val="21"/>
                <w:highlight w:val="none"/>
              </w:rPr>
              <w:t>）水污染防治类</w:t>
            </w:r>
          </w:p>
        </w:tc>
      </w:tr>
      <w:tr w14:paraId="5B9CA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9" w:type="dxa"/>
            <w:noWrap w:val="0"/>
            <w:vAlign w:val="top"/>
          </w:tcPr>
          <w:p w14:paraId="78E4749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803" w:type="dxa"/>
            <w:gridSpan w:val="2"/>
            <w:noWrap w:val="0"/>
            <w:vAlign w:val="top"/>
          </w:tcPr>
          <w:p w14:paraId="3DA9956D">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w:t>
            </w:r>
          </w:p>
        </w:tc>
      </w:tr>
      <w:tr w14:paraId="162E3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719" w:type="dxa"/>
            <w:noWrap w:val="0"/>
            <w:vAlign w:val="center"/>
          </w:tcPr>
          <w:p w14:paraId="3E1C1E4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6803" w:type="dxa"/>
            <w:gridSpan w:val="2"/>
            <w:noWrap w:val="0"/>
            <w:vAlign w:val="center"/>
          </w:tcPr>
          <w:p w14:paraId="05B39DCC">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稀释排放含有毒有害水污染物的工业废水，但不属于以逃避监管方式排放污染物的</w:t>
            </w:r>
          </w:p>
        </w:tc>
      </w:tr>
      <w:tr w14:paraId="3E444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9" w:type="dxa"/>
            <w:noWrap w:val="0"/>
            <w:vAlign w:val="center"/>
          </w:tcPr>
          <w:p w14:paraId="2D0FCA4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6803" w:type="dxa"/>
            <w:gridSpan w:val="2"/>
            <w:noWrap w:val="0"/>
            <w:vAlign w:val="top"/>
          </w:tcPr>
          <w:p w14:paraId="7A3BC902">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《中华人民共和国生态环境法典》第二百九十八条第一款  排放工业废水的企业应当采取有效措施，收集和处理产生的全部废水，防止污染环境。含有毒有害水污染物的工业废水应当分类收集和处理，防止渗漏、流失，不得稀释排放。</w:t>
            </w:r>
          </w:p>
        </w:tc>
      </w:tr>
      <w:tr w14:paraId="05666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9" w:type="dxa"/>
            <w:noWrap w:val="0"/>
            <w:vAlign w:val="center"/>
          </w:tcPr>
          <w:p w14:paraId="43BCE63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6803" w:type="dxa"/>
            <w:gridSpan w:val="2"/>
            <w:noWrap w:val="0"/>
            <w:vAlign w:val="top"/>
          </w:tcPr>
          <w:p w14:paraId="37D51A6D">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《中华人民共和国生态环境法典》第一千一百三十九条第一款第二项、第二款  违反本法规定，有下列情形之一的，由生态环境主管部门责令改正，处以罚款，可以责令采取限制生产、停产整治等措施</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w:t>
            </w:r>
          </w:p>
          <w:p w14:paraId="7FC035F1">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（二）稀释排放含有毒有害水污染物的工业废水，但不属于以逃避监管方式排放污染物；</w:t>
            </w:r>
          </w:p>
          <w:p w14:paraId="619916BC">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有前款第三项、第四项情形之一的，处二万元以上二十万元以下的罚款；有前款第一项、第二项情形之一的，处十万元以上一百万元以下的罚款。</w:t>
            </w:r>
          </w:p>
        </w:tc>
      </w:tr>
      <w:tr w14:paraId="25515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9" w:type="dxa"/>
            <w:noWrap w:val="0"/>
            <w:vAlign w:val="center"/>
          </w:tcPr>
          <w:p w14:paraId="45FE3A2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531" w:type="dxa"/>
            <w:noWrap w:val="0"/>
            <w:vAlign w:val="top"/>
          </w:tcPr>
          <w:p w14:paraId="54FDDF0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272" w:type="dxa"/>
            <w:noWrap w:val="0"/>
            <w:vAlign w:val="top"/>
          </w:tcPr>
          <w:p w14:paraId="7FF9368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48E7F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9" w:type="dxa"/>
            <w:vMerge w:val="restart"/>
            <w:noWrap w:val="0"/>
            <w:vAlign w:val="center"/>
          </w:tcPr>
          <w:p w14:paraId="5CCA7163">
            <w:pPr>
              <w:pStyle w:val="11"/>
              <w:keepNext w:val="0"/>
              <w:keepLines w:val="0"/>
              <w:pageBreakBefore w:val="0"/>
              <w:widowControl w:val="0"/>
              <w:shd w:val="clear" w:color="auto" w:fill="auto"/>
              <w:kinsoku/>
              <w:wordWrap/>
              <w:overflowPunct/>
              <w:autoSpaceDE w:val="0"/>
              <w:autoSpaceDN w:val="0"/>
              <w:bidi w:val="0"/>
              <w:adjustRightInd w:val="0"/>
              <w:snapToGrid w:val="0"/>
              <w:spacing w:line="308" w:lineRule="exact"/>
              <w:ind w:left="0" w:right="0" w:rightChars="0" w:firstLine="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排放去向或</w:t>
            </w:r>
          </w:p>
          <w:p w14:paraId="35B9D28B">
            <w:pPr>
              <w:pStyle w:val="11"/>
              <w:keepNext w:val="0"/>
              <w:keepLines w:val="0"/>
              <w:pageBreakBefore w:val="0"/>
              <w:widowControl w:val="0"/>
              <w:shd w:val="clear" w:color="auto" w:fill="auto"/>
              <w:kinsoku/>
              <w:wordWrap/>
              <w:overflowPunct/>
              <w:autoSpaceDE w:val="0"/>
              <w:autoSpaceDN w:val="0"/>
              <w:bidi w:val="0"/>
              <w:adjustRightInd w:val="0"/>
              <w:snapToGrid w:val="0"/>
              <w:spacing w:line="308"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区域</w:t>
            </w:r>
          </w:p>
        </w:tc>
        <w:tc>
          <w:tcPr>
            <w:tcW w:w="5531" w:type="dxa"/>
            <w:noWrap w:val="0"/>
            <w:vAlign w:val="top"/>
          </w:tcPr>
          <w:p w14:paraId="70F46616">
            <w:pPr>
              <w:keepNext w:val="0"/>
              <w:keepLines w:val="0"/>
              <w:pageBreakBefore w:val="0"/>
              <w:widowControl w:val="0"/>
              <w:kinsoku/>
              <w:wordWrap/>
              <w:overflowPunct/>
              <w:topLinePunct w:val="0"/>
              <w:bidi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V类水体</w:t>
            </w:r>
            <w:r>
              <w:rPr>
                <w:rFonts w:hint="eastAsia" w:ascii="宋体" w:hAnsi="宋体" w:cs="宋体"/>
                <w:color w:val="auto"/>
                <w:sz w:val="21"/>
                <w:szCs w:val="21"/>
                <w:highlight w:val="none"/>
                <w:lang w:val="en-US" w:eastAsia="zh-CN"/>
              </w:rPr>
              <w:t>/</w:t>
            </w:r>
            <w:r>
              <w:rPr>
                <w:rFonts w:hint="eastAsia" w:ascii="宋体" w:hAnsi="宋体" w:cs="宋体"/>
                <w:color w:val="auto"/>
                <w:szCs w:val="21"/>
                <w:highlight w:val="none"/>
              </w:rPr>
              <w:t>污水集中处理设施</w:t>
            </w:r>
          </w:p>
        </w:tc>
        <w:tc>
          <w:tcPr>
            <w:tcW w:w="1272" w:type="dxa"/>
            <w:noWrap w:val="0"/>
            <w:vAlign w:val="center"/>
          </w:tcPr>
          <w:p w14:paraId="7A29A24B">
            <w:pPr>
              <w:keepNext w:val="0"/>
              <w:keepLines w:val="0"/>
              <w:pageBreakBefore w:val="0"/>
              <w:widowControl w:val="0"/>
              <w:shd w:val="clear" w:color="auto" w:fill="auto"/>
              <w:kinsoku/>
              <w:wordWrap/>
              <w:overflowPunct/>
              <w:topLinePunct/>
              <w:autoSpaceDE w:val="0"/>
              <w:autoSpaceDN w:val="0"/>
              <w:bidi w:val="0"/>
              <w:adjustRightInd w:val="0"/>
              <w:snapToGrid w:val="0"/>
              <w:spacing w:line="308"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600D7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9" w:type="dxa"/>
            <w:vMerge w:val="continue"/>
            <w:noWrap w:val="0"/>
            <w:vAlign w:val="center"/>
          </w:tcPr>
          <w:p w14:paraId="580EF049">
            <w:pPr>
              <w:pStyle w:val="11"/>
              <w:keepNext w:val="0"/>
              <w:keepLines w:val="0"/>
              <w:pageBreakBefore w:val="0"/>
              <w:widowControl w:val="0"/>
              <w:shd w:val="clear" w:color="auto" w:fill="auto"/>
              <w:kinsoku/>
              <w:wordWrap/>
              <w:overflowPunct/>
              <w:autoSpaceDE w:val="0"/>
              <w:autoSpaceDN w:val="0"/>
              <w:bidi w:val="0"/>
              <w:adjustRightInd w:val="0"/>
              <w:snapToGrid w:val="0"/>
              <w:spacing w:line="308" w:lineRule="exact"/>
              <w:ind w:left="0" w:leftChars="0" w:right="0" w:rightChars="0" w:firstLine="0" w:firstLineChars="0"/>
              <w:textAlignment w:val="baseline"/>
              <w:rPr>
                <w:rFonts w:hint="eastAsia" w:ascii="宋体" w:hAnsi="宋体" w:eastAsia="宋体" w:cs="宋体"/>
                <w:color w:val="auto"/>
                <w:sz w:val="21"/>
                <w:szCs w:val="21"/>
                <w:highlight w:val="none"/>
              </w:rPr>
            </w:pPr>
          </w:p>
        </w:tc>
        <w:tc>
          <w:tcPr>
            <w:tcW w:w="5531" w:type="dxa"/>
            <w:noWrap w:val="0"/>
            <w:vAlign w:val="top"/>
          </w:tcPr>
          <w:p w14:paraId="2F6CC573">
            <w:pPr>
              <w:keepNext w:val="0"/>
              <w:keepLines w:val="0"/>
              <w:pageBreakBefore w:val="0"/>
              <w:widowControl w:val="0"/>
              <w:kinsoku/>
              <w:wordWrap/>
              <w:overflowPunct/>
              <w:topLinePunct w:val="0"/>
              <w:bidi w:val="0"/>
              <w:ind w:firstLine="420" w:firstLineChars="200"/>
              <w:jc w:val="both"/>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Ⅳ类</w:t>
            </w:r>
            <w:r>
              <w:rPr>
                <w:rFonts w:hint="eastAsia" w:ascii="宋体" w:hAnsi="宋体" w:eastAsia="宋体" w:cs="宋体"/>
                <w:color w:val="auto"/>
                <w:sz w:val="21"/>
                <w:szCs w:val="21"/>
                <w:highlight w:val="none"/>
              </w:rPr>
              <w:t>水体</w:t>
            </w:r>
          </w:p>
        </w:tc>
        <w:tc>
          <w:tcPr>
            <w:tcW w:w="1272" w:type="dxa"/>
            <w:noWrap w:val="0"/>
            <w:vAlign w:val="center"/>
          </w:tcPr>
          <w:p w14:paraId="578E0AE3">
            <w:pPr>
              <w:keepNext w:val="0"/>
              <w:keepLines w:val="0"/>
              <w:pageBreakBefore w:val="0"/>
              <w:widowControl w:val="0"/>
              <w:shd w:val="clear" w:color="auto" w:fill="auto"/>
              <w:kinsoku/>
              <w:wordWrap/>
              <w:overflowPunct/>
              <w:topLinePunct/>
              <w:autoSpaceDE w:val="0"/>
              <w:autoSpaceDN w:val="0"/>
              <w:bidi w:val="0"/>
              <w:adjustRightInd w:val="0"/>
              <w:snapToGrid w:val="0"/>
              <w:spacing w:line="308"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r>
      <w:tr w14:paraId="7DFEF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9" w:type="dxa"/>
            <w:vMerge w:val="continue"/>
            <w:noWrap w:val="0"/>
            <w:vAlign w:val="center"/>
          </w:tcPr>
          <w:p w14:paraId="65081641">
            <w:pPr>
              <w:pStyle w:val="11"/>
              <w:keepNext w:val="0"/>
              <w:keepLines w:val="0"/>
              <w:pageBreakBefore w:val="0"/>
              <w:widowControl w:val="0"/>
              <w:shd w:val="clear" w:color="auto" w:fill="auto"/>
              <w:kinsoku/>
              <w:wordWrap/>
              <w:overflowPunct/>
              <w:autoSpaceDE w:val="0"/>
              <w:autoSpaceDN w:val="0"/>
              <w:bidi w:val="0"/>
              <w:adjustRightInd w:val="0"/>
              <w:snapToGrid w:val="0"/>
              <w:spacing w:line="308" w:lineRule="exact"/>
              <w:ind w:left="0" w:leftChars="0" w:right="0" w:rightChars="0" w:firstLine="0" w:firstLineChars="0"/>
              <w:textAlignment w:val="baseline"/>
              <w:rPr>
                <w:rFonts w:hint="eastAsia" w:ascii="宋体" w:hAnsi="宋体" w:eastAsia="宋体" w:cs="宋体"/>
                <w:color w:val="auto"/>
                <w:sz w:val="21"/>
                <w:szCs w:val="21"/>
                <w:highlight w:val="none"/>
              </w:rPr>
            </w:pPr>
          </w:p>
        </w:tc>
        <w:tc>
          <w:tcPr>
            <w:tcW w:w="5531" w:type="dxa"/>
            <w:noWrap w:val="0"/>
            <w:vAlign w:val="top"/>
          </w:tcPr>
          <w:p w14:paraId="439D366F">
            <w:pPr>
              <w:keepNext w:val="0"/>
              <w:keepLines w:val="0"/>
              <w:pageBreakBefore w:val="0"/>
              <w:widowControl w:val="0"/>
              <w:kinsoku/>
              <w:wordWrap/>
              <w:overflowPunct/>
              <w:topLinePunct w:val="0"/>
              <w:bidi w:val="0"/>
              <w:ind w:firstLine="420" w:firstLineChars="200"/>
              <w:jc w:val="both"/>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Ⅲ类</w:t>
            </w:r>
            <w:r>
              <w:rPr>
                <w:rFonts w:hint="eastAsia" w:ascii="宋体" w:hAnsi="宋体" w:eastAsia="宋体" w:cs="宋体"/>
                <w:color w:val="auto"/>
                <w:sz w:val="21"/>
                <w:szCs w:val="21"/>
                <w:highlight w:val="none"/>
              </w:rPr>
              <w:t>水体</w:t>
            </w:r>
          </w:p>
        </w:tc>
        <w:tc>
          <w:tcPr>
            <w:tcW w:w="1272" w:type="dxa"/>
            <w:noWrap w:val="0"/>
            <w:vAlign w:val="center"/>
          </w:tcPr>
          <w:p w14:paraId="529F3AA4">
            <w:pPr>
              <w:keepNext w:val="0"/>
              <w:keepLines w:val="0"/>
              <w:pageBreakBefore w:val="0"/>
              <w:widowControl w:val="0"/>
              <w:shd w:val="clear" w:color="auto" w:fill="auto"/>
              <w:kinsoku/>
              <w:wordWrap/>
              <w:overflowPunct/>
              <w:topLinePunct/>
              <w:autoSpaceDE w:val="0"/>
              <w:autoSpaceDN w:val="0"/>
              <w:bidi w:val="0"/>
              <w:adjustRightInd w:val="0"/>
              <w:snapToGrid w:val="0"/>
              <w:spacing w:line="308"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47711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9" w:type="dxa"/>
            <w:vMerge w:val="continue"/>
            <w:noWrap w:val="0"/>
            <w:vAlign w:val="center"/>
          </w:tcPr>
          <w:p w14:paraId="325DCADC">
            <w:pPr>
              <w:pStyle w:val="11"/>
              <w:keepNext w:val="0"/>
              <w:keepLines w:val="0"/>
              <w:pageBreakBefore w:val="0"/>
              <w:widowControl w:val="0"/>
              <w:shd w:val="clear" w:color="auto" w:fill="auto"/>
              <w:kinsoku/>
              <w:wordWrap/>
              <w:overflowPunct/>
              <w:autoSpaceDE w:val="0"/>
              <w:autoSpaceDN w:val="0"/>
              <w:bidi w:val="0"/>
              <w:adjustRightInd w:val="0"/>
              <w:snapToGrid w:val="0"/>
              <w:spacing w:line="308" w:lineRule="exact"/>
              <w:ind w:left="0" w:leftChars="0" w:right="0" w:rightChars="0" w:firstLine="0" w:firstLineChars="0"/>
              <w:textAlignment w:val="baseline"/>
              <w:rPr>
                <w:rFonts w:hint="eastAsia" w:ascii="宋体" w:hAnsi="宋体" w:eastAsia="宋体" w:cs="宋体"/>
                <w:color w:val="auto"/>
                <w:sz w:val="21"/>
                <w:szCs w:val="21"/>
                <w:highlight w:val="none"/>
              </w:rPr>
            </w:pPr>
          </w:p>
        </w:tc>
        <w:tc>
          <w:tcPr>
            <w:tcW w:w="5531" w:type="dxa"/>
            <w:noWrap w:val="0"/>
            <w:vAlign w:val="top"/>
          </w:tcPr>
          <w:p w14:paraId="05546A23">
            <w:pPr>
              <w:keepNext w:val="0"/>
              <w:keepLines w:val="0"/>
              <w:pageBreakBefore w:val="0"/>
              <w:widowControl w:val="0"/>
              <w:kinsoku/>
              <w:wordWrap/>
              <w:overflowPunct/>
              <w:topLinePunct w:val="0"/>
              <w:bidi w:val="0"/>
              <w:ind w:firstLine="420" w:firstLineChars="200"/>
              <w:jc w:val="both"/>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Ⅱ类</w:t>
            </w:r>
            <w:r>
              <w:rPr>
                <w:rFonts w:hint="eastAsia" w:ascii="宋体" w:hAnsi="宋体" w:eastAsia="宋体" w:cs="宋体"/>
                <w:color w:val="auto"/>
                <w:sz w:val="21"/>
                <w:szCs w:val="21"/>
                <w:highlight w:val="none"/>
              </w:rPr>
              <w:t>水体</w:t>
            </w:r>
          </w:p>
        </w:tc>
        <w:tc>
          <w:tcPr>
            <w:tcW w:w="1272" w:type="dxa"/>
            <w:noWrap w:val="0"/>
            <w:vAlign w:val="center"/>
          </w:tcPr>
          <w:p w14:paraId="0C1337F0">
            <w:pPr>
              <w:keepNext w:val="0"/>
              <w:keepLines w:val="0"/>
              <w:pageBreakBefore w:val="0"/>
              <w:widowControl w:val="0"/>
              <w:shd w:val="clear" w:color="auto" w:fill="auto"/>
              <w:kinsoku/>
              <w:wordWrap/>
              <w:overflowPunct/>
              <w:topLinePunct/>
              <w:autoSpaceDE w:val="0"/>
              <w:autoSpaceDN w:val="0"/>
              <w:bidi w:val="0"/>
              <w:adjustRightInd w:val="0"/>
              <w:snapToGrid w:val="0"/>
              <w:spacing w:line="308"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r>
      <w:tr w14:paraId="28DF1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9" w:type="dxa"/>
            <w:vMerge w:val="continue"/>
            <w:noWrap w:val="0"/>
            <w:vAlign w:val="center"/>
          </w:tcPr>
          <w:p w14:paraId="0682D647">
            <w:pPr>
              <w:pStyle w:val="11"/>
              <w:keepNext w:val="0"/>
              <w:keepLines w:val="0"/>
              <w:pageBreakBefore w:val="0"/>
              <w:widowControl w:val="0"/>
              <w:shd w:val="clear" w:color="auto" w:fill="auto"/>
              <w:kinsoku/>
              <w:wordWrap/>
              <w:overflowPunct/>
              <w:autoSpaceDE w:val="0"/>
              <w:autoSpaceDN w:val="0"/>
              <w:bidi w:val="0"/>
              <w:adjustRightInd w:val="0"/>
              <w:snapToGrid w:val="0"/>
              <w:spacing w:line="308" w:lineRule="exact"/>
              <w:ind w:left="0" w:leftChars="0" w:right="0" w:rightChars="0" w:firstLine="0" w:firstLineChars="0"/>
              <w:textAlignment w:val="baseline"/>
              <w:rPr>
                <w:rFonts w:hint="eastAsia" w:ascii="宋体" w:hAnsi="宋体" w:eastAsia="宋体" w:cs="宋体"/>
                <w:color w:val="auto"/>
                <w:sz w:val="21"/>
                <w:szCs w:val="21"/>
                <w:highlight w:val="none"/>
              </w:rPr>
            </w:pPr>
          </w:p>
        </w:tc>
        <w:tc>
          <w:tcPr>
            <w:tcW w:w="5531" w:type="dxa"/>
            <w:noWrap w:val="0"/>
            <w:vAlign w:val="top"/>
          </w:tcPr>
          <w:p w14:paraId="35AAF48B">
            <w:pPr>
              <w:keepNext w:val="0"/>
              <w:keepLines w:val="0"/>
              <w:pageBreakBefore w:val="0"/>
              <w:widowControl w:val="0"/>
              <w:kinsoku/>
              <w:wordWrap/>
              <w:overflowPunct/>
              <w:topLinePunct w:val="0"/>
              <w:bidi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I类水体</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饮用水水源保护区/</w:t>
            </w:r>
            <w:r>
              <w:rPr>
                <w:rFonts w:hint="eastAsia" w:ascii="宋体" w:hAnsi="宋体" w:eastAsia="宋体" w:cs="宋体"/>
                <w:color w:val="auto"/>
                <w:sz w:val="21"/>
                <w:szCs w:val="21"/>
                <w:highlight w:val="none"/>
                <w:lang w:val="en-US" w:eastAsia="zh-CN"/>
              </w:rPr>
              <w:t>生态保护红线区域</w:t>
            </w:r>
          </w:p>
        </w:tc>
        <w:tc>
          <w:tcPr>
            <w:tcW w:w="1272" w:type="dxa"/>
            <w:noWrap w:val="0"/>
            <w:vAlign w:val="center"/>
          </w:tcPr>
          <w:p w14:paraId="6CF69C26">
            <w:pPr>
              <w:keepNext w:val="0"/>
              <w:keepLines w:val="0"/>
              <w:pageBreakBefore w:val="0"/>
              <w:widowControl w:val="0"/>
              <w:shd w:val="clear" w:color="auto" w:fill="auto"/>
              <w:kinsoku/>
              <w:wordWrap/>
              <w:overflowPunct/>
              <w:topLinePunct/>
              <w:autoSpaceDE w:val="0"/>
              <w:autoSpaceDN w:val="0"/>
              <w:bidi w:val="0"/>
              <w:adjustRightInd w:val="0"/>
              <w:snapToGrid w:val="0"/>
              <w:spacing w:line="308"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07909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9" w:type="dxa"/>
            <w:vMerge w:val="restart"/>
            <w:noWrap w:val="0"/>
            <w:vAlign w:val="center"/>
          </w:tcPr>
          <w:p w14:paraId="7EF4155C">
            <w:pPr>
              <w:pStyle w:val="11"/>
              <w:keepNext w:val="0"/>
              <w:keepLines w:val="0"/>
              <w:pageBreakBefore w:val="0"/>
              <w:widowControl w:val="0"/>
              <w:shd w:val="clear" w:color="auto" w:fill="auto"/>
              <w:kinsoku/>
              <w:wordWrap/>
              <w:overflowPunct/>
              <w:autoSpaceDE w:val="0"/>
              <w:autoSpaceDN w:val="0"/>
              <w:bidi w:val="0"/>
              <w:adjustRightInd w:val="0"/>
              <w:snapToGrid w:val="0"/>
              <w:spacing w:line="308" w:lineRule="exact"/>
              <w:ind w:left="0" w:right="0" w:rightChars="0" w:firstLine="0"/>
              <w:jc w:val="center"/>
              <w:textAlignment w:val="baseline"/>
              <w:rPr>
                <w:rFonts w:hint="eastAsia" w:ascii="宋体" w:hAnsi="宋体" w:eastAsia="宋体" w:cs="宋体"/>
                <w:color w:val="auto"/>
                <w:sz w:val="21"/>
                <w:szCs w:val="21"/>
                <w:highlight w:val="none"/>
                <w:lang w:val="en-US" w:eastAsia="zh-CN"/>
              </w:rPr>
            </w:pPr>
            <w:r>
              <w:rPr>
                <w:rFonts w:hint="eastAsia" w:cs="宋体"/>
                <w:color w:val="auto"/>
                <w:sz w:val="21"/>
                <w:szCs w:val="21"/>
                <w:highlight w:val="none"/>
                <w:lang w:val="en-US" w:eastAsia="zh-CN"/>
              </w:rPr>
              <w:t>污染物排放量</w:t>
            </w:r>
          </w:p>
        </w:tc>
        <w:tc>
          <w:tcPr>
            <w:tcW w:w="5531" w:type="dxa"/>
            <w:noWrap w:val="0"/>
            <w:vAlign w:val="center"/>
          </w:tcPr>
          <w:p w14:paraId="4287879C">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316" w:lineRule="atLeast"/>
              <w:ind w:left="0" w:leftChars="0" w:right="0" w:rightChars="0" w:firstLine="420" w:firstLineChars="200"/>
              <w:jc w:val="both"/>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strike w:val="0"/>
                <w:dstrike w:val="0"/>
                <w:color w:val="auto"/>
                <w:sz w:val="21"/>
                <w:szCs w:val="21"/>
                <w:highlight w:val="none"/>
                <w:lang w:eastAsia="zh-CN"/>
              </w:rPr>
              <w:t>1吨以下</w:t>
            </w:r>
          </w:p>
        </w:tc>
        <w:tc>
          <w:tcPr>
            <w:tcW w:w="1272" w:type="dxa"/>
            <w:noWrap w:val="0"/>
            <w:vAlign w:val="center"/>
          </w:tcPr>
          <w:p w14:paraId="4C7850AC">
            <w:pPr>
              <w:keepNext w:val="0"/>
              <w:keepLines w:val="0"/>
              <w:pageBreakBefore w:val="0"/>
              <w:widowControl w:val="0"/>
              <w:shd w:val="clear" w:color="auto" w:fill="auto"/>
              <w:kinsoku/>
              <w:wordWrap/>
              <w:overflowPunct/>
              <w:topLinePunct/>
              <w:autoSpaceDE w:val="0"/>
              <w:autoSpaceDN w:val="0"/>
              <w:bidi w:val="0"/>
              <w:adjustRightInd w:val="0"/>
              <w:snapToGrid w:val="0"/>
              <w:spacing w:line="308"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2DBCF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9" w:type="dxa"/>
            <w:vMerge w:val="continue"/>
            <w:noWrap w:val="0"/>
            <w:vAlign w:val="center"/>
          </w:tcPr>
          <w:p w14:paraId="042D9393">
            <w:pPr>
              <w:pStyle w:val="11"/>
              <w:keepNext w:val="0"/>
              <w:keepLines w:val="0"/>
              <w:pageBreakBefore w:val="0"/>
              <w:widowControl w:val="0"/>
              <w:shd w:val="clear" w:color="auto" w:fill="auto"/>
              <w:kinsoku/>
              <w:wordWrap/>
              <w:overflowPunct/>
              <w:autoSpaceDE w:val="0"/>
              <w:autoSpaceDN w:val="0"/>
              <w:bidi w:val="0"/>
              <w:adjustRightInd w:val="0"/>
              <w:snapToGrid w:val="0"/>
              <w:spacing w:line="308" w:lineRule="exact"/>
              <w:ind w:left="0" w:right="0" w:rightChars="0" w:firstLine="0"/>
              <w:jc w:val="center"/>
              <w:textAlignment w:val="baseline"/>
              <w:rPr>
                <w:rFonts w:hint="eastAsia" w:ascii="宋体" w:hAnsi="宋体" w:eastAsia="宋体" w:cs="宋体"/>
                <w:color w:val="auto"/>
                <w:sz w:val="21"/>
                <w:szCs w:val="21"/>
                <w:highlight w:val="none"/>
                <w:lang w:val="en-US" w:eastAsia="zh-CN"/>
              </w:rPr>
            </w:pPr>
          </w:p>
        </w:tc>
        <w:tc>
          <w:tcPr>
            <w:tcW w:w="5531" w:type="dxa"/>
            <w:noWrap w:val="0"/>
            <w:vAlign w:val="center"/>
          </w:tcPr>
          <w:p w14:paraId="204CE110">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316" w:lineRule="atLeast"/>
              <w:ind w:left="0" w:leftChars="0" w:right="0" w:rightChars="0" w:firstLine="420" w:firstLineChars="200"/>
              <w:jc w:val="both"/>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strike w:val="0"/>
                <w:dstrike w:val="0"/>
                <w:color w:val="auto"/>
                <w:sz w:val="21"/>
                <w:szCs w:val="21"/>
                <w:highlight w:val="none"/>
                <w:lang w:eastAsia="zh-CN"/>
              </w:rPr>
              <w:t>1吨以上10吨以下</w:t>
            </w:r>
          </w:p>
        </w:tc>
        <w:tc>
          <w:tcPr>
            <w:tcW w:w="1272" w:type="dxa"/>
            <w:noWrap w:val="0"/>
            <w:vAlign w:val="center"/>
          </w:tcPr>
          <w:p w14:paraId="09154FC0">
            <w:pPr>
              <w:keepNext w:val="0"/>
              <w:keepLines w:val="0"/>
              <w:pageBreakBefore w:val="0"/>
              <w:widowControl w:val="0"/>
              <w:shd w:val="clear" w:color="auto" w:fill="auto"/>
              <w:kinsoku/>
              <w:wordWrap/>
              <w:overflowPunct/>
              <w:topLinePunct/>
              <w:autoSpaceDE w:val="0"/>
              <w:autoSpaceDN w:val="0"/>
              <w:bidi w:val="0"/>
              <w:adjustRightInd w:val="0"/>
              <w:snapToGrid w:val="0"/>
              <w:spacing w:line="308"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r>
      <w:tr w14:paraId="3B9D4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9" w:type="dxa"/>
            <w:vMerge w:val="continue"/>
            <w:noWrap w:val="0"/>
            <w:vAlign w:val="center"/>
          </w:tcPr>
          <w:p w14:paraId="0098F629">
            <w:pPr>
              <w:pStyle w:val="11"/>
              <w:keepNext w:val="0"/>
              <w:keepLines w:val="0"/>
              <w:pageBreakBefore w:val="0"/>
              <w:widowControl w:val="0"/>
              <w:shd w:val="clear" w:color="auto" w:fill="auto"/>
              <w:kinsoku/>
              <w:wordWrap/>
              <w:overflowPunct/>
              <w:autoSpaceDE w:val="0"/>
              <w:autoSpaceDN w:val="0"/>
              <w:bidi w:val="0"/>
              <w:adjustRightInd w:val="0"/>
              <w:snapToGrid w:val="0"/>
              <w:spacing w:line="308" w:lineRule="exact"/>
              <w:ind w:left="0" w:right="0" w:rightChars="0" w:firstLine="0"/>
              <w:jc w:val="center"/>
              <w:textAlignment w:val="baseline"/>
              <w:rPr>
                <w:rFonts w:hint="eastAsia" w:ascii="宋体" w:hAnsi="宋体" w:eastAsia="宋体" w:cs="宋体"/>
                <w:color w:val="auto"/>
                <w:sz w:val="21"/>
                <w:szCs w:val="21"/>
                <w:highlight w:val="none"/>
                <w:lang w:val="en-US" w:eastAsia="zh-CN"/>
              </w:rPr>
            </w:pPr>
          </w:p>
        </w:tc>
        <w:tc>
          <w:tcPr>
            <w:tcW w:w="5531" w:type="dxa"/>
            <w:noWrap w:val="0"/>
            <w:vAlign w:val="center"/>
          </w:tcPr>
          <w:p w14:paraId="4E4CAB2E">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316" w:lineRule="atLeast"/>
              <w:ind w:left="0" w:leftChars="0" w:right="0" w:rightChars="0" w:firstLine="420" w:firstLineChars="200"/>
              <w:jc w:val="both"/>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strike w:val="0"/>
                <w:dstrike w:val="0"/>
                <w:color w:val="auto"/>
                <w:sz w:val="21"/>
                <w:szCs w:val="21"/>
                <w:highlight w:val="none"/>
                <w:lang w:eastAsia="zh-CN"/>
              </w:rPr>
              <w:t>10吨以上50吨以下</w:t>
            </w:r>
          </w:p>
        </w:tc>
        <w:tc>
          <w:tcPr>
            <w:tcW w:w="1272" w:type="dxa"/>
            <w:noWrap w:val="0"/>
            <w:vAlign w:val="center"/>
          </w:tcPr>
          <w:p w14:paraId="4E01797D">
            <w:pPr>
              <w:keepNext w:val="0"/>
              <w:keepLines w:val="0"/>
              <w:pageBreakBefore w:val="0"/>
              <w:widowControl w:val="0"/>
              <w:shd w:val="clear" w:color="auto" w:fill="auto"/>
              <w:kinsoku/>
              <w:wordWrap/>
              <w:overflowPunct/>
              <w:topLinePunct/>
              <w:autoSpaceDE w:val="0"/>
              <w:autoSpaceDN w:val="0"/>
              <w:bidi w:val="0"/>
              <w:adjustRightInd w:val="0"/>
              <w:snapToGrid w:val="0"/>
              <w:spacing w:line="308"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501B8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9" w:type="dxa"/>
            <w:vMerge w:val="continue"/>
            <w:noWrap w:val="0"/>
            <w:vAlign w:val="center"/>
          </w:tcPr>
          <w:p w14:paraId="366636ED">
            <w:pPr>
              <w:pStyle w:val="11"/>
              <w:keepNext w:val="0"/>
              <w:keepLines w:val="0"/>
              <w:pageBreakBefore w:val="0"/>
              <w:widowControl w:val="0"/>
              <w:shd w:val="clear" w:color="auto" w:fill="auto"/>
              <w:kinsoku/>
              <w:wordWrap/>
              <w:overflowPunct/>
              <w:autoSpaceDE w:val="0"/>
              <w:autoSpaceDN w:val="0"/>
              <w:bidi w:val="0"/>
              <w:adjustRightInd w:val="0"/>
              <w:snapToGrid w:val="0"/>
              <w:spacing w:line="308" w:lineRule="exact"/>
              <w:ind w:left="0" w:right="0" w:rightChars="0" w:firstLine="0"/>
              <w:jc w:val="center"/>
              <w:textAlignment w:val="baseline"/>
              <w:rPr>
                <w:rFonts w:hint="eastAsia" w:ascii="宋体" w:hAnsi="宋体" w:eastAsia="宋体" w:cs="宋体"/>
                <w:color w:val="auto"/>
                <w:sz w:val="21"/>
                <w:szCs w:val="21"/>
                <w:highlight w:val="none"/>
                <w:lang w:val="en-US" w:eastAsia="zh-CN"/>
              </w:rPr>
            </w:pPr>
          </w:p>
        </w:tc>
        <w:tc>
          <w:tcPr>
            <w:tcW w:w="5531" w:type="dxa"/>
            <w:noWrap w:val="0"/>
            <w:vAlign w:val="center"/>
          </w:tcPr>
          <w:p w14:paraId="28F6FF68">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316" w:lineRule="atLeast"/>
              <w:ind w:left="0" w:leftChars="0" w:right="0" w:rightChars="0" w:firstLine="420" w:firstLineChars="200"/>
              <w:jc w:val="both"/>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strike w:val="0"/>
                <w:dstrike w:val="0"/>
                <w:color w:val="auto"/>
                <w:sz w:val="21"/>
                <w:szCs w:val="21"/>
                <w:highlight w:val="none"/>
                <w:lang w:eastAsia="zh-CN"/>
              </w:rPr>
              <w:t>50吨以上100吨以下</w:t>
            </w:r>
          </w:p>
        </w:tc>
        <w:tc>
          <w:tcPr>
            <w:tcW w:w="1272" w:type="dxa"/>
            <w:noWrap w:val="0"/>
            <w:vAlign w:val="center"/>
          </w:tcPr>
          <w:p w14:paraId="1E8634E5">
            <w:pPr>
              <w:keepNext w:val="0"/>
              <w:keepLines w:val="0"/>
              <w:pageBreakBefore w:val="0"/>
              <w:widowControl w:val="0"/>
              <w:shd w:val="clear" w:color="auto" w:fill="auto"/>
              <w:kinsoku/>
              <w:wordWrap/>
              <w:overflowPunct/>
              <w:topLinePunct/>
              <w:autoSpaceDE w:val="0"/>
              <w:autoSpaceDN w:val="0"/>
              <w:bidi w:val="0"/>
              <w:adjustRightInd w:val="0"/>
              <w:snapToGrid w:val="0"/>
              <w:spacing w:line="308"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r>
      <w:tr w14:paraId="00FD3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9" w:type="dxa"/>
            <w:vMerge w:val="continue"/>
            <w:noWrap w:val="0"/>
            <w:vAlign w:val="center"/>
          </w:tcPr>
          <w:p w14:paraId="79AE39A1">
            <w:pPr>
              <w:pStyle w:val="11"/>
              <w:keepNext w:val="0"/>
              <w:keepLines w:val="0"/>
              <w:pageBreakBefore w:val="0"/>
              <w:widowControl w:val="0"/>
              <w:shd w:val="clear" w:color="auto" w:fill="auto"/>
              <w:kinsoku/>
              <w:wordWrap/>
              <w:overflowPunct/>
              <w:autoSpaceDE w:val="0"/>
              <w:autoSpaceDN w:val="0"/>
              <w:bidi w:val="0"/>
              <w:adjustRightInd w:val="0"/>
              <w:snapToGrid w:val="0"/>
              <w:spacing w:line="308" w:lineRule="exact"/>
              <w:ind w:left="0" w:right="0" w:rightChars="0" w:firstLine="0"/>
              <w:jc w:val="center"/>
              <w:textAlignment w:val="baseline"/>
              <w:rPr>
                <w:rFonts w:hint="eastAsia" w:ascii="宋体" w:hAnsi="宋体" w:eastAsia="宋体" w:cs="宋体"/>
                <w:color w:val="auto"/>
                <w:sz w:val="21"/>
                <w:szCs w:val="21"/>
                <w:highlight w:val="none"/>
                <w:lang w:val="en-US" w:eastAsia="zh-CN"/>
              </w:rPr>
            </w:pPr>
          </w:p>
        </w:tc>
        <w:tc>
          <w:tcPr>
            <w:tcW w:w="5531" w:type="dxa"/>
            <w:noWrap w:val="0"/>
            <w:vAlign w:val="center"/>
          </w:tcPr>
          <w:p w14:paraId="3FF2BB5A">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316" w:lineRule="atLeast"/>
              <w:ind w:left="0" w:leftChars="0" w:right="0" w:rightChars="0" w:firstLine="420" w:firstLineChars="200"/>
              <w:jc w:val="both"/>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strike w:val="0"/>
                <w:dstrike w:val="0"/>
                <w:color w:val="auto"/>
                <w:sz w:val="21"/>
                <w:szCs w:val="21"/>
                <w:highlight w:val="none"/>
                <w:lang w:eastAsia="zh-CN"/>
              </w:rPr>
              <w:t>100吨以上</w:t>
            </w:r>
          </w:p>
        </w:tc>
        <w:tc>
          <w:tcPr>
            <w:tcW w:w="1272" w:type="dxa"/>
            <w:noWrap w:val="0"/>
            <w:vAlign w:val="center"/>
          </w:tcPr>
          <w:p w14:paraId="198305F5">
            <w:pPr>
              <w:keepNext w:val="0"/>
              <w:keepLines w:val="0"/>
              <w:pageBreakBefore w:val="0"/>
              <w:widowControl w:val="0"/>
              <w:shd w:val="clear" w:color="auto" w:fill="auto"/>
              <w:kinsoku/>
              <w:wordWrap/>
              <w:overflowPunct/>
              <w:topLinePunct/>
              <w:autoSpaceDE w:val="0"/>
              <w:autoSpaceDN w:val="0"/>
              <w:bidi w:val="0"/>
              <w:adjustRightInd w:val="0"/>
              <w:snapToGrid w:val="0"/>
              <w:spacing w:line="308"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bl>
    <w:p w14:paraId="737B3C3B">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0"/>
        <w:gridCol w:w="5818"/>
        <w:gridCol w:w="1330"/>
      </w:tblGrid>
      <w:tr w14:paraId="438DE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3"/>
            <w:noWrap w:val="0"/>
            <w:vAlign w:val="top"/>
          </w:tcPr>
          <w:p w14:paraId="0965C263">
            <w:pPr>
              <w:jc w:val="center"/>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rPr>
              <w:t>（</w:t>
            </w:r>
            <w:r>
              <w:rPr>
                <w:rFonts w:hint="eastAsia" w:ascii="宋体" w:hAnsi="宋体" w:eastAsia="宋体" w:cs="宋体"/>
                <w:bCs/>
                <w:color w:val="auto"/>
                <w:sz w:val="21"/>
                <w:szCs w:val="21"/>
                <w:highlight w:val="none"/>
                <w:lang w:val="en-US" w:eastAsia="zh-CN"/>
              </w:rPr>
              <w:t>五</w:t>
            </w:r>
            <w:r>
              <w:rPr>
                <w:rFonts w:hint="eastAsia" w:ascii="宋体" w:hAnsi="宋体" w:eastAsia="宋体" w:cs="宋体"/>
                <w:bCs/>
                <w:color w:val="auto"/>
                <w:sz w:val="21"/>
                <w:szCs w:val="21"/>
                <w:highlight w:val="none"/>
              </w:rPr>
              <w:t>）水污染防治类</w:t>
            </w:r>
          </w:p>
        </w:tc>
      </w:tr>
      <w:tr w14:paraId="73665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4" w:type="dxa"/>
            <w:noWrap w:val="0"/>
            <w:vAlign w:val="top"/>
          </w:tcPr>
          <w:p w14:paraId="4B750C7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808" w:type="dxa"/>
            <w:gridSpan w:val="2"/>
            <w:noWrap w:val="0"/>
            <w:vAlign w:val="top"/>
          </w:tcPr>
          <w:p w14:paraId="15010C1A">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w:t>
            </w:r>
          </w:p>
        </w:tc>
      </w:tr>
      <w:tr w14:paraId="17203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1714" w:type="dxa"/>
            <w:noWrap w:val="0"/>
            <w:vAlign w:val="center"/>
          </w:tcPr>
          <w:p w14:paraId="291041E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6808" w:type="dxa"/>
            <w:gridSpan w:val="2"/>
            <w:noWrap w:val="0"/>
            <w:vAlign w:val="center"/>
          </w:tcPr>
          <w:p w14:paraId="43AF5624">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向农田灌溉渠道排放工业废水或者医疗污水的</w:t>
            </w:r>
          </w:p>
        </w:tc>
      </w:tr>
      <w:tr w14:paraId="4F6BE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4" w:type="dxa"/>
            <w:noWrap w:val="0"/>
            <w:vAlign w:val="center"/>
          </w:tcPr>
          <w:p w14:paraId="02B39E4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6808" w:type="dxa"/>
            <w:gridSpan w:val="2"/>
            <w:noWrap w:val="0"/>
            <w:vAlign w:val="top"/>
          </w:tcPr>
          <w:p w14:paraId="34BEDBC6">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《中华人民共和国生态环境法典》第三百一十一条第二款   禁止向农田灌溉渠道排放工业废水或者医疗污水。向农田灌溉渠道排放城镇污水以及未综合利用的畜禽养殖粪污、水产养殖尾水、农产品加工废水的，应当保证其下游最近的灌溉取水点的水质符合农田灌溉用水水质标准。</w:t>
            </w:r>
          </w:p>
        </w:tc>
      </w:tr>
      <w:tr w14:paraId="58806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4" w:type="dxa"/>
            <w:noWrap w:val="0"/>
            <w:vAlign w:val="center"/>
          </w:tcPr>
          <w:p w14:paraId="499EB60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6808" w:type="dxa"/>
            <w:gridSpan w:val="2"/>
            <w:noWrap w:val="0"/>
            <w:vAlign w:val="top"/>
          </w:tcPr>
          <w:p w14:paraId="6E4D1614">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《中华人民共和国生态环境法典》第一千一百三十九条第一款第三项、第二款  违反本法规定，有下列情形之一的，由生态环境主管部门责令改正，处以罚款，可以责令采取限制生产、停产整治等措施</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w:t>
            </w:r>
          </w:p>
          <w:p w14:paraId="6DDF33BB">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（三）向农田灌溉渠道排放工业废水或者医疗污水；</w:t>
            </w:r>
          </w:p>
          <w:p w14:paraId="4AC2B340">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有前款第三项、第四项情形之一的，处二万元以上二十万元以下的罚款；有前款第一项、第二项情形之一的，处十万元以上一百万元以下的罚款。</w:t>
            </w:r>
          </w:p>
        </w:tc>
      </w:tr>
      <w:tr w14:paraId="3E404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4" w:type="dxa"/>
            <w:noWrap w:val="0"/>
            <w:vAlign w:val="center"/>
          </w:tcPr>
          <w:p w14:paraId="04688D4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541" w:type="dxa"/>
            <w:noWrap w:val="0"/>
            <w:vAlign w:val="top"/>
          </w:tcPr>
          <w:p w14:paraId="6C0D29B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267" w:type="dxa"/>
            <w:noWrap w:val="0"/>
            <w:vAlign w:val="top"/>
          </w:tcPr>
          <w:p w14:paraId="6D726DC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15BD1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714" w:type="dxa"/>
            <w:vMerge w:val="restart"/>
            <w:noWrap w:val="0"/>
            <w:vAlign w:val="center"/>
          </w:tcPr>
          <w:p w14:paraId="45F3F6D4">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310" w:lineRule="atLeast"/>
              <w:ind w:left="0" w:leftChars="0" w:right="0" w:rightChars="0" w:firstLine="0" w:firstLineChars="0"/>
              <w:jc w:val="center"/>
              <w:textAlignment w:val="baseline"/>
              <w:rPr>
                <w:rFonts w:hint="eastAsia" w:ascii="宋体" w:hAnsi="宋体" w:eastAsia="宋体" w:cs="宋体"/>
                <w:color w:val="auto"/>
                <w:sz w:val="21"/>
                <w:szCs w:val="21"/>
                <w:highlight w:val="none"/>
              </w:rPr>
            </w:pPr>
            <w:r>
              <w:rPr>
                <w:rFonts w:hint="eastAsia" w:cs="宋体"/>
                <w:color w:val="auto"/>
                <w:sz w:val="21"/>
                <w:szCs w:val="21"/>
                <w:highlight w:val="none"/>
                <w:lang w:val="en-US" w:eastAsia="zh-CN"/>
              </w:rPr>
              <w:t>污染物排放量</w:t>
            </w:r>
          </w:p>
        </w:tc>
        <w:tc>
          <w:tcPr>
            <w:tcW w:w="5541" w:type="dxa"/>
            <w:noWrap w:val="0"/>
            <w:vAlign w:val="center"/>
          </w:tcPr>
          <w:p w14:paraId="26928A1D">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310" w:lineRule="atLeast"/>
              <w:ind w:left="0" w:leftChars="0" w:right="0" w:rightChars="0" w:firstLine="420" w:firstLineChars="20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不足10吨</w:t>
            </w:r>
          </w:p>
        </w:tc>
        <w:tc>
          <w:tcPr>
            <w:tcW w:w="1267" w:type="dxa"/>
            <w:noWrap w:val="0"/>
            <w:vAlign w:val="center"/>
          </w:tcPr>
          <w:p w14:paraId="44BB8FE2">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r>
      <w:tr w14:paraId="61F33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714" w:type="dxa"/>
            <w:vMerge w:val="continue"/>
            <w:noWrap w:val="0"/>
            <w:vAlign w:val="center"/>
          </w:tcPr>
          <w:p w14:paraId="7C44AB77">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p>
        </w:tc>
        <w:tc>
          <w:tcPr>
            <w:tcW w:w="5541" w:type="dxa"/>
            <w:noWrap w:val="0"/>
            <w:vAlign w:val="center"/>
          </w:tcPr>
          <w:p w14:paraId="4B89F7DE">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310" w:lineRule="atLeast"/>
              <w:ind w:left="0" w:leftChars="0" w:right="0" w:rightChars="0" w:firstLine="420" w:firstLineChars="20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lang w:eastAsia="zh-CN"/>
              </w:rPr>
              <w:t>吨以上</w:t>
            </w:r>
            <w:r>
              <w:rPr>
                <w:rFonts w:hint="eastAsia" w:ascii="宋体" w:hAnsi="宋体" w:eastAsia="宋体" w:cs="宋体"/>
                <w:color w:val="auto"/>
                <w:sz w:val="21"/>
                <w:szCs w:val="21"/>
                <w:highlight w:val="none"/>
                <w:lang w:val="en-US" w:eastAsia="zh-CN"/>
              </w:rPr>
              <w:t>不足30</w:t>
            </w:r>
            <w:r>
              <w:rPr>
                <w:rFonts w:hint="eastAsia" w:ascii="宋体" w:hAnsi="宋体" w:eastAsia="宋体" w:cs="宋体"/>
                <w:color w:val="auto"/>
                <w:sz w:val="21"/>
                <w:szCs w:val="21"/>
                <w:highlight w:val="none"/>
                <w:lang w:eastAsia="zh-CN"/>
              </w:rPr>
              <w:t>吨</w:t>
            </w:r>
          </w:p>
        </w:tc>
        <w:tc>
          <w:tcPr>
            <w:tcW w:w="1267" w:type="dxa"/>
            <w:noWrap w:val="0"/>
            <w:vAlign w:val="center"/>
          </w:tcPr>
          <w:p w14:paraId="5035D6A2">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r>
      <w:tr w14:paraId="1246D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714" w:type="dxa"/>
            <w:vMerge w:val="continue"/>
            <w:noWrap w:val="0"/>
            <w:vAlign w:val="center"/>
          </w:tcPr>
          <w:p w14:paraId="6AFD0648">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p>
        </w:tc>
        <w:tc>
          <w:tcPr>
            <w:tcW w:w="5541" w:type="dxa"/>
            <w:noWrap w:val="0"/>
            <w:vAlign w:val="center"/>
          </w:tcPr>
          <w:p w14:paraId="32BEC69B">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310" w:lineRule="atLeast"/>
              <w:ind w:left="0" w:leftChars="0" w:right="0" w:rightChars="0" w:firstLine="420" w:firstLineChars="20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30</w:t>
            </w:r>
            <w:r>
              <w:rPr>
                <w:rFonts w:hint="eastAsia" w:ascii="宋体" w:hAnsi="宋体" w:eastAsia="宋体" w:cs="宋体"/>
                <w:color w:val="auto"/>
                <w:sz w:val="21"/>
                <w:szCs w:val="21"/>
                <w:highlight w:val="none"/>
                <w:lang w:eastAsia="zh-CN"/>
              </w:rPr>
              <w:t>吨以上</w:t>
            </w:r>
            <w:r>
              <w:rPr>
                <w:rFonts w:hint="eastAsia" w:ascii="宋体" w:hAnsi="宋体" w:eastAsia="宋体" w:cs="宋体"/>
                <w:color w:val="auto"/>
                <w:sz w:val="21"/>
                <w:szCs w:val="21"/>
                <w:highlight w:val="none"/>
                <w:lang w:val="en-US" w:eastAsia="zh-CN"/>
              </w:rPr>
              <w:t>不足5</w:t>
            </w:r>
            <w:r>
              <w:rPr>
                <w:rFonts w:hint="eastAsia" w:ascii="宋体" w:hAnsi="宋体" w:eastAsia="宋体" w:cs="宋体"/>
                <w:color w:val="auto"/>
                <w:sz w:val="21"/>
                <w:szCs w:val="21"/>
                <w:highlight w:val="none"/>
                <w:lang w:eastAsia="zh-CN"/>
              </w:rPr>
              <w:t>0吨</w:t>
            </w:r>
          </w:p>
        </w:tc>
        <w:tc>
          <w:tcPr>
            <w:tcW w:w="1267" w:type="dxa"/>
            <w:noWrap w:val="0"/>
            <w:vAlign w:val="center"/>
          </w:tcPr>
          <w:p w14:paraId="61FAFA35">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r>
      <w:tr w14:paraId="5BF8C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714" w:type="dxa"/>
            <w:vMerge w:val="continue"/>
            <w:noWrap w:val="0"/>
            <w:vAlign w:val="center"/>
          </w:tcPr>
          <w:p w14:paraId="646BD98C">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p>
        </w:tc>
        <w:tc>
          <w:tcPr>
            <w:tcW w:w="5541" w:type="dxa"/>
            <w:noWrap w:val="0"/>
            <w:vAlign w:val="center"/>
          </w:tcPr>
          <w:p w14:paraId="38F8C836">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310" w:lineRule="atLeast"/>
              <w:ind w:left="0" w:leftChars="0" w:right="0" w:rightChars="0" w:firstLine="420" w:firstLineChars="20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50</w:t>
            </w:r>
            <w:r>
              <w:rPr>
                <w:rFonts w:hint="eastAsia" w:ascii="宋体" w:hAnsi="宋体" w:eastAsia="宋体" w:cs="宋体"/>
                <w:color w:val="auto"/>
                <w:sz w:val="21"/>
                <w:szCs w:val="21"/>
                <w:highlight w:val="none"/>
                <w:lang w:eastAsia="zh-CN"/>
              </w:rPr>
              <w:t>吨以上</w:t>
            </w:r>
            <w:r>
              <w:rPr>
                <w:rFonts w:hint="eastAsia" w:ascii="宋体" w:hAnsi="宋体" w:eastAsia="宋体" w:cs="宋体"/>
                <w:color w:val="auto"/>
                <w:sz w:val="21"/>
                <w:szCs w:val="21"/>
                <w:highlight w:val="none"/>
                <w:lang w:val="en-US" w:eastAsia="zh-CN"/>
              </w:rPr>
              <w:t>不足100</w:t>
            </w:r>
            <w:r>
              <w:rPr>
                <w:rFonts w:hint="eastAsia" w:ascii="宋体" w:hAnsi="宋体" w:eastAsia="宋体" w:cs="宋体"/>
                <w:color w:val="auto"/>
                <w:sz w:val="21"/>
                <w:szCs w:val="21"/>
                <w:highlight w:val="none"/>
                <w:lang w:eastAsia="zh-CN"/>
              </w:rPr>
              <w:t>吨</w:t>
            </w:r>
          </w:p>
        </w:tc>
        <w:tc>
          <w:tcPr>
            <w:tcW w:w="1267" w:type="dxa"/>
            <w:noWrap w:val="0"/>
            <w:vAlign w:val="center"/>
          </w:tcPr>
          <w:p w14:paraId="7C943BDC">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r>
      <w:tr w14:paraId="1AD8E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714" w:type="dxa"/>
            <w:vMerge w:val="continue"/>
            <w:noWrap w:val="0"/>
            <w:vAlign w:val="center"/>
          </w:tcPr>
          <w:p w14:paraId="255F56A3">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p>
        </w:tc>
        <w:tc>
          <w:tcPr>
            <w:tcW w:w="5541" w:type="dxa"/>
            <w:noWrap w:val="0"/>
            <w:vAlign w:val="center"/>
          </w:tcPr>
          <w:p w14:paraId="2A55E849">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310" w:lineRule="atLeast"/>
              <w:ind w:left="0" w:leftChars="0" w:right="0" w:rightChars="0" w:firstLine="420" w:firstLineChars="200"/>
              <w:jc w:val="both"/>
              <w:textAlignment w:val="baseline"/>
              <w:rPr>
                <w:rFonts w:hint="eastAsia" w:ascii="宋体" w:hAnsi="宋体" w:eastAsia="宋体" w:cs="宋体"/>
                <w:b/>
                <w:bCs/>
                <w:sz w:val="21"/>
                <w:szCs w:val="21"/>
                <w:highlight w:val="none"/>
                <w:lang w:val="en-US" w:eastAsia="zh-CN"/>
              </w:rPr>
            </w:pPr>
            <w:r>
              <w:rPr>
                <w:rFonts w:hint="eastAsia" w:ascii="宋体" w:hAnsi="宋体" w:eastAsia="宋体" w:cs="宋体"/>
                <w:color w:val="auto"/>
                <w:sz w:val="21"/>
                <w:szCs w:val="21"/>
                <w:highlight w:val="none"/>
                <w:lang w:val="en-US" w:eastAsia="zh-CN"/>
              </w:rPr>
              <w:t>100</w:t>
            </w:r>
            <w:r>
              <w:rPr>
                <w:rFonts w:hint="eastAsia" w:ascii="宋体" w:hAnsi="宋体" w:eastAsia="宋体" w:cs="宋体"/>
                <w:color w:val="auto"/>
                <w:sz w:val="21"/>
                <w:szCs w:val="21"/>
                <w:highlight w:val="none"/>
                <w:lang w:eastAsia="zh-CN"/>
              </w:rPr>
              <w:t>吨以上</w:t>
            </w:r>
          </w:p>
        </w:tc>
        <w:tc>
          <w:tcPr>
            <w:tcW w:w="1267" w:type="dxa"/>
            <w:noWrap w:val="0"/>
            <w:vAlign w:val="center"/>
          </w:tcPr>
          <w:p w14:paraId="592E01F8">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r>
    </w:tbl>
    <w:p w14:paraId="4B9056D7">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5"/>
        <w:gridCol w:w="5803"/>
        <w:gridCol w:w="1340"/>
      </w:tblGrid>
      <w:tr w14:paraId="764BE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3"/>
            <w:noWrap w:val="0"/>
            <w:vAlign w:val="top"/>
          </w:tcPr>
          <w:p w14:paraId="05725F9D">
            <w:pPr>
              <w:jc w:val="center"/>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rPr>
              <w:t>（</w:t>
            </w:r>
            <w:r>
              <w:rPr>
                <w:rFonts w:hint="eastAsia" w:ascii="宋体" w:hAnsi="宋体" w:eastAsia="宋体" w:cs="宋体"/>
                <w:bCs/>
                <w:color w:val="auto"/>
                <w:sz w:val="21"/>
                <w:szCs w:val="21"/>
                <w:highlight w:val="none"/>
                <w:lang w:val="en-US" w:eastAsia="zh-CN"/>
              </w:rPr>
              <w:t>五</w:t>
            </w:r>
            <w:r>
              <w:rPr>
                <w:rFonts w:hint="eastAsia" w:ascii="宋体" w:hAnsi="宋体" w:eastAsia="宋体" w:cs="宋体"/>
                <w:bCs/>
                <w:color w:val="auto"/>
                <w:sz w:val="21"/>
                <w:szCs w:val="21"/>
                <w:highlight w:val="none"/>
              </w:rPr>
              <w:t>）水污染防治类</w:t>
            </w:r>
          </w:p>
        </w:tc>
      </w:tr>
      <w:tr w14:paraId="14B57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9" w:type="dxa"/>
            <w:noWrap w:val="0"/>
            <w:vAlign w:val="top"/>
          </w:tcPr>
          <w:p w14:paraId="3B5B95D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803" w:type="dxa"/>
            <w:gridSpan w:val="2"/>
            <w:noWrap w:val="0"/>
            <w:vAlign w:val="top"/>
          </w:tcPr>
          <w:p w14:paraId="355A575B">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w:t>
            </w:r>
          </w:p>
        </w:tc>
      </w:tr>
      <w:tr w14:paraId="02833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atLeast"/>
          <w:jc w:val="center"/>
        </w:trPr>
        <w:tc>
          <w:tcPr>
            <w:tcW w:w="1719" w:type="dxa"/>
            <w:noWrap w:val="0"/>
            <w:vAlign w:val="center"/>
          </w:tcPr>
          <w:p w14:paraId="2A1DAF1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6803" w:type="dxa"/>
            <w:gridSpan w:val="2"/>
            <w:noWrap w:val="0"/>
            <w:vAlign w:val="center"/>
          </w:tcPr>
          <w:p w14:paraId="3372216D">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向农田灌溉渠道排放城镇污水以及未综合利用的水产养殖尾水、农产品加工废水，致使其下游最近的灌溉取水点的水质不符合农田灌溉用水水质标准的</w:t>
            </w:r>
          </w:p>
        </w:tc>
      </w:tr>
      <w:tr w14:paraId="01438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3" w:hRule="atLeast"/>
          <w:jc w:val="center"/>
        </w:trPr>
        <w:tc>
          <w:tcPr>
            <w:tcW w:w="1719" w:type="dxa"/>
            <w:noWrap w:val="0"/>
            <w:vAlign w:val="center"/>
          </w:tcPr>
          <w:p w14:paraId="67DFC67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6803" w:type="dxa"/>
            <w:gridSpan w:val="2"/>
            <w:noWrap w:val="0"/>
            <w:vAlign w:val="top"/>
          </w:tcPr>
          <w:p w14:paraId="5ABD902E">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《中华人民共和国生态环境法典》第三百一十一条第二款   禁止向农田灌溉渠道排放工业废水或者医疗污水。向农田灌溉渠道排放城镇污水以及未综合利用的畜禽养殖粪污、水产养殖尾水、农产品加工废水的，应当保证其下游最近的灌溉取水点的水质符合农田灌溉用水水质标准。</w:t>
            </w:r>
          </w:p>
        </w:tc>
      </w:tr>
      <w:tr w14:paraId="08076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9" w:type="dxa"/>
            <w:noWrap w:val="0"/>
            <w:vAlign w:val="center"/>
          </w:tcPr>
          <w:p w14:paraId="2DD57EB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6803" w:type="dxa"/>
            <w:gridSpan w:val="2"/>
            <w:noWrap w:val="0"/>
            <w:vAlign w:val="top"/>
          </w:tcPr>
          <w:p w14:paraId="723721AF">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《中华人民共和国生态环境法典》第一千一百三十九条第一款第四项、第二款  违反本法规定，有下列情形之一的，由生态环境主管部门责令改正，处以罚款，可以责令采取限制生产、停产整治等措施</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w:t>
            </w:r>
          </w:p>
          <w:p w14:paraId="1EB64575">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（四）向农田灌溉渠道排放城镇污水以及未综合利用的水产养殖尾水、农产品加工废水，致使其下游最近的灌溉取水点的水质不符合农田灌溉用水水质标准。</w:t>
            </w:r>
          </w:p>
          <w:p w14:paraId="65FB22E4">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有前款第三项、第四项情形之一的，处二万元以上二十万元以下的罚款；有前款第一项、第二项情形之一的，处十万元以上一百万元以下的罚款。</w:t>
            </w:r>
          </w:p>
        </w:tc>
      </w:tr>
      <w:tr w14:paraId="0255F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9" w:type="dxa"/>
            <w:noWrap w:val="0"/>
            <w:vAlign w:val="center"/>
          </w:tcPr>
          <w:p w14:paraId="1F53089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527" w:type="dxa"/>
            <w:noWrap w:val="0"/>
            <w:vAlign w:val="top"/>
          </w:tcPr>
          <w:p w14:paraId="1087200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276" w:type="dxa"/>
            <w:noWrap w:val="0"/>
            <w:vAlign w:val="top"/>
          </w:tcPr>
          <w:p w14:paraId="097E794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3383F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9" w:type="dxa"/>
            <w:vMerge w:val="restart"/>
            <w:noWrap w:val="0"/>
            <w:vAlign w:val="center"/>
          </w:tcPr>
          <w:p w14:paraId="759BA249">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不符合指标数量</w:t>
            </w:r>
          </w:p>
        </w:tc>
        <w:tc>
          <w:tcPr>
            <w:tcW w:w="5527" w:type="dxa"/>
            <w:noWrap w:val="0"/>
            <w:vAlign w:val="center"/>
          </w:tcPr>
          <w:p w14:paraId="4E0A74A0">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1项指标（不含重金属）不符合农田灌溉水质标准</w:t>
            </w:r>
          </w:p>
        </w:tc>
        <w:tc>
          <w:tcPr>
            <w:tcW w:w="1276" w:type="dxa"/>
            <w:noWrap w:val="0"/>
            <w:vAlign w:val="top"/>
          </w:tcPr>
          <w:p w14:paraId="4A866D8D">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r>
      <w:tr w14:paraId="34EBB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719" w:type="dxa"/>
            <w:vMerge w:val="continue"/>
            <w:noWrap w:val="0"/>
            <w:vAlign w:val="center"/>
          </w:tcPr>
          <w:p w14:paraId="773050C6">
            <w:pPr>
              <w:jc w:val="center"/>
              <w:rPr>
                <w:rFonts w:hint="eastAsia" w:ascii="宋体" w:hAnsi="宋体" w:eastAsia="宋体" w:cs="宋体"/>
                <w:color w:val="auto"/>
                <w:sz w:val="21"/>
                <w:szCs w:val="21"/>
                <w:highlight w:val="none"/>
                <w:lang w:val="en-US" w:eastAsia="zh-CN"/>
              </w:rPr>
            </w:pPr>
          </w:p>
        </w:tc>
        <w:tc>
          <w:tcPr>
            <w:tcW w:w="5527" w:type="dxa"/>
            <w:noWrap w:val="0"/>
            <w:vAlign w:val="center"/>
          </w:tcPr>
          <w:p w14:paraId="06766E03">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2项指标（不含重金属）不符合农田灌溉水质标准</w:t>
            </w:r>
          </w:p>
        </w:tc>
        <w:tc>
          <w:tcPr>
            <w:tcW w:w="1276" w:type="dxa"/>
            <w:noWrap w:val="0"/>
            <w:vAlign w:val="top"/>
          </w:tcPr>
          <w:p w14:paraId="341AEA0B">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r>
      <w:tr w14:paraId="4CDF0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719" w:type="dxa"/>
            <w:vMerge w:val="continue"/>
            <w:noWrap w:val="0"/>
            <w:vAlign w:val="center"/>
          </w:tcPr>
          <w:p w14:paraId="0C590697">
            <w:pPr>
              <w:jc w:val="center"/>
              <w:rPr>
                <w:rFonts w:hint="eastAsia" w:ascii="宋体" w:hAnsi="宋体" w:eastAsia="宋体" w:cs="宋体"/>
                <w:color w:val="auto"/>
                <w:sz w:val="21"/>
                <w:szCs w:val="21"/>
                <w:highlight w:val="none"/>
                <w:lang w:val="en-US" w:eastAsia="zh-CN"/>
              </w:rPr>
            </w:pPr>
          </w:p>
        </w:tc>
        <w:tc>
          <w:tcPr>
            <w:tcW w:w="5527" w:type="dxa"/>
            <w:noWrap w:val="0"/>
            <w:vAlign w:val="center"/>
          </w:tcPr>
          <w:p w14:paraId="4E3F2864">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3项指标（不含重金属）不符合农田灌溉水质标准</w:t>
            </w:r>
          </w:p>
        </w:tc>
        <w:tc>
          <w:tcPr>
            <w:tcW w:w="1276" w:type="dxa"/>
            <w:noWrap w:val="0"/>
            <w:vAlign w:val="top"/>
          </w:tcPr>
          <w:p w14:paraId="0AB073DD">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r>
      <w:tr w14:paraId="0AC82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719" w:type="dxa"/>
            <w:vMerge w:val="continue"/>
            <w:noWrap w:val="0"/>
            <w:vAlign w:val="center"/>
          </w:tcPr>
          <w:p w14:paraId="5759B8F2">
            <w:pPr>
              <w:jc w:val="center"/>
              <w:rPr>
                <w:rFonts w:hint="eastAsia" w:ascii="宋体" w:hAnsi="宋体" w:eastAsia="宋体" w:cs="宋体"/>
                <w:color w:val="auto"/>
                <w:sz w:val="21"/>
                <w:szCs w:val="21"/>
                <w:highlight w:val="none"/>
                <w:lang w:val="en-US" w:eastAsia="zh-CN"/>
              </w:rPr>
            </w:pPr>
          </w:p>
        </w:tc>
        <w:tc>
          <w:tcPr>
            <w:tcW w:w="5527" w:type="dxa"/>
            <w:noWrap w:val="0"/>
            <w:vAlign w:val="center"/>
          </w:tcPr>
          <w:p w14:paraId="64B15B28">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4项指标（不含重金属）不符合农田灌溉水质标准</w:t>
            </w:r>
          </w:p>
        </w:tc>
        <w:tc>
          <w:tcPr>
            <w:tcW w:w="1276" w:type="dxa"/>
            <w:noWrap w:val="0"/>
            <w:vAlign w:val="top"/>
          </w:tcPr>
          <w:p w14:paraId="436EE2FE">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r>
      <w:tr w14:paraId="05954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719" w:type="dxa"/>
            <w:vMerge w:val="continue"/>
            <w:noWrap w:val="0"/>
            <w:vAlign w:val="center"/>
          </w:tcPr>
          <w:p w14:paraId="1CEE1872">
            <w:pPr>
              <w:jc w:val="center"/>
              <w:rPr>
                <w:rFonts w:hint="eastAsia" w:ascii="宋体" w:hAnsi="宋体" w:eastAsia="宋体" w:cs="宋体"/>
                <w:color w:val="auto"/>
                <w:sz w:val="21"/>
                <w:szCs w:val="21"/>
                <w:highlight w:val="none"/>
                <w:lang w:val="en-US" w:eastAsia="zh-CN"/>
              </w:rPr>
            </w:pPr>
          </w:p>
        </w:tc>
        <w:tc>
          <w:tcPr>
            <w:tcW w:w="5527" w:type="dxa"/>
            <w:noWrap w:val="0"/>
            <w:vAlign w:val="center"/>
          </w:tcPr>
          <w:p w14:paraId="3C47CB8B">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5项及以上指标（不含重金属）或1项及以上重金属不符合农田灌溉水质标准</w:t>
            </w:r>
          </w:p>
        </w:tc>
        <w:tc>
          <w:tcPr>
            <w:tcW w:w="1276" w:type="dxa"/>
            <w:noWrap w:val="0"/>
            <w:vAlign w:val="center"/>
          </w:tcPr>
          <w:p w14:paraId="5FA10F33">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r>
      <w:tr w14:paraId="67D8E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719" w:type="dxa"/>
            <w:vMerge w:val="restart"/>
            <w:noWrap w:val="0"/>
            <w:vAlign w:val="center"/>
          </w:tcPr>
          <w:p w14:paraId="479CD0E5">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超标状况</w:t>
            </w:r>
          </w:p>
        </w:tc>
        <w:tc>
          <w:tcPr>
            <w:tcW w:w="5527" w:type="dxa"/>
            <w:noWrap w:val="0"/>
            <w:vAlign w:val="center"/>
          </w:tcPr>
          <w:p w14:paraId="0C7EB18E">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超标不足1倍/8.5&lt;pH值≤9.5或4.5≤pH值&lt;5.5</w:t>
            </w:r>
          </w:p>
        </w:tc>
        <w:tc>
          <w:tcPr>
            <w:tcW w:w="1276" w:type="dxa"/>
            <w:noWrap w:val="0"/>
            <w:vAlign w:val="top"/>
          </w:tcPr>
          <w:p w14:paraId="31A755B2">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r>
      <w:tr w14:paraId="57FAF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719" w:type="dxa"/>
            <w:vMerge w:val="continue"/>
            <w:noWrap w:val="0"/>
            <w:vAlign w:val="center"/>
          </w:tcPr>
          <w:p w14:paraId="7BF665C5">
            <w:pPr>
              <w:jc w:val="center"/>
              <w:rPr>
                <w:rFonts w:hint="eastAsia" w:ascii="宋体" w:hAnsi="宋体" w:eastAsia="宋体" w:cs="宋体"/>
                <w:color w:val="auto"/>
                <w:sz w:val="21"/>
                <w:szCs w:val="21"/>
                <w:highlight w:val="none"/>
                <w:lang w:val="en-US" w:eastAsia="zh-CN"/>
              </w:rPr>
            </w:pPr>
          </w:p>
        </w:tc>
        <w:tc>
          <w:tcPr>
            <w:tcW w:w="5527" w:type="dxa"/>
            <w:noWrap w:val="0"/>
            <w:vAlign w:val="center"/>
          </w:tcPr>
          <w:p w14:paraId="68DA6ABD">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超标1倍以上不足3倍/9.5&lt;pH值≤10.5或3.5≤pH值&lt;4.5</w:t>
            </w:r>
          </w:p>
        </w:tc>
        <w:tc>
          <w:tcPr>
            <w:tcW w:w="1276" w:type="dxa"/>
            <w:noWrap w:val="0"/>
            <w:vAlign w:val="center"/>
          </w:tcPr>
          <w:p w14:paraId="5A7FEFA6">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r>
      <w:tr w14:paraId="75534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719" w:type="dxa"/>
            <w:vMerge w:val="continue"/>
            <w:noWrap w:val="0"/>
            <w:vAlign w:val="center"/>
          </w:tcPr>
          <w:p w14:paraId="26F1913F">
            <w:pPr>
              <w:jc w:val="center"/>
              <w:rPr>
                <w:rFonts w:hint="eastAsia" w:ascii="宋体" w:hAnsi="宋体" w:eastAsia="宋体" w:cs="宋体"/>
                <w:color w:val="auto"/>
                <w:sz w:val="21"/>
                <w:szCs w:val="21"/>
                <w:highlight w:val="none"/>
                <w:lang w:val="en-US" w:eastAsia="zh-CN"/>
              </w:rPr>
            </w:pPr>
          </w:p>
        </w:tc>
        <w:tc>
          <w:tcPr>
            <w:tcW w:w="5527" w:type="dxa"/>
            <w:noWrap w:val="0"/>
            <w:vAlign w:val="center"/>
          </w:tcPr>
          <w:p w14:paraId="0A45E4DB">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超标3倍以上/pH值＞10.5或pH值&lt;3.5</w:t>
            </w:r>
          </w:p>
        </w:tc>
        <w:tc>
          <w:tcPr>
            <w:tcW w:w="1276" w:type="dxa"/>
            <w:noWrap w:val="0"/>
            <w:vAlign w:val="top"/>
          </w:tcPr>
          <w:p w14:paraId="4CE8295A">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r>
      <w:tr w14:paraId="049F5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719" w:type="dxa"/>
            <w:vMerge w:val="restart"/>
            <w:noWrap w:val="0"/>
            <w:vAlign w:val="center"/>
          </w:tcPr>
          <w:p w14:paraId="3CA98A72">
            <w:pPr>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污染物排放量</w:t>
            </w:r>
          </w:p>
        </w:tc>
        <w:tc>
          <w:tcPr>
            <w:tcW w:w="5527" w:type="dxa"/>
            <w:noWrap w:val="0"/>
            <w:vAlign w:val="center"/>
          </w:tcPr>
          <w:p w14:paraId="7A32E4D5">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310" w:lineRule="atLeast"/>
              <w:ind w:left="0" w:leftChars="0" w:right="0" w:rightChars="0" w:firstLine="420" w:firstLineChars="200"/>
              <w:jc w:val="both"/>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不足10吨</w:t>
            </w:r>
          </w:p>
        </w:tc>
        <w:tc>
          <w:tcPr>
            <w:tcW w:w="1276" w:type="dxa"/>
            <w:noWrap w:val="0"/>
            <w:vAlign w:val="top"/>
          </w:tcPr>
          <w:p w14:paraId="0FE8208B">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r>
      <w:tr w14:paraId="6F6DB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719" w:type="dxa"/>
            <w:vMerge w:val="continue"/>
            <w:noWrap w:val="0"/>
            <w:vAlign w:val="center"/>
          </w:tcPr>
          <w:p w14:paraId="53C1B86E">
            <w:pPr>
              <w:jc w:val="center"/>
              <w:rPr>
                <w:rFonts w:hint="eastAsia" w:ascii="宋体" w:hAnsi="宋体" w:eastAsia="宋体" w:cs="宋体"/>
                <w:color w:val="auto"/>
                <w:sz w:val="21"/>
                <w:szCs w:val="21"/>
                <w:highlight w:val="none"/>
              </w:rPr>
            </w:pPr>
          </w:p>
        </w:tc>
        <w:tc>
          <w:tcPr>
            <w:tcW w:w="5527" w:type="dxa"/>
            <w:noWrap w:val="0"/>
            <w:vAlign w:val="center"/>
          </w:tcPr>
          <w:p w14:paraId="4D03E15D">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310" w:lineRule="atLeast"/>
              <w:ind w:left="0" w:leftChars="0" w:right="0" w:rightChars="0" w:firstLine="420" w:firstLineChars="200"/>
              <w:jc w:val="both"/>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lang w:eastAsia="zh-CN"/>
              </w:rPr>
              <w:t>吨以上</w:t>
            </w:r>
            <w:r>
              <w:rPr>
                <w:rFonts w:hint="eastAsia" w:ascii="宋体" w:hAnsi="宋体" w:eastAsia="宋体" w:cs="宋体"/>
                <w:color w:val="auto"/>
                <w:sz w:val="21"/>
                <w:szCs w:val="21"/>
                <w:highlight w:val="none"/>
                <w:lang w:val="en-US" w:eastAsia="zh-CN"/>
              </w:rPr>
              <w:t>不足30</w:t>
            </w:r>
            <w:r>
              <w:rPr>
                <w:rFonts w:hint="eastAsia" w:ascii="宋体" w:hAnsi="宋体" w:eastAsia="宋体" w:cs="宋体"/>
                <w:color w:val="auto"/>
                <w:sz w:val="21"/>
                <w:szCs w:val="21"/>
                <w:highlight w:val="none"/>
                <w:lang w:eastAsia="zh-CN"/>
              </w:rPr>
              <w:t>吨</w:t>
            </w:r>
          </w:p>
        </w:tc>
        <w:tc>
          <w:tcPr>
            <w:tcW w:w="1276" w:type="dxa"/>
            <w:noWrap w:val="0"/>
            <w:vAlign w:val="top"/>
          </w:tcPr>
          <w:p w14:paraId="415BA71D">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r>
      <w:tr w14:paraId="43955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719" w:type="dxa"/>
            <w:vMerge w:val="continue"/>
            <w:noWrap w:val="0"/>
            <w:vAlign w:val="center"/>
          </w:tcPr>
          <w:p w14:paraId="45EE5223">
            <w:pPr>
              <w:jc w:val="center"/>
              <w:rPr>
                <w:rFonts w:hint="eastAsia" w:ascii="宋体" w:hAnsi="宋体" w:eastAsia="宋体" w:cs="宋体"/>
                <w:color w:val="auto"/>
                <w:sz w:val="21"/>
                <w:szCs w:val="21"/>
                <w:highlight w:val="none"/>
              </w:rPr>
            </w:pPr>
          </w:p>
        </w:tc>
        <w:tc>
          <w:tcPr>
            <w:tcW w:w="5527" w:type="dxa"/>
            <w:noWrap w:val="0"/>
            <w:vAlign w:val="center"/>
          </w:tcPr>
          <w:p w14:paraId="4D5BB6D2">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310" w:lineRule="atLeast"/>
              <w:ind w:left="0" w:leftChars="0" w:right="0" w:rightChars="0" w:firstLine="420" w:firstLineChars="200"/>
              <w:jc w:val="both"/>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30</w:t>
            </w:r>
            <w:r>
              <w:rPr>
                <w:rFonts w:hint="eastAsia" w:ascii="宋体" w:hAnsi="宋体" w:eastAsia="宋体" w:cs="宋体"/>
                <w:color w:val="auto"/>
                <w:sz w:val="21"/>
                <w:szCs w:val="21"/>
                <w:highlight w:val="none"/>
                <w:lang w:eastAsia="zh-CN"/>
              </w:rPr>
              <w:t>吨以上</w:t>
            </w:r>
            <w:r>
              <w:rPr>
                <w:rFonts w:hint="eastAsia" w:ascii="宋体" w:hAnsi="宋体" w:eastAsia="宋体" w:cs="宋体"/>
                <w:color w:val="auto"/>
                <w:sz w:val="21"/>
                <w:szCs w:val="21"/>
                <w:highlight w:val="none"/>
                <w:lang w:val="en-US" w:eastAsia="zh-CN"/>
              </w:rPr>
              <w:t>不足5</w:t>
            </w:r>
            <w:r>
              <w:rPr>
                <w:rFonts w:hint="eastAsia" w:ascii="宋体" w:hAnsi="宋体" w:eastAsia="宋体" w:cs="宋体"/>
                <w:color w:val="auto"/>
                <w:sz w:val="21"/>
                <w:szCs w:val="21"/>
                <w:highlight w:val="none"/>
                <w:lang w:eastAsia="zh-CN"/>
              </w:rPr>
              <w:t>0吨</w:t>
            </w:r>
          </w:p>
        </w:tc>
        <w:tc>
          <w:tcPr>
            <w:tcW w:w="1276" w:type="dxa"/>
            <w:noWrap w:val="0"/>
            <w:vAlign w:val="top"/>
          </w:tcPr>
          <w:p w14:paraId="75830BB8">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r>
      <w:tr w14:paraId="34027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719" w:type="dxa"/>
            <w:vMerge w:val="continue"/>
            <w:noWrap w:val="0"/>
            <w:vAlign w:val="center"/>
          </w:tcPr>
          <w:p w14:paraId="02632A9E">
            <w:pPr>
              <w:jc w:val="center"/>
              <w:rPr>
                <w:rFonts w:hint="eastAsia" w:ascii="宋体" w:hAnsi="宋体" w:eastAsia="宋体" w:cs="宋体"/>
                <w:color w:val="auto"/>
                <w:sz w:val="21"/>
                <w:szCs w:val="21"/>
                <w:highlight w:val="none"/>
              </w:rPr>
            </w:pPr>
          </w:p>
        </w:tc>
        <w:tc>
          <w:tcPr>
            <w:tcW w:w="5527" w:type="dxa"/>
            <w:noWrap w:val="0"/>
            <w:vAlign w:val="center"/>
          </w:tcPr>
          <w:p w14:paraId="20AE1F10">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310" w:lineRule="atLeast"/>
              <w:ind w:left="0" w:leftChars="0" w:right="0" w:rightChars="0" w:firstLine="420" w:firstLineChars="200"/>
              <w:jc w:val="both"/>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50</w:t>
            </w:r>
            <w:r>
              <w:rPr>
                <w:rFonts w:hint="eastAsia" w:ascii="宋体" w:hAnsi="宋体" w:eastAsia="宋体" w:cs="宋体"/>
                <w:color w:val="auto"/>
                <w:sz w:val="21"/>
                <w:szCs w:val="21"/>
                <w:highlight w:val="none"/>
                <w:lang w:eastAsia="zh-CN"/>
              </w:rPr>
              <w:t>吨以上</w:t>
            </w:r>
            <w:r>
              <w:rPr>
                <w:rFonts w:hint="eastAsia" w:ascii="宋体" w:hAnsi="宋体" w:eastAsia="宋体" w:cs="宋体"/>
                <w:color w:val="auto"/>
                <w:sz w:val="21"/>
                <w:szCs w:val="21"/>
                <w:highlight w:val="none"/>
                <w:lang w:val="en-US" w:eastAsia="zh-CN"/>
              </w:rPr>
              <w:t>不足100</w:t>
            </w:r>
            <w:r>
              <w:rPr>
                <w:rFonts w:hint="eastAsia" w:ascii="宋体" w:hAnsi="宋体" w:eastAsia="宋体" w:cs="宋体"/>
                <w:color w:val="auto"/>
                <w:sz w:val="21"/>
                <w:szCs w:val="21"/>
                <w:highlight w:val="none"/>
                <w:lang w:eastAsia="zh-CN"/>
              </w:rPr>
              <w:t>吨</w:t>
            </w:r>
          </w:p>
        </w:tc>
        <w:tc>
          <w:tcPr>
            <w:tcW w:w="1276" w:type="dxa"/>
            <w:noWrap w:val="0"/>
            <w:vAlign w:val="top"/>
          </w:tcPr>
          <w:p w14:paraId="6BFC8ED0">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r>
      <w:tr w14:paraId="7641D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719" w:type="dxa"/>
            <w:vMerge w:val="continue"/>
            <w:noWrap w:val="0"/>
            <w:vAlign w:val="center"/>
          </w:tcPr>
          <w:p w14:paraId="3B47F0A1">
            <w:pPr>
              <w:jc w:val="center"/>
              <w:rPr>
                <w:rFonts w:hint="eastAsia" w:ascii="宋体" w:hAnsi="宋体" w:eastAsia="宋体" w:cs="宋体"/>
                <w:color w:val="auto"/>
                <w:sz w:val="21"/>
                <w:szCs w:val="21"/>
                <w:highlight w:val="none"/>
              </w:rPr>
            </w:pPr>
          </w:p>
        </w:tc>
        <w:tc>
          <w:tcPr>
            <w:tcW w:w="5527" w:type="dxa"/>
            <w:noWrap w:val="0"/>
            <w:vAlign w:val="center"/>
          </w:tcPr>
          <w:p w14:paraId="1EC2BEBC">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310" w:lineRule="atLeast"/>
              <w:ind w:left="0" w:leftChars="0" w:right="0" w:rightChars="0" w:firstLine="420" w:firstLineChars="200"/>
              <w:jc w:val="both"/>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100</w:t>
            </w:r>
            <w:r>
              <w:rPr>
                <w:rFonts w:hint="eastAsia" w:ascii="宋体" w:hAnsi="宋体" w:eastAsia="宋体" w:cs="宋体"/>
                <w:color w:val="auto"/>
                <w:sz w:val="21"/>
                <w:szCs w:val="21"/>
                <w:highlight w:val="none"/>
                <w:lang w:eastAsia="zh-CN"/>
              </w:rPr>
              <w:t>吨以上</w:t>
            </w:r>
          </w:p>
        </w:tc>
        <w:tc>
          <w:tcPr>
            <w:tcW w:w="1276" w:type="dxa"/>
            <w:noWrap w:val="0"/>
            <w:vAlign w:val="top"/>
          </w:tcPr>
          <w:p w14:paraId="72281D90">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r>
    </w:tbl>
    <w:p w14:paraId="42EEE684">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96"/>
        <w:gridCol w:w="5523"/>
        <w:gridCol w:w="1629"/>
      </w:tblGrid>
      <w:tr w14:paraId="7E55A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48" w:type="dxa"/>
            <w:gridSpan w:val="3"/>
            <w:noWrap w:val="0"/>
            <w:vAlign w:val="top"/>
          </w:tcPr>
          <w:p w14:paraId="3B3D89D5">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w:t>
            </w:r>
            <w:r>
              <w:rPr>
                <w:rFonts w:hint="eastAsia" w:ascii="宋体" w:hAnsi="宋体" w:eastAsia="宋体" w:cs="宋体"/>
                <w:bCs/>
                <w:color w:val="auto"/>
                <w:sz w:val="21"/>
                <w:szCs w:val="21"/>
                <w:highlight w:val="none"/>
                <w:lang w:val="en-US" w:eastAsia="zh-CN"/>
              </w:rPr>
              <w:t>五</w:t>
            </w:r>
            <w:r>
              <w:rPr>
                <w:rFonts w:hint="eastAsia" w:ascii="宋体" w:hAnsi="宋体" w:eastAsia="宋体" w:cs="宋体"/>
                <w:bCs/>
                <w:color w:val="auto"/>
                <w:sz w:val="21"/>
                <w:szCs w:val="21"/>
                <w:highlight w:val="none"/>
              </w:rPr>
              <w:t>）水污染防治类</w:t>
            </w:r>
          </w:p>
        </w:tc>
      </w:tr>
      <w:tr w14:paraId="2D10B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6" w:type="dxa"/>
            <w:noWrap w:val="0"/>
            <w:vAlign w:val="center"/>
          </w:tcPr>
          <w:p w14:paraId="7C6C56E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7152" w:type="dxa"/>
            <w:gridSpan w:val="2"/>
            <w:noWrap w:val="0"/>
            <w:vAlign w:val="top"/>
          </w:tcPr>
          <w:p w14:paraId="562F8525">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13</w:t>
            </w:r>
          </w:p>
        </w:tc>
      </w:tr>
      <w:tr w14:paraId="1595C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6" w:type="dxa"/>
            <w:noWrap w:val="0"/>
            <w:vAlign w:val="center"/>
          </w:tcPr>
          <w:p w14:paraId="2FA1A30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w:t>
            </w:r>
            <w:bookmarkStart w:id="20" w:name="_Hlk56182097"/>
            <w:r>
              <w:rPr>
                <w:rFonts w:hint="eastAsia" w:ascii="宋体" w:hAnsi="宋体" w:eastAsia="宋体" w:cs="宋体"/>
                <w:color w:val="auto"/>
                <w:sz w:val="21"/>
                <w:szCs w:val="21"/>
                <w:highlight w:val="none"/>
              </w:rPr>
              <w:t>为</w:t>
            </w:r>
          </w:p>
          <w:bookmarkEnd w:id="20"/>
        </w:tc>
        <w:tc>
          <w:tcPr>
            <w:tcW w:w="7152" w:type="dxa"/>
            <w:gridSpan w:val="2"/>
            <w:noWrap w:val="0"/>
            <w:vAlign w:val="center"/>
          </w:tcPr>
          <w:p w14:paraId="69F58F65">
            <w:pPr>
              <w:keepNext w:val="0"/>
              <w:keepLines w:val="0"/>
              <w:pageBreakBefore w:val="0"/>
              <w:widowControl w:val="0"/>
              <w:kinsoku/>
              <w:wordWrap/>
              <w:overflowPunct/>
              <w:topLinePunct w:val="0"/>
              <w:bidi w:val="0"/>
              <w:adjustRightInd w:val="0"/>
              <w:snapToGri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向污水集中处理设施排放不符合处理工艺要求的工业废水的</w:t>
            </w:r>
          </w:p>
        </w:tc>
      </w:tr>
      <w:tr w14:paraId="4B21E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6" w:type="dxa"/>
            <w:noWrap w:val="0"/>
            <w:vAlign w:val="center"/>
          </w:tcPr>
          <w:p w14:paraId="0D0A0A1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7152" w:type="dxa"/>
            <w:gridSpan w:val="2"/>
            <w:noWrap w:val="0"/>
            <w:vAlign w:val="top"/>
          </w:tcPr>
          <w:p w14:paraId="27BC93AC">
            <w:pPr>
              <w:keepNext w:val="0"/>
              <w:keepLines w:val="0"/>
              <w:pageBreakBefore w:val="0"/>
              <w:widowControl w:val="0"/>
              <w:kinsoku/>
              <w:wordWrap/>
              <w:overflowPunct/>
              <w:topLinePunct w:val="0"/>
              <w:bidi w:val="0"/>
              <w:adjustRightInd w:val="0"/>
              <w:snapToGrid w:val="0"/>
              <w:ind w:firstLine="420" w:firstLineChars="200"/>
              <w:rPr>
                <w:rFonts w:hint="eastAsia" w:ascii="宋体" w:hAnsi="宋体" w:eastAsia="宋体" w:cs="宋体"/>
                <w:color w:val="auto"/>
                <w:sz w:val="21"/>
                <w:szCs w:val="21"/>
                <w:highlight w:val="none"/>
                <w:lang w:eastAsia="zh-TW"/>
              </w:rPr>
            </w:pPr>
            <w:r>
              <w:rPr>
                <w:rFonts w:hint="eastAsia" w:ascii="宋体" w:hAnsi="宋体" w:eastAsia="宋体" w:cs="宋体"/>
                <w:color w:val="auto"/>
                <w:sz w:val="21"/>
                <w:szCs w:val="21"/>
                <w:highlight w:val="none"/>
                <w:lang w:eastAsia="zh-TW"/>
              </w:rPr>
              <w:t>《中华人民共和国生态环境法典》第二百九十八条第三款   向污水集中处理设施排放工业废水的，应当按照国家规定进行预处理，达到集中处理设施处理工艺要求后，方可排放。</w:t>
            </w:r>
          </w:p>
        </w:tc>
      </w:tr>
      <w:tr w14:paraId="4B72B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6" w:type="dxa"/>
            <w:noWrap w:val="0"/>
            <w:vAlign w:val="center"/>
          </w:tcPr>
          <w:p w14:paraId="3F8C3A7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7152" w:type="dxa"/>
            <w:gridSpan w:val="2"/>
            <w:noWrap w:val="0"/>
            <w:vAlign w:val="top"/>
          </w:tcPr>
          <w:p w14:paraId="43C1F08F">
            <w:pPr>
              <w:keepNext w:val="0"/>
              <w:keepLines w:val="0"/>
              <w:pageBreakBefore w:val="0"/>
              <w:widowControl w:val="0"/>
              <w:kinsoku/>
              <w:wordWrap/>
              <w:overflowPunct/>
              <w:topLinePunct w:val="0"/>
              <w:bidi w:val="0"/>
              <w:adjustRightInd w:val="0"/>
              <w:snapToGrid w:val="0"/>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《中华人民共和国生态环境法典》第一千一百四十条  违反本法规定，向污水集中处理设施排放不符合处理工艺要求的工业废水的，由生态环境主管部门责令改正或者责令限制生产、停产整治，处十万元以上一百万元以下的罚款</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w:t>
            </w:r>
          </w:p>
        </w:tc>
      </w:tr>
      <w:tr w14:paraId="36B12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6" w:type="dxa"/>
            <w:noWrap w:val="0"/>
            <w:vAlign w:val="center"/>
          </w:tcPr>
          <w:p w14:paraId="4BDC144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523" w:type="dxa"/>
            <w:noWrap w:val="0"/>
            <w:vAlign w:val="top"/>
          </w:tcPr>
          <w:p w14:paraId="619D9B05">
            <w:pPr>
              <w:keepNext w:val="0"/>
              <w:keepLines w:val="0"/>
              <w:pageBreakBefore w:val="0"/>
              <w:widowControl w:val="0"/>
              <w:kinsoku/>
              <w:wordWrap/>
              <w:overflowPunct/>
              <w:topLinePunct w:val="0"/>
              <w:bidi w:val="0"/>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629" w:type="dxa"/>
            <w:noWrap w:val="0"/>
            <w:vAlign w:val="top"/>
          </w:tcPr>
          <w:p w14:paraId="7543BECE">
            <w:pPr>
              <w:keepNext w:val="0"/>
              <w:keepLines w:val="0"/>
              <w:pageBreakBefore w:val="0"/>
              <w:widowControl w:val="0"/>
              <w:kinsoku/>
              <w:wordWrap/>
              <w:overflowPunct/>
              <w:topLinePunct w:val="0"/>
              <w:bidi w:val="0"/>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3EAAE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6" w:type="dxa"/>
            <w:vMerge w:val="restart"/>
            <w:noWrap w:val="0"/>
            <w:vAlign w:val="center"/>
          </w:tcPr>
          <w:p w14:paraId="5F247D68">
            <w:pPr>
              <w:pStyle w:val="11"/>
              <w:keepNext w:val="0"/>
              <w:keepLines w:val="0"/>
              <w:pageBreakBefore w:val="0"/>
              <w:widowControl w:val="0"/>
              <w:shd w:val="clear" w:color="auto" w:fill="auto"/>
              <w:kinsoku/>
              <w:wordWrap/>
              <w:overflowPunct/>
              <w:topLinePunct w:val="0"/>
              <w:autoSpaceDE w:val="0"/>
              <w:autoSpaceDN w:val="0"/>
              <w:bidi w:val="0"/>
              <w:adjustRightInd w:val="0"/>
              <w:snapToGrid w:val="0"/>
              <w:ind w:left="0" w:leftChars="0" w:right="0" w:rightChars="0" w:firstLine="0" w:firstLine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废水类别</w:t>
            </w:r>
          </w:p>
        </w:tc>
        <w:tc>
          <w:tcPr>
            <w:tcW w:w="5523" w:type="dxa"/>
            <w:noWrap w:val="0"/>
            <w:vAlign w:val="top"/>
          </w:tcPr>
          <w:p w14:paraId="046F5867">
            <w:pPr>
              <w:pStyle w:val="11"/>
              <w:keepNext w:val="0"/>
              <w:keepLines w:val="0"/>
              <w:pageBreakBefore w:val="0"/>
              <w:widowControl w:val="0"/>
              <w:shd w:val="clear" w:color="auto" w:fill="auto"/>
              <w:kinsoku/>
              <w:wordWrap/>
              <w:overflowPunct/>
              <w:topLinePunct w:val="0"/>
              <w:autoSpaceDE w:val="0"/>
              <w:autoSpaceDN w:val="0"/>
              <w:bidi w:val="0"/>
              <w:adjustRightInd w:val="0"/>
              <w:snapToGrid w:val="0"/>
              <w:ind w:left="0" w:leftChars="0" w:right="0" w:rightChars="0" w:firstLine="420" w:firstLineChars="20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一般工业废水</w:t>
            </w:r>
          </w:p>
        </w:tc>
        <w:tc>
          <w:tcPr>
            <w:tcW w:w="1629" w:type="dxa"/>
            <w:noWrap w:val="0"/>
            <w:vAlign w:val="center"/>
          </w:tcPr>
          <w:p w14:paraId="711294EF">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w:t>
            </w:r>
          </w:p>
        </w:tc>
      </w:tr>
      <w:tr w14:paraId="4D519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6" w:type="dxa"/>
            <w:vMerge w:val="continue"/>
            <w:noWrap w:val="0"/>
            <w:vAlign w:val="center"/>
          </w:tcPr>
          <w:p w14:paraId="410838E3">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p>
        </w:tc>
        <w:tc>
          <w:tcPr>
            <w:tcW w:w="5523" w:type="dxa"/>
            <w:noWrap w:val="0"/>
            <w:vAlign w:val="top"/>
          </w:tcPr>
          <w:p w14:paraId="56F5B721">
            <w:pPr>
              <w:pStyle w:val="11"/>
              <w:keepNext w:val="0"/>
              <w:keepLines w:val="0"/>
              <w:pageBreakBefore w:val="0"/>
              <w:widowControl w:val="0"/>
              <w:shd w:val="clear" w:color="auto" w:fill="auto"/>
              <w:kinsoku/>
              <w:wordWrap/>
              <w:overflowPunct/>
              <w:topLinePunct w:val="0"/>
              <w:autoSpaceDE w:val="0"/>
              <w:autoSpaceDN w:val="0"/>
              <w:bidi w:val="0"/>
              <w:adjustRightInd w:val="0"/>
              <w:snapToGrid w:val="0"/>
              <w:ind w:left="0" w:leftChars="0" w:right="0" w:rightChars="0" w:firstLine="420" w:firstLineChars="20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含其他有毒有害物质的废水</w:t>
            </w:r>
          </w:p>
        </w:tc>
        <w:tc>
          <w:tcPr>
            <w:tcW w:w="1629" w:type="dxa"/>
            <w:noWrap w:val="0"/>
            <w:vAlign w:val="center"/>
          </w:tcPr>
          <w:p w14:paraId="70E21AA7">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1"/>
                <w:sz w:val="21"/>
                <w:szCs w:val="21"/>
                <w:highlight w:val="none"/>
                <w:lang w:val="en-US" w:eastAsia="zh-CN"/>
              </w:rPr>
              <w:t>3</w:t>
            </w:r>
          </w:p>
        </w:tc>
      </w:tr>
      <w:tr w14:paraId="0082B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6" w:type="dxa"/>
            <w:vMerge w:val="continue"/>
            <w:noWrap w:val="0"/>
            <w:vAlign w:val="center"/>
          </w:tcPr>
          <w:p w14:paraId="7FB4E221">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p>
        </w:tc>
        <w:tc>
          <w:tcPr>
            <w:tcW w:w="5523" w:type="dxa"/>
            <w:noWrap w:val="0"/>
            <w:vAlign w:val="top"/>
          </w:tcPr>
          <w:p w14:paraId="54881FE0">
            <w:pPr>
              <w:pStyle w:val="11"/>
              <w:keepNext w:val="0"/>
              <w:keepLines w:val="0"/>
              <w:pageBreakBefore w:val="0"/>
              <w:widowControl w:val="0"/>
              <w:shd w:val="clear" w:color="auto" w:fill="auto"/>
              <w:kinsoku/>
              <w:wordWrap/>
              <w:overflowPunct/>
              <w:topLinePunct w:val="0"/>
              <w:autoSpaceDE w:val="0"/>
              <w:autoSpaceDN w:val="0"/>
              <w:bidi w:val="0"/>
              <w:adjustRightInd w:val="0"/>
              <w:snapToGrid w:val="0"/>
              <w:ind w:left="0" w:leftChars="0" w:right="0" w:rightChars="0" w:firstLine="420" w:firstLineChars="20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含一类污染物或重金属、病原体、放射性物质的</w:t>
            </w:r>
            <w:r>
              <w:rPr>
                <w:rFonts w:hint="eastAsia" w:ascii="宋体" w:hAnsi="宋体" w:eastAsia="宋体" w:cs="宋体"/>
                <w:color w:val="auto"/>
                <w:spacing w:val="5"/>
                <w:sz w:val="21"/>
                <w:szCs w:val="21"/>
                <w:highlight w:val="none"/>
                <w:lang w:eastAsia="zh-CN"/>
              </w:rPr>
              <w:t>废水</w:t>
            </w:r>
          </w:p>
        </w:tc>
        <w:tc>
          <w:tcPr>
            <w:tcW w:w="1629" w:type="dxa"/>
            <w:noWrap w:val="0"/>
            <w:vAlign w:val="center"/>
          </w:tcPr>
          <w:p w14:paraId="169E8E99">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49EC8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796" w:type="dxa"/>
            <w:vMerge w:val="restart"/>
            <w:noWrap w:val="0"/>
            <w:vAlign w:val="center"/>
          </w:tcPr>
          <w:p w14:paraId="6DDB41B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超标</w:t>
            </w:r>
            <w:r>
              <w:rPr>
                <w:rFonts w:hint="eastAsia" w:ascii="宋体" w:hAnsi="宋体" w:cs="宋体"/>
                <w:color w:val="auto"/>
                <w:sz w:val="21"/>
                <w:szCs w:val="21"/>
                <w:highlight w:val="none"/>
                <w:lang w:val="en-US" w:eastAsia="zh-CN"/>
              </w:rPr>
              <w:t>状况</w:t>
            </w:r>
          </w:p>
        </w:tc>
        <w:tc>
          <w:tcPr>
            <w:tcW w:w="5523" w:type="dxa"/>
            <w:noWrap w:val="0"/>
            <w:vAlign w:val="center"/>
          </w:tcPr>
          <w:p w14:paraId="45905618">
            <w:pPr>
              <w:keepNext w:val="0"/>
              <w:keepLines w:val="0"/>
              <w:pageBreakBefore w:val="0"/>
              <w:widowControl w:val="0"/>
              <w:kinsoku/>
              <w:wordWrap/>
              <w:overflowPunct/>
              <w:topLinePunct w:val="0"/>
              <w:bidi w:val="0"/>
              <w:adjustRightInd w:val="0"/>
              <w:snapToGri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一般工业废水超标不足3倍/含其他有毒有害物质的废水、含一类污染物、重金属、病原体、放射性物质的废水超标不足0.5倍/pH值9.5-10.5或pH值5-6.5</w:t>
            </w:r>
          </w:p>
        </w:tc>
        <w:tc>
          <w:tcPr>
            <w:tcW w:w="1629" w:type="dxa"/>
            <w:noWrap w:val="0"/>
            <w:vAlign w:val="center"/>
          </w:tcPr>
          <w:p w14:paraId="1BCA0B70">
            <w:pPr>
              <w:keepNext w:val="0"/>
              <w:keepLines w:val="0"/>
              <w:pageBreakBefore w:val="0"/>
              <w:widowControl w:val="0"/>
              <w:kinsoku/>
              <w:wordWrap/>
              <w:overflowPunct/>
              <w:topLinePunct w:val="0"/>
              <w:bidi w:val="0"/>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4FDA5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796" w:type="dxa"/>
            <w:vMerge w:val="continue"/>
            <w:noWrap w:val="0"/>
            <w:vAlign w:val="center"/>
          </w:tcPr>
          <w:p w14:paraId="027BA5E0">
            <w:pPr>
              <w:jc w:val="center"/>
              <w:rPr>
                <w:rFonts w:hint="eastAsia" w:ascii="宋体" w:hAnsi="宋体" w:eastAsia="宋体" w:cs="宋体"/>
                <w:color w:val="auto"/>
                <w:sz w:val="21"/>
                <w:szCs w:val="21"/>
                <w:highlight w:val="none"/>
              </w:rPr>
            </w:pPr>
          </w:p>
        </w:tc>
        <w:tc>
          <w:tcPr>
            <w:tcW w:w="5523" w:type="dxa"/>
            <w:noWrap w:val="0"/>
            <w:vAlign w:val="center"/>
          </w:tcPr>
          <w:p w14:paraId="1FAB93C5">
            <w:pPr>
              <w:keepNext w:val="0"/>
              <w:keepLines w:val="0"/>
              <w:pageBreakBefore w:val="0"/>
              <w:widowControl w:val="0"/>
              <w:kinsoku/>
              <w:wordWrap/>
              <w:overflowPunct/>
              <w:topLinePunct w:val="0"/>
              <w:bidi w:val="0"/>
              <w:adjustRightInd w:val="0"/>
              <w:snapToGri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一般工业废水超标3倍以上，不足5倍/含其他有毒有害物质的废水、含一类污染物、重金属、病原体、放射性物质的废水超标0.5倍以上，不足1倍/pH值10.5-11.5或pH值3.5-5</w:t>
            </w:r>
          </w:p>
        </w:tc>
        <w:tc>
          <w:tcPr>
            <w:tcW w:w="1629" w:type="dxa"/>
            <w:noWrap w:val="0"/>
            <w:vAlign w:val="center"/>
          </w:tcPr>
          <w:p w14:paraId="1039E476">
            <w:pPr>
              <w:keepNext w:val="0"/>
              <w:keepLines w:val="0"/>
              <w:pageBreakBefore w:val="0"/>
              <w:widowControl w:val="0"/>
              <w:kinsoku/>
              <w:wordWrap/>
              <w:overflowPunct/>
              <w:topLinePunct w:val="0"/>
              <w:bidi w:val="0"/>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r>
      <w:tr w14:paraId="1CE4D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796" w:type="dxa"/>
            <w:vMerge w:val="continue"/>
            <w:noWrap w:val="0"/>
            <w:vAlign w:val="center"/>
          </w:tcPr>
          <w:p w14:paraId="441D1FD1">
            <w:pPr>
              <w:jc w:val="center"/>
              <w:rPr>
                <w:rFonts w:hint="eastAsia" w:ascii="宋体" w:hAnsi="宋体" w:eastAsia="宋体" w:cs="宋体"/>
                <w:color w:val="auto"/>
                <w:sz w:val="21"/>
                <w:szCs w:val="21"/>
                <w:highlight w:val="none"/>
              </w:rPr>
            </w:pPr>
          </w:p>
        </w:tc>
        <w:tc>
          <w:tcPr>
            <w:tcW w:w="5523" w:type="dxa"/>
            <w:noWrap w:val="0"/>
            <w:vAlign w:val="center"/>
          </w:tcPr>
          <w:p w14:paraId="435826A7">
            <w:pPr>
              <w:keepNext w:val="0"/>
              <w:keepLines w:val="0"/>
              <w:pageBreakBefore w:val="0"/>
              <w:widowControl w:val="0"/>
              <w:kinsoku/>
              <w:wordWrap/>
              <w:overflowPunct/>
              <w:topLinePunct w:val="0"/>
              <w:bidi w:val="0"/>
              <w:adjustRightInd w:val="0"/>
              <w:snapToGri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一般工业废水超标5倍以上，不足30倍/含其他有毒有害物质的废水、含一类污染物、重金属、病原体、放射性物质的废水超标1倍以上，不足2倍/pH值11.5-12.5或pH值2-3.5</w:t>
            </w:r>
          </w:p>
        </w:tc>
        <w:tc>
          <w:tcPr>
            <w:tcW w:w="1629" w:type="dxa"/>
            <w:noWrap w:val="0"/>
            <w:vAlign w:val="center"/>
          </w:tcPr>
          <w:p w14:paraId="566DBC2B">
            <w:pPr>
              <w:keepNext w:val="0"/>
              <w:keepLines w:val="0"/>
              <w:pageBreakBefore w:val="0"/>
              <w:widowControl w:val="0"/>
              <w:kinsoku/>
              <w:wordWrap/>
              <w:overflowPunct/>
              <w:topLinePunct w:val="0"/>
              <w:bidi w:val="0"/>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4C33A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796" w:type="dxa"/>
            <w:vMerge w:val="continue"/>
            <w:noWrap w:val="0"/>
            <w:vAlign w:val="center"/>
          </w:tcPr>
          <w:p w14:paraId="450A96B0">
            <w:pPr>
              <w:jc w:val="center"/>
              <w:rPr>
                <w:rFonts w:hint="eastAsia" w:ascii="宋体" w:hAnsi="宋体" w:eastAsia="宋体" w:cs="宋体"/>
                <w:color w:val="auto"/>
                <w:sz w:val="21"/>
                <w:szCs w:val="21"/>
                <w:highlight w:val="none"/>
              </w:rPr>
            </w:pPr>
          </w:p>
        </w:tc>
        <w:tc>
          <w:tcPr>
            <w:tcW w:w="5523" w:type="dxa"/>
            <w:noWrap w:val="0"/>
            <w:vAlign w:val="center"/>
          </w:tcPr>
          <w:p w14:paraId="78B31D1A">
            <w:pPr>
              <w:keepNext w:val="0"/>
              <w:keepLines w:val="0"/>
              <w:pageBreakBefore w:val="0"/>
              <w:widowControl w:val="0"/>
              <w:kinsoku/>
              <w:wordWrap/>
              <w:overflowPunct/>
              <w:topLinePunct w:val="0"/>
              <w:bidi w:val="0"/>
              <w:adjustRightInd w:val="0"/>
              <w:snapToGri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一般工业废水超标30倍以上，不足100倍/含其他有毒有害物质的废水、含一类污染物、重金属、病原体、放射性物质的废水超标2倍以上，不足3倍</w:t>
            </w:r>
          </w:p>
        </w:tc>
        <w:tc>
          <w:tcPr>
            <w:tcW w:w="1629" w:type="dxa"/>
            <w:noWrap w:val="0"/>
            <w:vAlign w:val="center"/>
          </w:tcPr>
          <w:p w14:paraId="3198A11C">
            <w:pPr>
              <w:keepNext w:val="0"/>
              <w:keepLines w:val="0"/>
              <w:pageBreakBefore w:val="0"/>
              <w:widowControl w:val="0"/>
              <w:kinsoku/>
              <w:wordWrap/>
              <w:overflowPunct/>
              <w:topLinePunct w:val="0"/>
              <w:bidi w:val="0"/>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r>
      <w:tr w14:paraId="0B43D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796" w:type="dxa"/>
            <w:vMerge w:val="continue"/>
            <w:noWrap w:val="0"/>
            <w:vAlign w:val="center"/>
          </w:tcPr>
          <w:p w14:paraId="4D0CD5F5">
            <w:pPr>
              <w:jc w:val="center"/>
              <w:rPr>
                <w:rFonts w:hint="eastAsia" w:ascii="宋体" w:hAnsi="宋体" w:eastAsia="宋体" w:cs="宋体"/>
                <w:color w:val="auto"/>
                <w:sz w:val="21"/>
                <w:szCs w:val="21"/>
                <w:highlight w:val="none"/>
              </w:rPr>
            </w:pPr>
          </w:p>
        </w:tc>
        <w:tc>
          <w:tcPr>
            <w:tcW w:w="5523" w:type="dxa"/>
            <w:noWrap w:val="0"/>
            <w:vAlign w:val="center"/>
          </w:tcPr>
          <w:p w14:paraId="35A450C7">
            <w:pPr>
              <w:keepNext w:val="0"/>
              <w:keepLines w:val="0"/>
              <w:pageBreakBefore w:val="0"/>
              <w:widowControl w:val="0"/>
              <w:kinsoku/>
              <w:wordWrap/>
              <w:overflowPunct/>
              <w:topLinePunct w:val="0"/>
              <w:bidi w:val="0"/>
              <w:adjustRightInd w:val="0"/>
              <w:snapToGri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一般工业废水超标100倍以上/含其他有毒有害物质的废水、含一类污染物、重金属、病原体、放射性物质的废水超标3倍以上/pH值12.5以上或pH值不足2</w:t>
            </w:r>
          </w:p>
        </w:tc>
        <w:tc>
          <w:tcPr>
            <w:tcW w:w="1629" w:type="dxa"/>
            <w:noWrap w:val="0"/>
            <w:vAlign w:val="center"/>
          </w:tcPr>
          <w:p w14:paraId="3773324C">
            <w:pPr>
              <w:keepNext w:val="0"/>
              <w:keepLines w:val="0"/>
              <w:pageBreakBefore w:val="0"/>
              <w:widowControl w:val="0"/>
              <w:kinsoku/>
              <w:wordWrap/>
              <w:overflowPunct/>
              <w:topLinePunct w:val="0"/>
              <w:bidi w:val="0"/>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0B50E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796" w:type="dxa"/>
            <w:vMerge w:val="restart"/>
            <w:noWrap w:val="0"/>
            <w:vAlign w:val="center"/>
          </w:tcPr>
          <w:p w14:paraId="44F7B9DE">
            <w:pPr>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污染物</w:t>
            </w:r>
            <w:r>
              <w:rPr>
                <w:rFonts w:hint="eastAsia" w:ascii="宋体" w:hAnsi="宋体" w:eastAsia="宋体" w:cs="宋体"/>
                <w:color w:val="auto"/>
                <w:sz w:val="21"/>
                <w:szCs w:val="21"/>
                <w:highlight w:val="none"/>
              </w:rPr>
              <w:t>排放量</w:t>
            </w:r>
          </w:p>
        </w:tc>
        <w:tc>
          <w:tcPr>
            <w:tcW w:w="5523" w:type="dxa"/>
            <w:noWrap w:val="0"/>
            <w:vAlign w:val="top"/>
          </w:tcPr>
          <w:p w14:paraId="27D6AC6F">
            <w:pPr>
              <w:keepNext w:val="0"/>
              <w:keepLines w:val="0"/>
              <w:pageBreakBefore w:val="0"/>
              <w:widowControl w:val="0"/>
              <w:kinsoku/>
              <w:wordWrap/>
              <w:overflowPunct/>
              <w:topLinePunct w:val="0"/>
              <w:bidi w:val="0"/>
              <w:adjustRightInd w:val="0"/>
              <w:snapToGri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不足10吨</w:t>
            </w:r>
          </w:p>
        </w:tc>
        <w:tc>
          <w:tcPr>
            <w:tcW w:w="1629" w:type="dxa"/>
            <w:noWrap w:val="0"/>
            <w:vAlign w:val="center"/>
          </w:tcPr>
          <w:p w14:paraId="0CB0D7B2">
            <w:pPr>
              <w:keepNext w:val="0"/>
              <w:keepLines w:val="0"/>
              <w:pageBreakBefore w:val="0"/>
              <w:widowControl w:val="0"/>
              <w:kinsoku/>
              <w:wordWrap/>
              <w:overflowPunct/>
              <w:topLinePunct w:val="0"/>
              <w:bidi w:val="0"/>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1DBF0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796" w:type="dxa"/>
            <w:vMerge w:val="continue"/>
            <w:noWrap w:val="0"/>
            <w:vAlign w:val="center"/>
          </w:tcPr>
          <w:p w14:paraId="5C68D6F2">
            <w:pPr>
              <w:jc w:val="center"/>
              <w:rPr>
                <w:rFonts w:hint="eastAsia" w:ascii="宋体" w:hAnsi="宋体" w:eastAsia="宋体" w:cs="宋体"/>
                <w:color w:val="auto"/>
                <w:sz w:val="21"/>
                <w:szCs w:val="21"/>
                <w:highlight w:val="none"/>
              </w:rPr>
            </w:pPr>
          </w:p>
        </w:tc>
        <w:tc>
          <w:tcPr>
            <w:tcW w:w="5523" w:type="dxa"/>
            <w:noWrap w:val="0"/>
            <w:vAlign w:val="top"/>
          </w:tcPr>
          <w:p w14:paraId="031AF74A">
            <w:pPr>
              <w:keepNext w:val="0"/>
              <w:keepLines w:val="0"/>
              <w:pageBreakBefore w:val="0"/>
              <w:widowControl w:val="0"/>
              <w:kinsoku/>
              <w:wordWrap/>
              <w:overflowPunct/>
              <w:topLinePunct w:val="0"/>
              <w:bidi w:val="0"/>
              <w:adjustRightInd w:val="0"/>
              <w:snapToGri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10吨以上不足100吨</w:t>
            </w:r>
          </w:p>
        </w:tc>
        <w:tc>
          <w:tcPr>
            <w:tcW w:w="1629" w:type="dxa"/>
            <w:noWrap w:val="0"/>
            <w:vAlign w:val="center"/>
          </w:tcPr>
          <w:p w14:paraId="1E1BBFEE">
            <w:pPr>
              <w:keepNext w:val="0"/>
              <w:keepLines w:val="0"/>
              <w:pageBreakBefore w:val="0"/>
              <w:widowControl w:val="0"/>
              <w:kinsoku/>
              <w:wordWrap/>
              <w:overflowPunct/>
              <w:topLinePunct w:val="0"/>
              <w:bidi w:val="0"/>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r>
      <w:tr w14:paraId="6D6C1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796" w:type="dxa"/>
            <w:vMerge w:val="continue"/>
            <w:noWrap w:val="0"/>
            <w:vAlign w:val="center"/>
          </w:tcPr>
          <w:p w14:paraId="5F75BCA0">
            <w:pPr>
              <w:jc w:val="center"/>
              <w:rPr>
                <w:rFonts w:hint="eastAsia" w:ascii="宋体" w:hAnsi="宋体" w:eastAsia="宋体" w:cs="宋体"/>
                <w:color w:val="auto"/>
                <w:sz w:val="21"/>
                <w:szCs w:val="21"/>
                <w:highlight w:val="none"/>
              </w:rPr>
            </w:pPr>
          </w:p>
        </w:tc>
        <w:tc>
          <w:tcPr>
            <w:tcW w:w="5523" w:type="dxa"/>
            <w:noWrap w:val="0"/>
            <w:vAlign w:val="top"/>
          </w:tcPr>
          <w:p w14:paraId="1B183617">
            <w:pPr>
              <w:keepNext w:val="0"/>
              <w:keepLines w:val="0"/>
              <w:pageBreakBefore w:val="0"/>
              <w:widowControl w:val="0"/>
              <w:kinsoku/>
              <w:wordWrap/>
              <w:overflowPunct/>
              <w:topLinePunct w:val="0"/>
              <w:bidi w:val="0"/>
              <w:adjustRightInd w:val="0"/>
              <w:snapToGri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100吨以上不足500吨</w:t>
            </w:r>
          </w:p>
        </w:tc>
        <w:tc>
          <w:tcPr>
            <w:tcW w:w="1629" w:type="dxa"/>
            <w:noWrap w:val="0"/>
            <w:vAlign w:val="center"/>
          </w:tcPr>
          <w:p w14:paraId="6A6A843B">
            <w:pPr>
              <w:keepNext w:val="0"/>
              <w:keepLines w:val="0"/>
              <w:pageBreakBefore w:val="0"/>
              <w:widowControl w:val="0"/>
              <w:kinsoku/>
              <w:wordWrap/>
              <w:overflowPunct/>
              <w:topLinePunct w:val="0"/>
              <w:bidi w:val="0"/>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50EE7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796" w:type="dxa"/>
            <w:vMerge w:val="continue"/>
            <w:noWrap w:val="0"/>
            <w:vAlign w:val="center"/>
          </w:tcPr>
          <w:p w14:paraId="0BBCED0A">
            <w:pPr>
              <w:jc w:val="center"/>
              <w:rPr>
                <w:rFonts w:hint="eastAsia" w:ascii="宋体" w:hAnsi="宋体" w:eastAsia="宋体" w:cs="宋体"/>
                <w:color w:val="auto"/>
                <w:sz w:val="21"/>
                <w:szCs w:val="21"/>
                <w:highlight w:val="none"/>
              </w:rPr>
            </w:pPr>
          </w:p>
        </w:tc>
        <w:tc>
          <w:tcPr>
            <w:tcW w:w="5523" w:type="dxa"/>
            <w:noWrap w:val="0"/>
            <w:vAlign w:val="top"/>
          </w:tcPr>
          <w:p w14:paraId="3988F352">
            <w:pPr>
              <w:keepNext w:val="0"/>
              <w:keepLines w:val="0"/>
              <w:pageBreakBefore w:val="0"/>
              <w:widowControl w:val="0"/>
              <w:kinsoku/>
              <w:wordWrap/>
              <w:overflowPunct/>
              <w:topLinePunct w:val="0"/>
              <w:bidi w:val="0"/>
              <w:adjustRightInd w:val="0"/>
              <w:snapToGri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500吨以上不足1000吨</w:t>
            </w:r>
          </w:p>
        </w:tc>
        <w:tc>
          <w:tcPr>
            <w:tcW w:w="1629" w:type="dxa"/>
            <w:noWrap w:val="0"/>
            <w:vAlign w:val="center"/>
          </w:tcPr>
          <w:p w14:paraId="1FC97FFB">
            <w:pPr>
              <w:keepNext w:val="0"/>
              <w:keepLines w:val="0"/>
              <w:pageBreakBefore w:val="0"/>
              <w:widowControl w:val="0"/>
              <w:kinsoku/>
              <w:wordWrap/>
              <w:overflowPunct/>
              <w:topLinePunct w:val="0"/>
              <w:bidi w:val="0"/>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r>
      <w:tr w14:paraId="2EE98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796" w:type="dxa"/>
            <w:vMerge w:val="continue"/>
            <w:noWrap w:val="0"/>
            <w:vAlign w:val="center"/>
          </w:tcPr>
          <w:p w14:paraId="353E453E">
            <w:pPr>
              <w:jc w:val="center"/>
              <w:rPr>
                <w:rFonts w:hint="eastAsia" w:ascii="宋体" w:hAnsi="宋体" w:eastAsia="宋体" w:cs="宋体"/>
                <w:color w:val="auto"/>
                <w:sz w:val="21"/>
                <w:szCs w:val="21"/>
                <w:highlight w:val="none"/>
              </w:rPr>
            </w:pPr>
          </w:p>
        </w:tc>
        <w:tc>
          <w:tcPr>
            <w:tcW w:w="5523" w:type="dxa"/>
            <w:noWrap w:val="0"/>
            <w:vAlign w:val="top"/>
          </w:tcPr>
          <w:p w14:paraId="6FBAFA33">
            <w:pPr>
              <w:keepNext w:val="0"/>
              <w:keepLines w:val="0"/>
              <w:pageBreakBefore w:val="0"/>
              <w:widowControl w:val="0"/>
              <w:kinsoku/>
              <w:wordWrap/>
              <w:overflowPunct/>
              <w:topLinePunct w:val="0"/>
              <w:bidi w:val="0"/>
              <w:adjustRightInd w:val="0"/>
              <w:snapToGri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1000吨以上</w:t>
            </w:r>
          </w:p>
        </w:tc>
        <w:tc>
          <w:tcPr>
            <w:tcW w:w="1629" w:type="dxa"/>
            <w:noWrap w:val="0"/>
            <w:vAlign w:val="center"/>
          </w:tcPr>
          <w:p w14:paraId="7263789F">
            <w:pPr>
              <w:keepNext w:val="0"/>
              <w:keepLines w:val="0"/>
              <w:pageBreakBefore w:val="0"/>
              <w:widowControl w:val="0"/>
              <w:kinsoku/>
              <w:wordWrap/>
              <w:overflowPunct/>
              <w:topLinePunct w:val="0"/>
              <w:bidi w:val="0"/>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5AEF3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796" w:type="dxa"/>
            <w:vMerge w:val="restart"/>
            <w:noWrap w:val="0"/>
            <w:vAlign w:val="center"/>
          </w:tcPr>
          <w:p w14:paraId="7638220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环评文件类型</w:t>
            </w:r>
          </w:p>
        </w:tc>
        <w:tc>
          <w:tcPr>
            <w:tcW w:w="5523" w:type="dxa"/>
            <w:noWrap w:val="0"/>
            <w:vAlign w:val="top"/>
          </w:tcPr>
          <w:p w14:paraId="6FB8835B">
            <w:pPr>
              <w:keepNext w:val="0"/>
              <w:keepLines w:val="0"/>
              <w:pageBreakBefore w:val="0"/>
              <w:widowControl w:val="0"/>
              <w:kinsoku/>
              <w:wordWrap/>
              <w:overflowPunct/>
              <w:topLinePunct w:val="0"/>
              <w:bidi w:val="0"/>
              <w:adjustRightInd w:val="0"/>
              <w:snapToGri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报告表</w:t>
            </w:r>
          </w:p>
        </w:tc>
        <w:tc>
          <w:tcPr>
            <w:tcW w:w="1629" w:type="dxa"/>
            <w:noWrap w:val="0"/>
            <w:vAlign w:val="center"/>
          </w:tcPr>
          <w:p w14:paraId="2BA828F4">
            <w:pPr>
              <w:keepNext w:val="0"/>
              <w:keepLines w:val="0"/>
              <w:pageBreakBefore w:val="0"/>
              <w:widowControl w:val="0"/>
              <w:kinsoku/>
              <w:wordWrap/>
              <w:overflowPunct/>
              <w:topLinePunct w:val="0"/>
              <w:bidi w:val="0"/>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1BD7C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796" w:type="dxa"/>
            <w:vMerge w:val="continue"/>
            <w:noWrap w:val="0"/>
            <w:vAlign w:val="center"/>
          </w:tcPr>
          <w:p w14:paraId="5DF41106">
            <w:pPr>
              <w:jc w:val="center"/>
              <w:rPr>
                <w:rFonts w:hint="eastAsia" w:ascii="宋体" w:hAnsi="宋体" w:eastAsia="宋体" w:cs="宋体"/>
                <w:color w:val="auto"/>
                <w:sz w:val="21"/>
                <w:szCs w:val="21"/>
                <w:highlight w:val="none"/>
              </w:rPr>
            </w:pPr>
          </w:p>
        </w:tc>
        <w:tc>
          <w:tcPr>
            <w:tcW w:w="5523" w:type="dxa"/>
            <w:noWrap w:val="0"/>
            <w:vAlign w:val="top"/>
          </w:tcPr>
          <w:p w14:paraId="5EEFCA55">
            <w:pPr>
              <w:keepNext w:val="0"/>
              <w:keepLines w:val="0"/>
              <w:pageBreakBefore w:val="0"/>
              <w:widowControl w:val="0"/>
              <w:kinsoku/>
              <w:wordWrap/>
              <w:overflowPunct/>
              <w:topLinePunct w:val="0"/>
              <w:bidi w:val="0"/>
              <w:adjustRightInd w:val="0"/>
              <w:snapToGri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一般报告书</w:t>
            </w:r>
          </w:p>
        </w:tc>
        <w:tc>
          <w:tcPr>
            <w:tcW w:w="1629" w:type="dxa"/>
            <w:noWrap w:val="0"/>
            <w:vAlign w:val="center"/>
          </w:tcPr>
          <w:p w14:paraId="1981470B">
            <w:pPr>
              <w:keepNext w:val="0"/>
              <w:keepLines w:val="0"/>
              <w:pageBreakBefore w:val="0"/>
              <w:widowControl w:val="0"/>
              <w:kinsoku/>
              <w:wordWrap/>
              <w:overflowPunct/>
              <w:topLinePunct w:val="0"/>
              <w:bidi w:val="0"/>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6A3BF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796" w:type="dxa"/>
            <w:vMerge w:val="continue"/>
            <w:noWrap w:val="0"/>
            <w:vAlign w:val="center"/>
          </w:tcPr>
          <w:p w14:paraId="452E0AA7">
            <w:pPr>
              <w:jc w:val="center"/>
              <w:rPr>
                <w:rFonts w:hint="eastAsia" w:ascii="宋体" w:hAnsi="宋体" w:eastAsia="宋体" w:cs="宋体"/>
                <w:color w:val="auto"/>
                <w:sz w:val="21"/>
                <w:szCs w:val="21"/>
                <w:highlight w:val="none"/>
              </w:rPr>
            </w:pPr>
          </w:p>
        </w:tc>
        <w:tc>
          <w:tcPr>
            <w:tcW w:w="5523" w:type="dxa"/>
            <w:noWrap w:val="0"/>
            <w:vAlign w:val="top"/>
          </w:tcPr>
          <w:p w14:paraId="3D9F95F6">
            <w:pPr>
              <w:keepNext w:val="0"/>
              <w:keepLines w:val="0"/>
              <w:pageBreakBefore w:val="0"/>
              <w:widowControl w:val="0"/>
              <w:kinsoku/>
              <w:wordWrap/>
              <w:overflowPunct/>
              <w:topLinePunct w:val="0"/>
              <w:bidi w:val="0"/>
              <w:adjustRightInd w:val="0"/>
              <w:snapToGri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报告书（化工、电镀、皮革、造纸、制浆、冶炼、放射性、印染、染料、炼焦、炼油项目）</w:t>
            </w:r>
          </w:p>
        </w:tc>
        <w:tc>
          <w:tcPr>
            <w:tcW w:w="1629" w:type="dxa"/>
            <w:noWrap w:val="0"/>
            <w:vAlign w:val="center"/>
          </w:tcPr>
          <w:p w14:paraId="7350951B">
            <w:pPr>
              <w:keepNext w:val="0"/>
              <w:keepLines w:val="0"/>
              <w:pageBreakBefore w:val="0"/>
              <w:widowControl w:val="0"/>
              <w:kinsoku/>
              <w:wordWrap/>
              <w:overflowPunct/>
              <w:topLinePunct w:val="0"/>
              <w:bidi w:val="0"/>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0AF4C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6" w:type="dxa"/>
            <w:noWrap w:val="0"/>
            <w:vAlign w:val="center"/>
          </w:tcPr>
          <w:p w14:paraId="53A5DE6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备注</w:t>
            </w:r>
          </w:p>
        </w:tc>
        <w:tc>
          <w:tcPr>
            <w:tcW w:w="7152" w:type="dxa"/>
            <w:gridSpan w:val="2"/>
            <w:noWrap w:val="0"/>
            <w:vAlign w:val="top"/>
          </w:tcPr>
          <w:p w14:paraId="746FABBC">
            <w:pPr>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一般报告书指除化工、电镀、皮革、造纸、制浆、冶炼、放射性、印染、染料、炼焦、炼油项目外的报告书</w:t>
            </w:r>
          </w:p>
        </w:tc>
      </w:tr>
    </w:tbl>
    <w:p w14:paraId="6341E2C9">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2"/>
        <w:gridCol w:w="5509"/>
        <w:gridCol w:w="1637"/>
      </w:tblGrid>
      <w:tr w14:paraId="073F7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3"/>
            <w:noWrap w:val="0"/>
            <w:vAlign w:val="top"/>
          </w:tcPr>
          <w:p w14:paraId="17A6DF99">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w:t>
            </w:r>
            <w:r>
              <w:rPr>
                <w:rFonts w:hint="eastAsia" w:ascii="宋体" w:hAnsi="宋体" w:eastAsia="宋体" w:cs="宋体"/>
                <w:bCs/>
                <w:color w:val="auto"/>
                <w:sz w:val="21"/>
                <w:szCs w:val="21"/>
                <w:highlight w:val="none"/>
                <w:lang w:val="en-US" w:eastAsia="zh-CN"/>
              </w:rPr>
              <w:t>五</w:t>
            </w:r>
            <w:r>
              <w:rPr>
                <w:rFonts w:hint="eastAsia" w:ascii="宋体" w:hAnsi="宋体" w:eastAsia="宋体" w:cs="宋体"/>
                <w:bCs/>
                <w:color w:val="auto"/>
                <w:sz w:val="21"/>
                <w:szCs w:val="21"/>
                <w:highlight w:val="none"/>
              </w:rPr>
              <w:t>）水污染防治类</w:t>
            </w:r>
          </w:p>
        </w:tc>
      </w:tr>
      <w:tr w14:paraId="6CE83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6" w:type="dxa"/>
            <w:noWrap w:val="0"/>
            <w:vAlign w:val="center"/>
          </w:tcPr>
          <w:p w14:paraId="1AEF9CA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806" w:type="dxa"/>
            <w:gridSpan w:val="2"/>
            <w:noWrap w:val="0"/>
            <w:vAlign w:val="top"/>
          </w:tcPr>
          <w:p w14:paraId="0B9119E6">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14</w:t>
            </w:r>
          </w:p>
        </w:tc>
      </w:tr>
      <w:tr w14:paraId="0B2E1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6" w:type="dxa"/>
            <w:noWrap w:val="0"/>
            <w:vAlign w:val="center"/>
          </w:tcPr>
          <w:p w14:paraId="0D78D67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6806" w:type="dxa"/>
            <w:gridSpan w:val="2"/>
            <w:noWrap w:val="0"/>
            <w:vAlign w:val="center"/>
          </w:tcPr>
          <w:p w14:paraId="311BED25">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在饮用水水源一级保护区内新建、改建、扩建与供水设施和保护水源无关的建设项目的</w:t>
            </w:r>
          </w:p>
        </w:tc>
      </w:tr>
      <w:tr w14:paraId="75671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6" w:type="dxa"/>
            <w:noWrap w:val="0"/>
            <w:vAlign w:val="center"/>
          </w:tcPr>
          <w:p w14:paraId="342FA76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6806" w:type="dxa"/>
            <w:gridSpan w:val="2"/>
            <w:noWrap w:val="0"/>
            <w:vAlign w:val="top"/>
          </w:tcPr>
          <w:p w14:paraId="6E7AE2A2">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《中华人民共和国生态环境法典》第三百一十九条第一款  禁止在饮用水水源一级保护区内新建、改建、扩建与供水设施和保护水源无关的建设项目；已建成的与供水设施和保护水源无关的建设项目，由县级以上人民政府责令拆除或者关闭。</w:t>
            </w:r>
          </w:p>
        </w:tc>
      </w:tr>
      <w:tr w14:paraId="2BA9C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6" w:type="dxa"/>
            <w:noWrap w:val="0"/>
            <w:vAlign w:val="center"/>
          </w:tcPr>
          <w:p w14:paraId="0D42449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6806" w:type="dxa"/>
            <w:gridSpan w:val="2"/>
            <w:noWrap w:val="0"/>
            <w:vAlign w:val="top"/>
          </w:tcPr>
          <w:p w14:paraId="166F453E">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《中华人民共和国生态环境法典》第一千一百四十五条第一款</w:t>
            </w:r>
            <w:r>
              <w:rPr>
                <w:rFonts w:hint="eastAsia" w:ascii="宋体" w:hAnsi="宋体" w:eastAsia="宋体" w:cs="宋体"/>
                <w:color w:val="auto"/>
                <w:sz w:val="21"/>
                <w:szCs w:val="21"/>
                <w:highlight w:val="none"/>
                <w:lang w:val="en-US" w:eastAsia="zh-CN"/>
              </w:rPr>
              <w:t>第一项</w:t>
            </w:r>
            <w:r>
              <w:rPr>
                <w:rFonts w:hint="eastAsia" w:ascii="宋体" w:hAnsi="宋体" w:eastAsia="宋体" w:cs="宋体"/>
                <w:color w:val="auto"/>
                <w:sz w:val="21"/>
                <w:szCs w:val="21"/>
                <w:highlight w:val="none"/>
              </w:rPr>
              <w:t xml:space="preserve">  违反本法规定，有下列情形之一的，由生态环境主管部门责令停止违法行为，处十万元以上五十万元以下的罚款，并报经有批准权的人民政府批准，责令拆除或者关闭：</w:t>
            </w:r>
          </w:p>
          <w:p w14:paraId="3A017A9C">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（一）在饮用水水源一级保护区内新建、改建、扩建与供水设施和保护水源无关的建设项目。</w:t>
            </w:r>
          </w:p>
        </w:tc>
      </w:tr>
      <w:tr w14:paraId="08709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6" w:type="dxa"/>
            <w:noWrap w:val="0"/>
            <w:vAlign w:val="center"/>
          </w:tcPr>
          <w:p w14:paraId="720669D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247" w:type="dxa"/>
            <w:noWrap w:val="0"/>
            <w:vAlign w:val="top"/>
          </w:tcPr>
          <w:p w14:paraId="22A10DB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559" w:type="dxa"/>
            <w:noWrap w:val="0"/>
            <w:vAlign w:val="top"/>
          </w:tcPr>
          <w:p w14:paraId="0EDD0B5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1023A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6" w:type="dxa"/>
            <w:vMerge w:val="restart"/>
            <w:noWrap w:val="0"/>
            <w:vAlign w:val="center"/>
          </w:tcPr>
          <w:p w14:paraId="3C34FE02">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default" w:ascii="宋体" w:hAnsi="宋体" w:eastAsia="宋体" w:cs="宋体"/>
                <w:color w:val="auto"/>
                <w:sz w:val="21"/>
                <w:szCs w:val="21"/>
                <w:highlight w:val="none"/>
                <w:lang w:val="en-US"/>
              </w:rPr>
            </w:pPr>
            <w:r>
              <w:rPr>
                <w:rFonts w:hint="eastAsia" w:cs="宋体"/>
                <w:color w:val="auto"/>
                <w:sz w:val="21"/>
                <w:szCs w:val="21"/>
                <w:highlight w:val="none"/>
                <w:lang w:val="en-US" w:eastAsia="zh-CN"/>
              </w:rPr>
              <w:t>项目</w:t>
            </w:r>
            <w:r>
              <w:rPr>
                <w:rFonts w:hint="eastAsia" w:ascii="宋体" w:hAnsi="宋体" w:eastAsia="宋体" w:cs="宋体"/>
                <w:color w:val="auto"/>
                <w:sz w:val="21"/>
                <w:szCs w:val="21"/>
                <w:highlight w:val="none"/>
              </w:rPr>
              <w:t>建设</w:t>
            </w:r>
            <w:r>
              <w:rPr>
                <w:rFonts w:hint="eastAsia" w:cs="宋体"/>
                <w:color w:val="auto"/>
                <w:sz w:val="21"/>
                <w:szCs w:val="21"/>
                <w:highlight w:val="none"/>
                <w:lang w:val="en-US" w:eastAsia="zh-CN"/>
              </w:rPr>
              <w:t>状况</w:t>
            </w:r>
          </w:p>
        </w:tc>
        <w:tc>
          <w:tcPr>
            <w:tcW w:w="5247" w:type="dxa"/>
            <w:noWrap w:val="0"/>
            <w:vAlign w:val="center"/>
          </w:tcPr>
          <w:p w14:paraId="0574BE65">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未建成</w:t>
            </w:r>
          </w:p>
        </w:tc>
        <w:tc>
          <w:tcPr>
            <w:tcW w:w="1559" w:type="dxa"/>
            <w:noWrap w:val="0"/>
            <w:vAlign w:val="center"/>
          </w:tcPr>
          <w:p w14:paraId="3C66EA02">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79AD8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6" w:type="dxa"/>
            <w:vMerge w:val="continue"/>
            <w:noWrap w:val="0"/>
            <w:vAlign w:val="center"/>
          </w:tcPr>
          <w:p w14:paraId="776FC669">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p>
        </w:tc>
        <w:tc>
          <w:tcPr>
            <w:tcW w:w="5247" w:type="dxa"/>
            <w:noWrap w:val="0"/>
            <w:vAlign w:val="center"/>
          </w:tcPr>
          <w:p w14:paraId="3DC854B9">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已建成但尚未使用</w:t>
            </w:r>
          </w:p>
        </w:tc>
        <w:tc>
          <w:tcPr>
            <w:tcW w:w="1559" w:type="dxa"/>
            <w:noWrap w:val="0"/>
            <w:vAlign w:val="center"/>
          </w:tcPr>
          <w:p w14:paraId="3DD5EC34">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3</w:t>
            </w:r>
          </w:p>
        </w:tc>
      </w:tr>
      <w:tr w14:paraId="62544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6" w:type="dxa"/>
            <w:vMerge w:val="continue"/>
            <w:noWrap w:val="0"/>
            <w:vAlign w:val="center"/>
          </w:tcPr>
          <w:p w14:paraId="158FE854">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p>
        </w:tc>
        <w:tc>
          <w:tcPr>
            <w:tcW w:w="5247" w:type="dxa"/>
            <w:noWrap w:val="0"/>
            <w:vAlign w:val="center"/>
          </w:tcPr>
          <w:p w14:paraId="507F7D65">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已建成并使用</w:t>
            </w:r>
          </w:p>
        </w:tc>
        <w:tc>
          <w:tcPr>
            <w:tcW w:w="1559" w:type="dxa"/>
            <w:noWrap w:val="0"/>
            <w:vAlign w:val="center"/>
          </w:tcPr>
          <w:p w14:paraId="65430DB7">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5</w:t>
            </w:r>
          </w:p>
        </w:tc>
      </w:tr>
      <w:tr w14:paraId="4E0E8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6" w:type="dxa"/>
            <w:vMerge w:val="restart"/>
            <w:noWrap w:val="0"/>
            <w:vAlign w:val="center"/>
          </w:tcPr>
          <w:p w14:paraId="5262FB7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污染物</w:t>
            </w:r>
            <w:r>
              <w:rPr>
                <w:rFonts w:hint="eastAsia" w:ascii="宋体" w:hAnsi="宋体" w:eastAsia="宋体" w:cs="宋体"/>
                <w:color w:val="auto"/>
                <w:sz w:val="21"/>
                <w:szCs w:val="21"/>
                <w:highlight w:val="none"/>
              </w:rPr>
              <w:t>类别</w:t>
            </w:r>
          </w:p>
        </w:tc>
        <w:tc>
          <w:tcPr>
            <w:tcW w:w="5247" w:type="dxa"/>
            <w:noWrap w:val="0"/>
            <w:vAlign w:val="top"/>
          </w:tcPr>
          <w:p w14:paraId="151EF9F0">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一般废气、废水、固体废物、噪声、畜禽养殖废水</w:t>
            </w:r>
          </w:p>
        </w:tc>
        <w:tc>
          <w:tcPr>
            <w:tcW w:w="1559" w:type="dxa"/>
            <w:noWrap w:val="0"/>
            <w:vAlign w:val="center"/>
          </w:tcPr>
          <w:p w14:paraId="0EA0801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440F3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6" w:type="dxa"/>
            <w:vMerge w:val="continue"/>
            <w:noWrap w:val="0"/>
            <w:vAlign w:val="center"/>
          </w:tcPr>
          <w:p w14:paraId="5361A792">
            <w:pPr>
              <w:jc w:val="center"/>
              <w:rPr>
                <w:rFonts w:hint="eastAsia" w:ascii="宋体" w:hAnsi="宋体" w:eastAsia="宋体" w:cs="宋体"/>
                <w:color w:val="auto"/>
                <w:sz w:val="21"/>
                <w:szCs w:val="21"/>
                <w:highlight w:val="none"/>
              </w:rPr>
            </w:pPr>
          </w:p>
        </w:tc>
        <w:tc>
          <w:tcPr>
            <w:tcW w:w="5247" w:type="dxa"/>
            <w:noWrap w:val="0"/>
            <w:vAlign w:val="top"/>
          </w:tcPr>
          <w:p w14:paraId="0AC92111">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火电、钢铁、石化、水泥、炼焦、有色、化工废气/医疗废水</w:t>
            </w:r>
          </w:p>
        </w:tc>
        <w:tc>
          <w:tcPr>
            <w:tcW w:w="1559" w:type="dxa"/>
            <w:noWrap w:val="0"/>
            <w:vAlign w:val="center"/>
          </w:tcPr>
          <w:p w14:paraId="256960E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p>
        </w:tc>
      </w:tr>
      <w:tr w14:paraId="35E68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6" w:type="dxa"/>
            <w:vMerge w:val="continue"/>
            <w:noWrap w:val="0"/>
            <w:vAlign w:val="center"/>
          </w:tcPr>
          <w:p w14:paraId="1C865BA3">
            <w:pPr>
              <w:jc w:val="center"/>
              <w:rPr>
                <w:rFonts w:hint="eastAsia" w:ascii="宋体" w:hAnsi="宋体" w:eastAsia="宋体" w:cs="宋体"/>
                <w:color w:val="auto"/>
                <w:sz w:val="21"/>
                <w:szCs w:val="21"/>
                <w:highlight w:val="none"/>
              </w:rPr>
            </w:pPr>
          </w:p>
        </w:tc>
        <w:tc>
          <w:tcPr>
            <w:tcW w:w="5247" w:type="dxa"/>
            <w:noWrap w:val="0"/>
            <w:vAlign w:val="top"/>
          </w:tcPr>
          <w:p w14:paraId="14682EF4">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含有毒有害物质的废气、废水／含一类污染物或重金属、病原体、放射性物质的废水／危险废物</w:t>
            </w:r>
          </w:p>
        </w:tc>
        <w:tc>
          <w:tcPr>
            <w:tcW w:w="1559" w:type="dxa"/>
            <w:noWrap w:val="0"/>
            <w:vAlign w:val="center"/>
          </w:tcPr>
          <w:p w14:paraId="681057A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p>
        </w:tc>
      </w:tr>
    </w:tbl>
    <w:p w14:paraId="4FA760DE">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3"/>
        <w:gridCol w:w="5805"/>
        <w:gridCol w:w="1340"/>
      </w:tblGrid>
      <w:tr w14:paraId="0E8DE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3"/>
            <w:noWrap w:val="0"/>
            <w:vAlign w:val="top"/>
          </w:tcPr>
          <w:p w14:paraId="0473C4FB">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w:t>
            </w:r>
            <w:r>
              <w:rPr>
                <w:rFonts w:hint="eastAsia" w:ascii="宋体" w:hAnsi="宋体" w:eastAsia="宋体" w:cs="宋体"/>
                <w:bCs/>
                <w:color w:val="auto"/>
                <w:sz w:val="21"/>
                <w:szCs w:val="21"/>
                <w:highlight w:val="none"/>
                <w:lang w:val="en-US" w:eastAsia="zh-CN"/>
              </w:rPr>
              <w:t>五</w:t>
            </w:r>
            <w:r>
              <w:rPr>
                <w:rFonts w:hint="eastAsia" w:ascii="宋体" w:hAnsi="宋体" w:eastAsia="宋体" w:cs="宋体"/>
                <w:bCs/>
                <w:color w:val="auto"/>
                <w:sz w:val="21"/>
                <w:szCs w:val="21"/>
                <w:highlight w:val="none"/>
              </w:rPr>
              <w:t>）水污染防治类</w:t>
            </w:r>
          </w:p>
        </w:tc>
      </w:tr>
      <w:tr w14:paraId="761F4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717" w:type="dxa"/>
            <w:noWrap w:val="0"/>
            <w:vAlign w:val="center"/>
          </w:tcPr>
          <w:p w14:paraId="58EDBBA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805" w:type="dxa"/>
            <w:gridSpan w:val="2"/>
            <w:noWrap w:val="0"/>
            <w:vAlign w:val="center"/>
          </w:tcPr>
          <w:p w14:paraId="568D7192">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15</w:t>
            </w:r>
          </w:p>
        </w:tc>
      </w:tr>
      <w:tr w14:paraId="2C6E8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7" w:type="dxa"/>
            <w:noWrap w:val="0"/>
            <w:vAlign w:val="center"/>
          </w:tcPr>
          <w:p w14:paraId="0E78AA1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6805" w:type="dxa"/>
            <w:gridSpan w:val="2"/>
            <w:noWrap w:val="0"/>
            <w:vAlign w:val="center"/>
          </w:tcPr>
          <w:p w14:paraId="1FE40CD8">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在饮用水水源二级保护区内新建、改建、扩建排放污染物的建设项目的</w:t>
            </w:r>
          </w:p>
        </w:tc>
      </w:tr>
      <w:tr w14:paraId="7391D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7" w:type="dxa"/>
            <w:noWrap w:val="0"/>
            <w:vAlign w:val="center"/>
          </w:tcPr>
          <w:p w14:paraId="1B3B2B6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6805" w:type="dxa"/>
            <w:gridSpan w:val="2"/>
            <w:noWrap w:val="0"/>
            <w:vAlign w:val="top"/>
          </w:tcPr>
          <w:p w14:paraId="0DE60D59">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《中华人民共和国生态环境法典》第三百二十条第一款  禁止在饮用水水源二级保护区内新建、改建、扩建排放污染物的建设项目；已建成的排放污染物的建设项目，由县级以上人民政府责令拆除或者关闭。</w:t>
            </w:r>
          </w:p>
        </w:tc>
      </w:tr>
      <w:tr w14:paraId="7F2BF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7" w:type="dxa"/>
            <w:noWrap w:val="0"/>
            <w:vAlign w:val="center"/>
          </w:tcPr>
          <w:p w14:paraId="0E0504F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6805" w:type="dxa"/>
            <w:gridSpan w:val="2"/>
            <w:noWrap w:val="0"/>
            <w:vAlign w:val="top"/>
          </w:tcPr>
          <w:p w14:paraId="72D9E96F">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《中华人民共和国生态环境法典》第一千一百四十五条第一款</w:t>
            </w:r>
            <w:r>
              <w:rPr>
                <w:rFonts w:hint="eastAsia" w:ascii="宋体" w:hAnsi="宋体" w:eastAsia="宋体" w:cs="宋体"/>
                <w:color w:val="auto"/>
                <w:sz w:val="21"/>
                <w:szCs w:val="21"/>
                <w:highlight w:val="none"/>
                <w:lang w:val="en-US" w:eastAsia="zh-CN"/>
              </w:rPr>
              <w:t>第二项</w:t>
            </w:r>
            <w:r>
              <w:rPr>
                <w:rFonts w:hint="eastAsia" w:ascii="宋体" w:hAnsi="宋体" w:eastAsia="宋体" w:cs="宋体"/>
                <w:color w:val="auto"/>
                <w:sz w:val="21"/>
                <w:szCs w:val="21"/>
                <w:highlight w:val="none"/>
              </w:rPr>
              <w:t xml:space="preserve">  违反本法规定，有下列情形之一的，由生态环境主管部门责令停止违法行为，处十万元以上五十万元以下的罚款，并报经有批准权的人民政府批准，责令拆除或者关闭：</w:t>
            </w:r>
          </w:p>
          <w:p w14:paraId="1FD1A36C">
            <w:pPr>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（二）在饮用水水源二级保护区内新建、改建、扩建排放污染物的建设项目</w:t>
            </w:r>
            <w:r>
              <w:rPr>
                <w:rFonts w:hint="eastAsia" w:ascii="宋体" w:hAnsi="宋体" w:cs="宋体"/>
                <w:color w:val="auto"/>
                <w:sz w:val="21"/>
                <w:szCs w:val="21"/>
                <w:highlight w:val="none"/>
                <w:lang w:eastAsia="zh-CN"/>
              </w:rPr>
              <w:t>。</w:t>
            </w:r>
          </w:p>
        </w:tc>
      </w:tr>
      <w:tr w14:paraId="614E7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7" w:type="dxa"/>
            <w:noWrap w:val="0"/>
            <w:vAlign w:val="center"/>
          </w:tcPr>
          <w:p w14:paraId="73A398B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529" w:type="dxa"/>
            <w:noWrap w:val="0"/>
            <w:vAlign w:val="top"/>
          </w:tcPr>
          <w:p w14:paraId="42B5FB4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276" w:type="dxa"/>
            <w:noWrap w:val="0"/>
            <w:vAlign w:val="top"/>
          </w:tcPr>
          <w:p w14:paraId="01AA779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5E623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7" w:type="dxa"/>
            <w:vMerge w:val="restart"/>
            <w:noWrap w:val="0"/>
            <w:vAlign w:val="center"/>
          </w:tcPr>
          <w:p w14:paraId="625933D4">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r>
              <w:rPr>
                <w:rFonts w:hint="eastAsia" w:cs="宋体"/>
                <w:color w:val="auto"/>
                <w:sz w:val="21"/>
                <w:szCs w:val="21"/>
                <w:highlight w:val="none"/>
                <w:lang w:val="en-US" w:eastAsia="zh-CN"/>
              </w:rPr>
              <w:t>项目</w:t>
            </w:r>
            <w:r>
              <w:rPr>
                <w:rFonts w:hint="eastAsia" w:ascii="宋体" w:hAnsi="宋体" w:eastAsia="宋体" w:cs="宋体"/>
                <w:color w:val="auto"/>
                <w:sz w:val="21"/>
                <w:szCs w:val="21"/>
                <w:highlight w:val="none"/>
              </w:rPr>
              <w:t>建设</w:t>
            </w:r>
            <w:r>
              <w:rPr>
                <w:rFonts w:hint="eastAsia" w:cs="宋体"/>
                <w:color w:val="auto"/>
                <w:sz w:val="21"/>
                <w:szCs w:val="21"/>
                <w:highlight w:val="none"/>
                <w:lang w:val="en-US" w:eastAsia="zh-CN"/>
              </w:rPr>
              <w:t>状况</w:t>
            </w:r>
          </w:p>
        </w:tc>
        <w:tc>
          <w:tcPr>
            <w:tcW w:w="5529" w:type="dxa"/>
            <w:noWrap w:val="0"/>
            <w:vAlign w:val="center"/>
          </w:tcPr>
          <w:p w14:paraId="5E2C9FD4">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未建成</w:t>
            </w:r>
          </w:p>
        </w:tc>
        <w:tc>
          <w:tcPr>
            <w:tcW w:w="1276" w:type="dxa"/>
            <w:noWrap w:val="0"/>
            <w:vAlign w:val="center"/>
          </w:tcPr>
          <w:p w14:paraId="54B0EEB0">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7CF3C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7" w:type="dxa"/>
            <w:vMerge w:val="continue"/>
            <w:noWrap w:val="0"/>
            <w:vAlign w:val="center"/>
          </w:tcPr>
          <w:p w14:paraId="524E3571">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p>
        </w:tc>
        <w:tc>
          <w:tcPr>
            <w:tcW w:w="5529" w:type="dxa"/>
            <w:noWrap w:val="0"/>
            <w:vAlign w:val="center"/>
          </w:tcPr>
          <w:p w14:paraId="0E5923BB">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已建成但尚未使用</w:t>
            </w:r>
          </w:p>
        </w:tc>
        <w:tc>
          <w:tcPr>
            <w:tcW w:w="1276" w:type="dxa"/>
            <w:noWrap w:val="0"/>
            <w:vAlign w:val="center"/>
          </w:tcPr>
          <w:p w14:paraId="456DDE3A">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3</w:t>
            </w:r>
          </w:p>
        </w:tc>
      </w:tr>
      <w:tr w14:paraId="66D08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7" w:type="dxa"/>
            <w:vMerge w:val="continue"/>
            <w:noWrap w:val="0"/>
            <w:vAlign w:val="center"/>
          </w:tcPr>
          <w:p w14:paraId="27775511">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p>
        </w:tc>
        <w:tc>
          <w:tcPr>
            <w:tcW w:w="5529" w:type="dxa"/>
            <w:noWrap w:val="0"/>
            <w:vAlign w:val="center"/>
          </w:tcPr>
          <w:p w14:paraId="6B282100">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已建成并使用</w:t>
            </w:r>
          </w:p>
        </w:tc>
        <w:tc>
          <w:tcPr>
            <w:tcW w:w="1276" w:type="dxa"/>
            <w:noWrap w:val="0"/>
            <w:vAlign w:val="center"/>
          </w:tcPr>
          <w:p w14:paraId="739F317F">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5</w:t>
            </w:r>
          </w:p>
        </w:tc>
      </w:tr>
      <w:tr w14:paraId="51135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7" w:type="dxa"/>
            <w:vMerge w:val="restart"/>
            <w:noWrap w:val="0"/>
            <w:vAlign w:val="center"/>
          </w:tcPr>
          <w:p w14:paraId="0617565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污染物</w:t>
            </w:r>
            <w:r>
              <w:rPr>
                <w:rFonts w:hint="eastAsia" w:ascii="宋体" w:hAnsi="宋体" w:eastAsia="宋体" w:cs="宋体"/>
                <w:color w:val="auto"/>
                <w:sz w:val="21"/>
                <w:szCs w:val="21"/>
                <w:highlight w:val="none"/>
              </w:rPr>
              <w:t>类别</w:t>
            </w:r>
          </w:p>
        </w:tc>
        <w:tc>
          <w:tcPr>
            <w:tcW w:w="5529" w:type="dxa"/>
            <w:noWrap w:val="0"/>
            <w:vAlign w:val="top"/>
          </w:tcPr>
          <w:p w14:paraId="27722AAC">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一般废气、废水、固体废物、噪声、畜禽养殖废水</w:t>
            </w:r>
          </w:p>
        </w:tc>
        <w:tc>
          <w:tcPr>
            <w:tcW w:w="1276" w:type="dxa"/>
            <w:noWrap w:val="0"/>
            <w:vAlign w:val="center"/>
          </w:tcPr>
          <w:p w14:paraId="61FB440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771A4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7" w:type="dxa"/>
            <w:vMerge w:val="continue"/>
            <w:noWrap w:val="0"/>
            <w:vAlign w:val="center"/>
          </w:tcPr>
          <w:p w14:paraId="45599BDE">
            <w:pPr>
              <w:jc w:val="center"/>
              <w:rPr>
                <w:rFonts w:hint="eastAsia" w:ascii="宋体" w:hAnsi="宋体" w:eastAsia="宋体" w:cs="宋体"/>
                <w:color w:val="auto"/>
                <w:sz w:val="21"/>
                <w:szCs w:val="21"/>
                <w:highlight w:val="none"/>
              </w:rPr>
            </w:pPr>
          </w:p>
        </w:tc>
        <w:tc>
          <w:tcPr>
            <w:tcW w:w="5529" w:type="dxa"/>
            <w:noWrap w:val="0"/>
            <w:vAlign w:val="top"/>
          </w:tcPr>
          <w:p w14:paraId="4328C9ED">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火电、钢铁、石化、水泥、炼焦、有色、化工废气/医疗废水</w:t>
            </w:r>
          </w:p>
        </w:tc>
        <w:tc>
          <w:tcPr>
            <w:tcW w:w="1276" w:type="dxa"/>
            <w:noWrap w:val="0"/>
            <w:vAlign w:val="center"/>
          </w:tcPr>
          <w:p w14:paraId="3D3FB5C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p>
        </w:tc>
      </w:tr>
      <w:tr w14:paraId="490CA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7" w:type="dxa"/>
            <w:vMerge w:val="continue"/>
            <w:noWrap w:val="0"/>
            <w:vAlign w:val="center"/>
          </w:tcPr>
          <w:p w14:paraId="7FF100E1">
            <w:pPr>
              <w:jc w:val="center"/>
              <w:rPr>
                <w:rFonts w:hint="eastAsia" w:ascii="宋体" w:hAnsi="宋体" w:eastAsia="宋体" w:cs="宋体"/>
                <w:color w:val="auto"/>
                <w:sz w:val="21"/>
                <w:szCs w:val="21"/>
                <w:highlight w:val="none"/>
              </w:rPr>
            </w:pPr>
          </w:p>
        </w:tc>
        <w:tc>
          <w:tcPr>
            <w:tcW w:w="5529" w:type="dxa"/>
            <w:noWrap w:val="0"/>
            <w:vAlign w:val="top"/>
          </w:tcPr>
          <w:p w14:paraId="138EE2DF">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含有毒有害物质的废气、废水／含一类污染物或重金属、病原体、放射性物质的废水／危险废物</w:t>
            </w:r>
          </w:p>
        </w:tc>
        <w:tc>
          <w:tcPr>
            <w:tcW w:w="1276" w:type="dxa"/>
            <w:noWrap w:val="0"/>
            <w:vAlign w:val="center"/>
          </w:tcPr>
          <w:p w14:paraId="28B6A48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p>
        </w:tc>
      </w:tr>
    </w:tbl>
    <w:p w14:paraId="5D91E2DE">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23"/>
        <w:gridCol w:w="5643"/>
        <w:gridCol w:w="1482"/>
      </w:tblGrid>
      <w:tr w14:paraId="6F4CF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3"/>
            <w:noWrap w:val="0"/>
            <w:vAlign w:val="top"/>
          </w:tcPr>
          <w:p w14:paraId="472AE001">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w:t>
            </w:r>
            <w:r>
              <w:rPr>
                <w:rFonts w:hint="eastAsia" w:ascii="宋体" w:hAnsi="宋体" w:eastAsia="宋体" w:cs="宋体"/>
                <w:bCs/>
                <w:color w:val="auto"/>
                <w:sz w:val="21"/>
                <w:szCs w:val="21"/>
                <w:highlight w:val="none"/>
                <w:lang w:val="en-US" w:eastAsia="zh-CN"/>
              </w:rPr>
              <w:t>五</w:t>
            </w:r>
            <w:r>
              <w:rPr>
                <w:rFonts w:hint="eastAsia" w:ascii="宋体" w:hAnsi="宋体" w:eastAsia="宋体" w:cs="宋体"/>
                <w:bCs/>
                <w:color w:val="auto"/>
                <w:sz w:val="21"/>
                <w:szCs w:val="21"/>
                <w:highlight w:val="none"/>
              </w:rPr>
              <w:t>）水污染防治类</w:t>
            </w:r>
          </w:p>
        </w:tc>
      </w:tr>
      <w:tr w14:paraId="57804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7" w:type="dxa"/>
            <w:noWrap w:val="0"/>
            <w:vAlign w:val="center"/>
          </w:tcPr>
          <w:p w14:paraId="20E0EF1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785" w:type="dxa"/>
            <w:gridSpan w:val="2"/>
            <w:noWrap w:val="0"/>
            <w:vAlign w:val="top"/>
          </w:tcPr>
          <w:p w14:paraId="2107A1FD">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16</w:t>
            </w:r>
          </w:p>
        </w:tc>
      </w:tr>
      <w:tr w14:paraId="631BF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7" w:type="dxa"/>
            <w:noWrap w:val="0"/>
            <w:vAlign w:val="center"/>
          </w:tcPr>
          <w:p w14:paraId="163A522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6785" w:type="dxa"/>
            <w:gridSpan w:val="2"/>
            <w:noWrap w:val="0"/>
            <w:vAlign w:val="center"/>
          </w:tcPr>
          <w:p w14:paraId="70A2AC97">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在饮用水水源准保护区内新建、扩建对水体污染严重的建设项目，或者改建建设项目增加排污量的</w:t>
            </w:r>
          </w:p>
        </w:tc>
      </w:tr>
      <w:tr w14:paraId="36F80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7" w:type="dxa"/>
            <w:noWrap w:val="0"/>
            <w:vAlign w:val="center"/>
          </w:tcPr>
          <w:p w14:paraId="4B1452B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6785" w:type="dxa"/>
            <w:gridSpan w:val="2"/>
            <w:noWrap w:val="0"/>
            <w:vAlign w:val="top"/>
          </w:tcPr>
          <w:p w14:paraId="218DCDCC">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《中华人民共和国生态环境法典》第三百二十一条  禁止在饮用水水源准保护区内新建、扩建对水体污染严重的建设项目；改建建设项目，不得增加排污量。</w:t>
            </w:r>
          </w:p>
        </w:tc>
      </w:tr>
      <w:tr w14:paraId="1107B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7" w:type="dxa"/>
            <w:noWrap w:val="0"/>
            <w:vAlign w:val="center"/>
          </w:tcPr>
          <w:p w14:paraId="62317DE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6785" w:type="dxa"/>
            <w:gridSpan w:val="2"/>
            <w:noWrap w:val="0"/>
            <w:vAlign w:val="top"/>
          </w:tcPr>
          <w:p w14:paraId="6B3F451D">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《中华人民共和国生态环境法典》第一千一百四十五条第一款</w:t>
            </w:r>
            <w:r>
              <w:rPr>
                <w:rFonts w:hint="eastAsia" w:ascii="宋体" w:hAnsi="宋体" w:eastAsia="宋体" w:cs="宋体"/>
                <w:color w:val="auto"/>
                <w:sz w:val="21"/>
                <w:szCs w:val="21"/>
                <w:highlight w:val="none"/>
                <w:lang w:val="en-US" w:eastAsia="zh-CN"/>
              </w:rPr>
              <w:t>第三项</w:t>
            </w:r>
            <w:r>
              <w:rPr>
                <w:rFonts w:hint="eastAsia" w:ascii="宋体" w:hAnsi="宋体" w:eastAsia="宋体" w:cs="宋体"/>
                <w:color w:val="auto"/>
                <w:sz w:val="21"/>
                <w:szCs w:val="21"/>
                <w:highlight w:val="none"/>
              </w:rPr>
              <w:t xml:space="preserve">  违反本法规定，有下列情形之一的，由生态环境主管部门责令停止违法行为，处十万元以上五十万元以下的罚款，并报经有批准权的人民政府批准，责令拆除或者关闭：</w:t>
            </w:r>
          </w:p>
          <w:p w14:paraId="2607EBEB">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（三）在饮用水水源准保护区内新建、扩建对水体污染严重的建设项目，或者改建建设项目增加排污量。</w:t>
            </w:r>
          </w:p>
        </w:tc>
      </w:tr>
      <w:tr w14:paraId="1F671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7" w:type="dxa"/>
            <w:noWrap w:val="0"/>
            <w:vAlign w:val="center"/>
          </w:tcPr>
          <w:p w14:paraId="575D1EF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374" w:type="dxa"/>
            <w:noWrap w:val="0"/>
            <w:vAlign w:val="center"/>
          </w:tcPr>
          <w:p w14:paraId="656F4D6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411" w:type="dxa"/>
            <w:noWrap w:val="0"/>
            <w:vAlign w:val="center"/>
          </w:tcPr>
          <w:p w14:paraId="6D0C0A3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5C89B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1737" w:type="dxa"/>
            <w:vMerge w:val="restart"/>
            <w:noWrap w:val="0"/>
            <w:vAlign w:val="center"/>
          </w:tcPr>
          <w:p w14:paraId="0E7A209F">
            <w:pPr>
              <w:jc w:val="center"/>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sz w:val="21"/>
                <w:szCs w:val="21"/>
                <w:highlight w:val="none"/>
              </w:rPr>
              <w:t>项目建设情况（仅适用于改建项目情形）</w:t>
            </w:r>
          </w:p>
        </w:tc>
        <w:tc>
          <w:tcPr>
            <w:tcW w:w="5374" w:type="dxa"/>
            <w:noWrap w:val="0"/>
            <w:vAlign w:val="center"/>
          </w:tcPr>
          <w:p w14:paraId="7CD86579">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sz w:val="21"/>
                <w:szCs w:val="21"/>
                <w:highlight w:val="none"/>
              </w:rPr>
              <w:t>项目增加不足0.1倍排污量的</w:t>
            </w:r>
          </w:p>
        </w:tc>
        <w:tc>
          <w:tcPr>
            <w:tcW w:w="1411" w:type="dxa"/>
            <w:noWrap w:val="0"/>
            <w:vAlign w:val="center"/>
          </w:tcPr>
          <w:p w14:paraId="148B500A">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r>
      <w:tr w14:paraId="4F0F9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7" w:type="dxa"/>
            <w:vMerge w:val="continue"/>
            <w:noWrap w:val="0"/>
            <w:vAlign w:val="center"/>
          </w:tcPr>
          <w:p w14:paraId="76459773">
            <w:pPr>
              <w:jc w:val="center"/>
              <w:rPr>
                <w:rFonts w:hint="eastAsia" w:ascii="宋体" w:hAnsi="宋体" w:eastAsia="宋体" w:cs="宋体"/>
                <w:color w:val="auto"/>
                <w:kern w:val="2"/>
                <w:sz w:val="21"/>
                <w:szCs w:val="21"/>
                <w:highlight w:val="none"/>
                <w:lang w:val="en-US" w:eastAsia="en-US" w:bidi="ar-SA"/>
              </w:rPr>
            </w:pPr>
          </w:p>
        </w:tc>
        <w:tc>
          <w:tcPr>
            <w:tcW w:w="5374" w:type="dxa"/>
            <w:noWrap w:val="0"/>
            <w:vAlign w:val="center"/>
          </w:tcPr>
          <w:p w14:paraId="38349C32">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sz w:val="21"/>
                <w:szCs w:val="21"/>
                <w:highlight w:val="none"/>
              </w:rPr>
              <w:t>项目增加0.1倍以上，不足0.5倍排污量的</w:t>
            </w:r>
          </w:p>
        </w:tc>
        <w:tc>
          <w:tcPr>
            <w:tcW w:w="1411" w:type="dxa"/>
            <w:noWrap w:val="0"/>
            <w:vAlign w:val="center"/>
          </w:tcPr>
          <w:p w14:paraId="56C78921">
            <w:pPr>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2</w:t>
            </w:r>
          </w:p>
        </w:tc>
      </w:tr>
      <w:tr w14:paraId="2FF35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7" w:type="dxa"/>
            <w:vMerge w:val="continue"/>
            <w:noWrap w:val="0"/>
            <w:vAlign w:val="center"/>
          </w:tcPr>
          <w:p w14:paraId="5DADDF7B">
            <w:pPr>
              <w:jc w:val="center"/>
              <w:rPr>
                <w:rFonts w:hint="eastAsia" w:ascii="宋体" w:hAnsi="宋体" w:eastAsia="宋体" w:cs="宋体"/>
                <w:color w:val="auto"/>
                <w:kern w:val="2"/>
                <w:sz w:val="21"/>
                <w:szCs w:val="21"/>
                <w:highlight w:val="none"/>
                <w:lang w:val="en-US" w:eastAsia="en-US" w:bidi="ar-SA"/>
              </w:rPr>
            </w:pPr>
          </w:p>
        </w:tc>
        <w:tc>
          <w:tcPr>
            <w:tcW w:w="5374" w:type="dxa"/>
            <w:noWrap w:val="0"/>
            <w:vAlign w:val="center"/>
          </w:tcPr>
          <w:p w14:paraId="6991E4D5">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sz w:val="21"/>
                <w:szCs w:val="21"/>
                <w:highlight w:val="none"/>
              </w:rPr>
              <w:t>项目增加0.5倍以上，不足1倍排污量的</w:t>
            </w:r>
          </w:p>
        </w:tc>
        <w:tc>
          <w:tcPr>
            <w:tcW w:w="1411" w:type="dxa"/>
            <w:noWrap w:val="0"/>
            <w:vAlign w:val="center"/>
          </w:tcPr>
          <w:p w14:paraId="636C86AD">
            <w:pPr>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3</w:t>
            </w:r>
          </w:p>
        </w:tc>
      </w:tr>
      <w:tr w14:paraId="639DC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7" w:type="dxa"/>
            <w:vMerge w:val="continue"/>
            <w:noWrap w:val="0"/>
            <w:vAlign w:val="center"/>
          </w:tcPr>
          <w:p w14:paraId="02026CA4">
            <w:pPr>
              <w:jc w:val="center"/>
              <w:rPr>
                <w:rFonts w:hint="eastAsia" w:ascii="宋体" w:hAnsi="宋体" w:eastAsia="宋体" w:cs="宋体"/>
                <w:color w:val="auto"/>
                <w:kern w:val="2"/>
                <w:sz w:val="21"/>
                <w:szCs w:val="21"/>
                <w:highlight w:val="none"/>
                <w:lang w:val="en-US" w:eastAsia="en-US" w:bidi="ar-SA"/>
              </w:rPr>
            </w:pPr>
          </w:p>
        </w:tc>
        <w:tc>
          <w:tcPr>
            <w:tcW w:w="5374" w:type="dxa"/>
            <w:noWrap w:val="0"/>
            <w:vAlign w:val="center"/>
          </w:tcPr>
          <w:p w14:paraId="1D3A487B">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项目增加1倍以上，不足2倍排污量的</w:t>
            </w:r>
          </w:p>
        </w:tc>
        <w:tc>
          <w:tcPr>
            <w:tcW w:w="1411" w:type="dxa"/>
            <w:noWrap w:val="0"/>
            <w:vAlign w:val="center"/>
          </w:tcPr>
          <w:p w14:paraId="2A25A436">
            <w:pPr>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4</w:t>
            </w:r>
          </w:p>
        </w:tc>
      </w:tr>
      <w:tr w14:paraId="1824C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737" w:type="dxa"/>
            <w:vMerge w:val="continue"/>
            <w:noWrap w:val="0"/>
            <w:vAlign w:val="center"/>
          </w:tcPr>
          <w:p w14:paraId="3D130E60">
            <w:pPr>
              <w:jc w:val="center"/>
              <w:rPr>
                <w:rFonts w:hint="eastAsia" w:ascii="宋体" w:hAnsi="宋体" w:eastAsia="宋体" w:cs="宋体"/>
                <w:color w:val="auto"/>
                <w:kern w:val="2"/>
                <w:sz w:val="21"/>
                <w:szCs w:val="21"/>
                <w:highlight w:val="none"/>
                <w:lang w:val="en-US" w:eastAsia="en-US" w:bidi="ar-SA"/>
              </w:rPr>
            </w:pPr>
          </w:p>
        </w:tc>
        <w:tc>
          <w:tcPr>
            <w:tcW w:w="5374" w:type="dxa"/>
            <w:noWrap w:val="0"/>
            <w:vAlign w:val="center"/>
          </w:tcPr>
          <w:p w14:paraId="2BDB9311">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项目增加2倍以上排污量的</w:t>
            </w:r>
          </w:p>
        </w:tc>
        <w:tc>
          <w:tcPr>
            <w:tcW w:w="1411" w:type="dxa"/>
            <w:noWrap w:val="0"/>
            <w:vAlign w:val="center"/>
          </w:tcPr>
          <w:p w14:paraId="078E52AE">
            <w:pPr>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5</w:t>
            </w:r>
          </w:p>
        </w:tc>
      </w:tr>
      <w:tr w14:paraId="6724E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7" w:type="dxa"/>
            <w:vMerge w:val="restart"/>
            <w:noWrap w:val="0"/>
            <w:vAlign w:val="center"/>
          </w:tcPr>
          <w:p w14:paraId="025BF1F3">
            <w:pPr>
              <w:pStyle w:val="11"/>
              <w:keepNext w:val="0"/>
              <w:keepLines w:val="0"/>
              <w:pageBreakBefore w:val="0"/>
              <w:widowControl w:val="0"/>
              <w:shd w:val="clear" w:color="auto" w:fill="auto"/>
              <w:kinsoku/>
              <w:wordWrap/>
              <w:overflowPunct/>
              <w:topLinePunct w:val="0"/>
              <w:autoSpaceDE w:val="0"/>
              <w:autoSpaceDN w:val="0"/>
              <w:bidi w:val="0"/>
              <w:adjustRightInd w:val="0"/>
              <w:snapToGrid w:val="0"/>
              <w:ind w:left="0" w:leftChars="0" w:right="0" w:rightChars="0" w:firstLine="0" w:firstLineChars="0"/>
              <w:jc w:val="center"/>
              <w:textAlignment w:val="baseline"/>
              <w:rPr>
                <w:rFonts w:hint="eastAsia" w:ascii="宋体" w:hAnsi="宋体" w:eastAsia="宋体" w:cs="宋体"/>
                <w:color w:val="auto"/>
                <w:sz w:val="21"/>
                <w:szCs w:val="21"/>
                <w:highlight w:val="none"/>
              </w:rPr>
            </w:pPr>
            <w:r>
              <w:rPr>
                <w:rFonts w:hint="eastAsia" w:cs="宋体"/>
                <w:color w:val="auto"/>
                <w:sz w:val="21"/>
                <w:szCs w:val="21"/>
                <w:highlight w:val="none"/>
                <w:lang w:val="en-US" w:eastAsia="zh-CN"/>
              </w:rPr>
              <w:t>项目</w:t>
            </w:r>
            <w:r>
              <w:rPr>
                <w:rFonts w:hint="eastAsia" w:ascii="宋体" w:hAnsi="宋体" w:eastAsia="宋体" w:cs="宋体"/>
                <w:color w:val="auto"/>
                <w:sz w:val="21"/>
                <w:szCs w:val="21"/>
                <w:highlight w:val="none"/>
              </w:rPr>
              <w:t>建设</w:t>
            </w:r>
            <w:r>
              <w:rPr>
                <w:rFonts w:hint="eastAsia" w:cs="宋体"/>
                <w:color w:val="auto"/>
                <w:sz w:val="21"/>
                <w:szCs w:val="21"/>
                <w:highlight w:val="none"/>
                <w:lang w:val="en-US" w:eastAsia="zh-CN"/>
              </w:rPr>
              <w:t>状况</w:t>
            </w:r>
          </w:p>
        </w:tc>
        <w:tc>
          <w:tcPr>
            <w:tcW w:w="5374" w:type="dxa"/>
            <w:noWrap w:val="0"/>
            <w:vAlign w:val="center"/>
          </w:tcPr>
          <w:p w14:paraId="74D7633F">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beforeAutospacing="0" w:afterAutospacing="0"/>
              <w:ind w:left="0" w:leftChars="0" w:right="0" w:rightChars="0" w:firstLine="420" w:firstLineChars="200"/>
              <w:textAlignment w:val="baseline"/>
              <w:rPr>
                <w:rFonts w:hint="eastAsia" w:ascii="宋体" w:hAnsi="宋体" w:eastAsia="宋体" w:cs="宋体"/>
                <w:b/>
                <w:bCs/>
                <w:kern w:val="2"/>
                <w:sz w:val="21"/>
                <w:szCs w:val="21"/>
                <w:highlight w:val="none"/>
                <w:lang w:val="en-US" w:eastAsia="zh-CN" w:bidi="ar-SA"/>
              </w:rPr>
            </w:pPr>
            <w:r>
              <w:rPr>
                <w:rFonts w:hint="eastAsia" w:ascii="宋体" w:hAnsi="宋体" w:eastAsia="宋体" w:cs="宋体"/>
                <w:color w:val="auto"/>
                <w:sz w:val="21"/>
                <w:szCs w:val="21"/>
                <w:highlight w:val="none"/>
              </w:rPr>
              <w:t>未建成</w:t>
            </w:r>
          </w:p>
        </w:tc>
        <w:tc>
          <w:tcPr>
            <w:tcW w:w="1411" w:type="dxa"/>
            <w:noWrap w:val="0"/>
            <w:vAlign w:val="center"/>
          </w:tcPr>
          <w:p w14:paraId="6A8466D8">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6BE7E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7" w:type="dxa"/>
            <w:vMerge w:val="continue"/>
            <w:noWrap w:val="0"/>
            <w:vAlign w:val="center"/>
          </w:tcPr>
          <w:p w14:paraId="4A99FECA">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p>
        </w:tc>
        <w:tc>
          <w:tcPr>
            <w:tcW w:w="5374" w:type="dxa"/>
            <w:noWrap w:val="0"/>
            <w:vAlign w:val="center"/>
          </w:tcPr>
          <w:p w14:paraId="4FE52FAB">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beforeAutospacing="0" w:afterAutospacing="0"/>
              <w:ind w:left="0" w:leftChars="0" w:right="0" w:rightChars="0" w:firstLine="420" w:firstLineChars="200"/>
              <w:textAlignment w:val="baseline"/>
              <w:rPr>
                <w:rFonts w:hint="eastAsia" w:ascii="宋体" w:hAnsi="宋体" w:eastAsia="宋体" w:cs="宋体"/>
                <w:b/>
                <w:bCs/>
                <w:kern w:val="2"/>
                <w:sz w:val="21"/>
                <w:szCs w:val="21"/>
                <w:highlight w:val="none"/>
                <w:lang w:val="en-US" w:eastAsia="zh-CN" w:bidi="ar-SA"/>
              </w:rPr>
            </w:pPr>
            <w:r>
              <w:rPr>
                <w:rFonts w:hint="eastAsia" w:ascii="宋体" w:hAnsi="宋体" w:eastAsia="宋体" w:cs="宋体"/>
                <w:color w:val="auto"/>
                <w:sz w:val="21"/>
                <w:szCs w:val="21"/>
                <w:highlight w:val="none"/>
              </w:rPr>
              <w:t>已建成但尚未使用</w:t>
            </w:r>
          </w:p>
        </w:tc>
        <w:tc>
          <w:tcPr>
            <w:tcW w:w="1411" w:type="dxa"/>
            <w:noWrap w:val="0"/>
            <w:vAlign w:val="center"/>
          </w:tcPr>
          <w:p w14:paraId="11A3DB6E">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3</w:t>
            </w:r>
          </w:p>
        </w:tc>
      </w:tr>
      <w:tr w14:paraId="71BCC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7" w:type="dxa"/>
            <w:vMerge w:val="continue"/>
            <w:noWrap w:val="0"/>
            <w:vAlign w:val="center"/>
          </w:tcPr>
          <w:p w14:paraId="25C1785E">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p>
        </w:tc>
        <w:tc>
          <w:tcPr>
            <w:tcW w:w="5374" w:type="dxa"/>
            <w:noWrap w:val="0"/>
            <w:vAlign w:val="center"/>
          </w:tcPr>
          <w:p w14:paraId="3E6DC3B4">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beforeAutospacing="0" w:afterAutospacing="0"/>
              <w:ind w:left="0" w:leftChars="0" w:right="0" w:rightChars="0" w:firstLine="420" w:firstLineChars="200"/>
              <w:textAlignment w:val="baseline"/>
              <w:rPr>
                <w:rFonts w:hint="eastAsia" w:ascii="宋体" w:hAnsi="宋体" w:eastAsia="宋体" w:cs="宋体"/>
                <w:b/>
                <w:bCs/>
                <w:kern w:val="2"/>
                <w:sz w:val="21"/>
                <w:szCs w:val="21"/>
                <w:highlight w:val="none"/>
                <w:lang w:val="en-US" w:eastAsia="zh-CN" w:bidi="ar-SA"/>
              </w:rPr>
            </w:pPr>
            <w:r>
              <w:rPr>
                <w:rFonts w:hint="eastAsia" w:ascii="宋体" w:hAnsi="宋体" w:eastAsia="宋体" w:cs="宋体"/>
                <w:color w:val="auto"/>
                <w:sz w:val="21"/>
                <w:szCs w:val="21"/>
                <w:highlight w:val="none"/>
                <w:lang w:eastAsia="zh-CN"/>
              </w:rPr>
              <w:t>已建成并使用</w:t>
            </w:r>
          </w:p>
        </w:tc>
        <w:tc>
          <w:tcPr>
            <w:tcW w:w="1411" w:type="dxa"/>
            <w:noWrap w:val="0"/>
            <w:vAlign w:val="center"/>
          </w:tcPr>
          <w:p w14:paraId="58EEA9EA">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5</w:t>
            </w:r>
          </w:p>
        </w:tc>
      </w:tr>
      <w:tr w14:paraId="39A93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7" w:type="dxa"/>
            <w:vMerge w:val="restart"/>
            <w:noWrap w:val="0"/>
            <w:vAlign w:val="center"/>
          </w:tcPr>
          <w:p w14:paraId="2398C61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污染物</w:t>
            </w:r>
            <w:r>
              <w:rPr>
                <w:rFonts w:hint="eastAsia" w:ascii="宋体" w:hAnsi="宋体" w:eastAsia="宋体" w:cs="宋体"/>
                <w:color w:val="auto"/>
                <w:sz w:val="21"/>
                <w:szCs w:val="21"/>
                <w:highlight w:val="none"/>
              </w:rPr>
              <w:t>类别</w:t>
            </w:r>
          </w:p>
        </w:tc>
        <w:tc>
          <w:tcPr>
            <w:tcW w:w="5374" w:type="dxa"/>
            <w:noWrap w:val="0"/>
            <w:vAlign w:val="top"/>
          </w:tcPr>
          <w:p w14:paraId="7C0A8C90">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一般废气、废水、固体废物、噪声、畜禽养殖废水</w:t>
            </w:r>
          </w:p>
        </w:tc>
        <w:tc>
          <w:tcPr>
            <w:tcW w:w="1411" w:type="dxa"/>
            <w:noWrap w:val="0"/>
            <w:vAlign w:val="center"/>
          </w:tcPr>
          <w:p w14:paraId="77A914D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3E589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7" w:type="dxa"/>
            <w:vMerge w:val="continue"/>
            <w:noWrap w:val="0"/>
            <w:vAlign w:val="center"/>
          </w:tcPr>
          <w:p w14:paraId="01098B17">
            <w:pPr>
              <w:jc w:val="center"/>
              <w:rPr>
                <w:rFonts w:hint="eastAsia" w:ascii="宋体" w:hAnsi="宋体" w:eastAsia="宋体" w:cs="宋体"/>
                <w:color w:val="auto"/>
                <w:sz w:val="21"/>
                <w:szCs w:val="21"/>
                <w:highlight w:val="none"/>
              </w:rPr>
            </w:pPr>
          </w:p>
        </w:tc>
        <w:tc>
          <w:tcPr>
            <w:tcW w:w="5374" w:type="dxa"/>
            <w:noWrap w:val="0"/>
            <w:vAlign w:val="top"/>
          </w:tcPr>
          <w:p w14:paraId="4AD5AAE6">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火电、钢铁、石化、水泥、炼焦、有色、化工废气/医疗废水</w:t>
            </w:r>
          </w:p>
        </w:tc>
        <w:tc>
          <w:tcPr>
            <w:tcW w:w="1411" w:type="dxa"/>
            <w:noWrap w:val="0"/>
            <w:vAlign w:val="center"/>
          </w:tcPr>
          <w:p w14:paraId="34640B0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p>
        </w:tc>
      </w:tr>
      <w:tr w14:paraId="247AD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7" w:type="dxa"/>
            <w:vMerge w:val="continue"/>
            <w:noWrap w:val="0"/>
            <w:vAlign w:val="center"/>
          </w:tcPr>
          <w:p w14:paraId="096223C4">
            <w:pPr>
              <w:jc w:val="center"/>
              <w:rPr>
                <w:rFonts w:hint="eastAsia" w:ascii="宋体" w:hAnsi="宋体" w:eastAsia="宋体" w:cs="宋体"/>
                <w:color w:val="auto"/>
                <w:sz w:val="21"/>
                <w:szCs w:val="21"/>
                <w:highlight w:val="none"/>
              </w:rPr>
            </w:pPr>
          </w:p>
        </w:tc>
        <w:tc>
          <w:tcPr>
            <w:tcW w:w="5374" w:type="dxa"/>
            <w:noWrap w:val="0"/>
            <w:vAlign w:val="top"/>
          </w:tcPr>
          <w:p w14:paraId="4DBA67DB">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含有毒有害物质的废气、废水／含一类污染物或重金属、病原体、放射性物质的废水／危险废物</w:t>
            </w:r>
          </w:p>
        </w:tc>
        <w:tc>
          <w:tcPr>
            <w:tcW w:w="1411" w:type="dxa"/>
            <w:noWrap w:val="0"/>
            <w:vAlign w:val="center"/>
          </w:tcPr>
          <w:p w14:paraId="2E48B72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p>
        </w:tc>
      </w:tr>
    </w:tbl>
    <w:p w14:paraId="0A981397">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17"/>
        <w:gridCol w:w="5648"/>
        <w:gridCol w:w="1483"/>
      </w:tblGrid>
      <w:tr w14:paraId="0B9DA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48" w:type="dxa"/>
            <w:gridSpan w:val="3"/>
            <w:noWrap w:val="0"/>
            <w:vAlign w:val="top"/>
          </w:tcPr>
          <w:p w14:paraId="1A2B3786">
            <w:pPr>
              <w:jc w:val="center"/>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rPr>
              <w:t>（</w:t>
            </w:r>
            <w:r>
              <w:rPr>
                <w:rFonts w:hint="eastAsia" w:ascii="宋体" w:hAnsi="宋体" w:eastAsia="宋体" w:cs="宋体"/>
                <w:bCs/>
                <w:color w:val="auto"/>
                <w:sz w:val="21"/>
                <w:szCs w:val="21"/>
                <w:highlight w:val="none"/>
                <w:lang w:val="en-US" w:eastAsia="zh-CN"/>
              </w:rPr>
              <w:t>五</w:t>
            </w:r>
            <w:r>
              <w:rPr>
                <w:rFonts w:hint="eastAsia" w:ascii="宋体" w:hAnsi="宋体" w:eastAsia="宋体" w:cs="宋体"/>
                <w:bCs/>
                <w:color w:val="auto"/>
                <w:sz w:val="21"/>
                <w:szCs w:val="21"/>
                <w:highlight w:val="none"/>
              </w:rPr>
              <w:t>）水污染防治类</w:t>
            </w:r>
          </w:p>
        </w:tc>
      </w:tr>
      <w:tr w14:paraId="4F940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7" w:type="dxa"/>
            <w:noWrap w:val="0"/>
            <w:vAlign w:val="center"/>
          </w:tcPr>
          <w:p w14:paraId="5C1EB55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7131" w:type="dxa"/>
            <w:gridSpan w:val="2"/>
            <w:noWrap w:val="0"/>
            <w:vAlign w:val="top"/>
          </w:tcPr>
          <w:p w14:paraId="2B6AD7BC">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strike w:val="0"/>
                <w:dstrike w:val="0"/>
                <w:color w:val="auto"/>
                <w:sz w:val="21"/>
                <w:szCs w:val="21"/>
                <w:highlight w:val="none"/>
                <w:lang w:val="en-US" w:eastAsia="zh-CN"/>
              </w:rPr>
              <w:t>17</w:t>
            </w:r>
          </w:p>
        </w:tc>
      </w:tr>
      <w:tr w14:paraId="20AFE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7" w:type="dxa"/>
            <w:noWrap w:val="0"/>
            <w:vAlign w:val="center"/>
          </w:tcPr>
          <w:p w14:paraId="1887D4E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7131" w:type="dxa"/>
            <w:gridSpan w:val="2"/>
            <w:noWrap w:val="0"/>
            <w:vAlign w:val="center"/>
          </w:tcPr>
          <w:p w14:paraId="2A4128A9">
            <w:pPr>
              <w:adjustRightInd w:val="0"/>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在饮用水水源一级保护区内从事网箱养殖或者组织进行旅游、垂钓或者其他可能污染饮用水水体的活动</w:t>
            </w:r>
            <w:r>
              <w:rPr>
                <w:rFonts w:hint="eastAsia" w:ascii="宋体" w:hAnsi="宋体" w:cs="宋体"/>
                <w:color w:val="auto"/>
                <w:sz w:val="21"/>
                <w:szCs w:val="21"/>
                <w:highlight w:val="none"/>
                <w:lang w:eastAsia="zh-CN"/>
              </w:rPr>
              <w:t>的</w:t>
            </w:r>
          </w:p>
        </w:tc>
      </w:tr>
      <w:tr w14:paraId="01551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7" w:type="dxa"/>
            <w:noWrap w:val="0"/>
            <w:vAlign w:val="center"/>
          </w:tcPr>
          <w:p w14:paraId="201966B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7131" w:type="dxa"/>
            <w:gridSpan w:val="2"/>
            <w:noWrap w:val="0"/>
            <w:vAlign w:val="top"/>
          </w:tcPr>
          <w:p w14:paraId="4B4DADDC">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《中华人民共和国生态环境法典》第三百一十九条</w:t>
            </w:r>
            <w:r>
              <w:rPr>
                <w:rFonts w:hint="eastAsia" w:ascii="宋体" w:hAnsi="宋体" w:eastAsia="宋体" w:cs="宋体"/>
                <w:color w:val="auto"/>
                <w:sz w:val="21"/>
                <w:szCs w:val="21"/>
                <w:highlight w:val="none"/>
                <w:lang w:val="en-US" w:eastAsia="zh-CN"/>
              </w:rPr>
              <w:t>第二款   禁止在饮用水水源一级保护区内从事网箱养殖、旅游、游泳、垂钓或者其他可能污染饮用水水体的活动。</w:t>
            </w:r>
          </w:p>
        </w:tc>
      </w:tr>
      <w:tr w14:paraId="50570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17" w:type="dxa"/>
            <w:noWrap w:val="0"/>
            <w:vAlign w:val="center"/>
          </w:tcPr>
          <w:p w14:paraId="6A6114F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7131" w:type="dxa"/>
            <w:gridSpan w:val="2"/>
            <w:noWrap w:val="0"/>
            <w:vAlign w:val="top"/>
          </w:tcPr>
          <w:p w14:paraId="71F70F60">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《中华人民共和国生态环境法典》第一千一百四十五条第二款  违反本法规定，在饮用水水源一级保护区内从事网箱养殖或者组织进行旅游、垂钓或者其他可能污染饮用水水体的活动的，由生态环境主管部门责令停止违法行为，处二万元以上十万元以下的罚款。个人在饮用水水源一级保护区内游泳、垂钓或者从事其他可能污染饮用水水体的活动的，由生态环境主管部门责令停止违法行为，可以处五百元以下的罚款。</w:t>
            </w:r>
          </w:p>
        </w:tc>
      </w:tr>
      <w:tr w14:paraId="143D7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7" w:type="dxa"/>
            <w:noWrap w:val="0"/>
            <w:vAlign w:val="center"/>
          </w:tcPr>
          <w:p w14:paraId="3F5AB26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648" w:type="dxa"/>
            <w:noWrap w:val="0"/>
            <w:vAlign w:val="center"/>
          </w:tcPr>
          <w:p w14:paraId="7D29929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483" w:type="dxa"/>
            <w:noWrap w:val="0"/>
            <w:vAlign w:val="center"/>
          </w:tcPr>
          <w:p w14:paraId="6277C71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5BF34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7" w:type="dxa"/>
            <w:vMerge w:val="restart"/>
            <w:noWrap w:val="0"/>
            <w:vAlign w:val="center"/>
          </w:tcPr>
          <w:p w14:paraId="242F742C">
            <w:pPr>
              <w:pStyle w:val="11"/>
              <w:keepNext w:val="0"/>
              <w:keepLines w:val="0"/>
              <w:pageBreakBefore w:val="0"/>
              <w:widowControl w:val="0"/>
              <w:shd w:val="clear" w:color="auto" w:fill="auto"/>
              <w:tabs>
                <w:tab w:val="left" w:pos="1260"/>
              </w:tabs>
              <w:kinsoku/>
              <w:wordWrap/>
              <w:overflowPunct/>
              <w:topLinePunct w:val="0"/>
              <w:autoSpaceDE w:val="0"/>
              <w:autoSpaceDN w:val="0"/>
              <w:bidi w:val="0"/>
              <w:adjustRightInd w:val="0"/>
              <w:snapToGrid w:val="0"/>
              <w:ind w:left="0" w:leftChars="0" w:right="0" w:rightChars="0" w:firstLine="0" w:firstLine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违法事实</w:t>
            </w:r>
          </w:p>
        </w:tc>
        <w:tc>
          <w:tcPr>
            <w:tcW w:w="5648" w:type="dxa"/>
            <w:noWrap w:val="0"/>
            <w:vAlign w:val="center"/>
          </w:tcPr>
          <w:p w14:paraId="553B91F9">
            <w:pPr>
              <w:pStyle w:val="11"/>
              <w:keepNext w:val="0"/>
              <w:keepLines w:val="0"/>
              <w:pageBreakBefore w:val="0"/>
              <w:widowControl w:val="0"/>
              <w:shd w:val="clear" w:color="auto" w:fill="auto"/>
              <w:kinsoku/>
              <w:wordWrap/>
              <w:overflowPunct/>
              <w:topLinePunct w:val="0"/>
              <w:autoSpaceDE w:val="0"/>
              <w:autoSpaceDN w:val="0"/>
              <w:bidi w:val="0"/>
              <w:adjustRightInd w:val="0"/>
              <w:snapToGrid w:val="0"/>
              <w:ind w:left="0" w:leftChars="0" w:right="0" w:rightChars="0"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组织不足5人/次（网箱养殖面积不足50</w:t>
            </w:r>
            <w:r>
              <w:rPr>
                <w:rFonts w:hint="eastAsia" w:cs="宋体"/>
                <w:color w:val="auto"/>
                <w:sz w:val="21"/>
                <w:szCs w:val="21"/>
                <w:highlight w:val="none"/>
                <w:lang w:eastAsia="zh-CN"/>
              </w:rPr>
              <w:t>平方米</w:t>
            </w:r>
            <w:r>
              <w:rPr>
                <w:rFonts w:hint="eastAsia" w:ascii="宋体" w:hAnsi="宋体" w:eastAsia="宋体" w:cs="宋体"/>
                <w:color w:val="auto"/>
                <w:sz w:val="21"/>
                <w:szCs w:val="21"/>
                <w:highlight w:val="none"/>
                <w:lang w:eastAsia="zh-CN"/>
              </w:rPr>
              <w:t>）</w:t>
            </w:r>
          </w:p>
        </w:tc>
        <w:tc>
          <w:tcPr>
            <w:tcW w:w="1483" w:type="dxa"/>
            <w:noWrap w:val="0"/>
            <w:vAlign w:val="center"/>
          </w:tcPr>
          <w:p w14:paraId="01E20E9B">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616FB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7" w:type="dxa"/>
            <w:vMerge w:val="continue"/>
            <w:noWrap w:val="0"/>
            <w:vAlign w:val="center"/>
          </w:tcPr>
          <w:p w14:paraId="709FE17E">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p>
        </w:tc>
        <w:tc>
          <w:tcPr>
            <w:tcW w:w="5648" w:type="dxa"/>
            <w:noWrap w:val="0"/>
            <w:vAlign w:val="center"/>
          </w:tcPr>
          <w:p w14:paraId="52070E90">
            <w:pPr>
              <w:pStyle w:val="11"/>
              <w:keepNext w:val="0"/>
              <w:keepLines w:val="0"/>
              <w:pageBreakBefore w:val="0"/>
              <w:widowControl w:val="0"/>
              <w:shd w:val="clear" w:color="auto" w:fill="auto"/>
              <w:kinsoku/>
              <w:wordWrap/>
              <w:overflowPunct/>
              <w:topLinePunct w:val="0"/>
              <w:autoSpaceDE w:val="0"/>
              <w:autoSpaceDN w:val="0"/>
              <w:bidi w:val="0"/>
              <w:adjustRightInd w:val="0"/>
              <w:snapToGrid w:val="0"/>
              <w:ind w:left="0" w:leftChars="0" w:right="0" w:rightChars="0"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组织5人/次以上不足10人/次（网箱养殖面积50</w:t>
            </w:r>
            <w:r>
              <w:rPr>
                <w:rFonts w:hint="eastAsia" w:cs="宋体"/>
                <w:color w:val="auto"/>
                <w:sz w:val="21"/>
                <w:szCs w:val="21"/>
                <w:highlight w:val="none"/>
                <w:lang w:eastAsia="zh-CN"/>
              </w:rPr>
              <w:t>平方米</w:t>
            </w:r>
            <w:r>
              <w:rPr>
                <w:rFonts w:hint="eastAsia" w:ascii="宋体" w:hAnsi="宋体" w:eastAsia="宋体" w:cs="宋体"/>
                <w:color w:val="auto"/>
                <w:sz w:val="21"/>
                <w:szCs w:val="21"/>
                <w:highlight w:val="none"/>
                <w:lang w:eastAsia="zh-CN"/>
              </w:rPr>
              <w:t>以上，不足200</w:t>
            </w:r>
            <w:r>
              <w:rPr>
                <w:rFonts w:hint="eastAsia" w:cs="宋体"/>
                <w:color w:val="auto"/>
                <w:sz w:val="21"/>
                <w:szCs w:val="21"/>
                <w:highlight w:val="none"/>
                <w:lang w:eastAsia="zh-CN"/>
              </w:rPr>
              <w:t>平方米</w:t>
            </w:r>
            <w:r>
              <w:rPr>
                <w:rFonts w:hint="eastAsia" w:ascii="宋体" w:hAnsi="宋体" w:eastAsia="宋体" w:cs="宋体"/>
                <w:color w:val="auto"/>
                <w:sz w:val="21"/>
                <w:szCs w:val="21"/>
                <w:highlight w:val="none"/>
                <w:lang w:eastAsia="zh-CN"/>
              </w:rPr>
              <w:t>）</w:t>
            </w:r>
          </w:p>
        </w:tc>
        <w:tc>
          <w:tcPr>
            <w:tcW w:w="1483" w:type="dxa"/>
            <w:noWrap w:val="0"/>
            <w:vAlign w:val="center"/>
          </w:tcPr>
          <w:p w14:paraId="0BE5F48A">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6CD29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7" w:type="dxa"/>
            <w:vMerge w:val="continue"/>
            <w:noWrap w:val="0"/>
            <w:vAlign w:val="center"/>
          </w:tcPr>
          <w:p w14:paraId="63F4B826">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p>
        </w:tc>
        <w:tc>
          <w:tcPr>
            <w:tcW w:w="5648" w:type="dxa"/>
            <w:noWrap w:val="0"/>
            <w:vAlign w:val="center"/>
          </w:tcPr>
          <w:p w14:paraId="797A1541">
            <w:pPr>
              <w:pStyle w:val="11"/>
              <w:keepNext w:val="0"/>
              <w:keepLines w:val="0"/>
              <w:pageBreakBefore w:val="0"/>
              <w:widowControl w:val="0"/>
              <w:shd w:val="clear" w:color="auto" w:fill="auto"/>
              <w:kinsoku/>
              <w:wordWrap/>
              <w:overflowPunct/>
              <w:topLinePunct w:val="0"/>
              <w:autoSpaceDE w:val="0"/>
              <w:autoSpaceDN w:val="0"/>
              <w:bidi w:val="0"/>
              <w:adjustRightInd w:val="0"/>
              <w:snapToGrid w:val="0"/>
              <w:ind w:left="0" w:leftChars="0" w:right="0" w:rightChars="0"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组织10人/次以上（网箱养殖面积200</w:t>
            </w:r>
            <w:r>
              <w:rPr>
                <w:rFonts w:hint="eastAsia" w:cs="宋体"/>
                <w:color w:val="auto"/>
                <w:sz w:val="21"/>
                <w:szCs w:val="21"/>
                <w:highlight w:val="none"/>
                <w:lang w:eastAsia="zh-CN"/>
              </w:rPr>
              <w:t>平方米</w:t>
            </w:r>
            <w:r>
              <w:rPr>
                <w:rFonts w:hint="eastAsia" w:ascii="宋体" w:hAnsi="宋体" w:eastAsia="宋体" w:cs="宋体"/>
                <w:color w:val="auto"/>
                <w:sz w:val="21"/>
                <w:szCs w:val="21"/>
                <w:highlight w:val="none"/>
                <w:lang w:eastAsia="zh-CN"/>
              </w:rPr>
              <w:t>以上）</w:t>
            </w:r>
          </w:p>
        </w:tc>
        <w:tc>
          <w:tcPr>
            <w:tcW w:w="1483" w:type="dxa"/>
            <w:noWrap w:val="0"/>
            <w:vAlign w:val="center"/>
          </w:tcPr>
          <w:p w14:paraId="077DB757">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55104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7" w:type="dxa"/>
            <w:vMerge w:val="restart"/>
            <w:noWrap w:val="0"/>
            <w:vAlign w:val="center"/>
          </w:tcPr>
          <w:p w14:paraId="5CA4C46F">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饮用水源日供水规模</w:t>
            </w:r>
          </w:p>
        </w:tc>
        <w:tc>
          <w:tcPr>
            <w:tcW w:w="5648" w:type="dxa"/>
            <w:noWrap w:val="0"/>
            <w:vAlign w:val="center"/>
          </w:tcPr>
          <w:p w14:paraId="3D6D3FBF">
            <w:pPr>
              <w:pStyle w:val="11"/>
              <w:keepNext w:val="0"/>
              <w:keepLines w:val="0"/>
              <w:pageBreakBefore w:val="0"/>
              <w:widowControl w:val="0"/>
              <w:shd w:val="clear" w:color="auto" w:fill="auto"/>
              <w:kinsoku/>
              <w:wordWrap/>
              <w:overflowPunct/>
              <w:topLinePunct w:val="0"/>
              <w:autoSpaceDE w:val="0"/>
              <w:autoSpaceDN w:val="0"/>
              <w:bidi w:val="0"/>
              <w:adjustRightInd w:val="0"/>
              <w:snapToGrid w:val="0"/>
              <w:ind w:left="0" w:leftChars="0" w:right="0" w:rightChars="0" w:firstLine="420" w:firstLineChars="20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不足5万</w:t>
            </w:r>
            <w:r>
              <w:rPr>
                <w:rFonts w:hint="eastAsia" w:cs="宋体"/>
                <w:color w:val="auto"/>
                <w:sz w:val="21"/>
                <w:szCs w:val="21"/>
                <w:highlight w:val="none"/>
                <w:lang w:eastAsia="zh-CN"/>
              </w:rPr>
              <w:t>立方米</w:t>
            </w:r>
          </w:p>
        </w:tc>
        <w:tc>
          <w:tcPr>
            <w:tcW w:w="1483" w:type="dxa"/>
            <w:noWrap w:val="0"/>
            <w:vAlign w:val="center"/>
          </w:tcPr>
          <w:p w14:paraId="34046A0A">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r>
      <w:tr w14:paraId="6AA9F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7" w:type="dxa"/>
            <w:vMerge w:val="continue"/>
            <w:noWrap w:val="0"/>
            <w:vAlign w:val="center"/>
          </w:tcPr>
          <w:p w14:paraId="3789FE5D">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p>
        </w:tc>
        <w:tc>
          <w:tcPr>
            <w:tcW w:w="5648" w:type="dxa"/>
            <w:noWrap w:val="0"/>
            <w:vAlign w:val="center"/>
          </w:tcPr>
          <w:p w14:paraId="30268F72">
            <w:pPr>
              <w:pStyle w:val="11"/>
              <w:keepNext w:val="0"/>
              <w:keepLines w:val="0"/>
              <w:pageBreakBefore w:val="0"/>
              <w:widowControl w:val="0"/>
              <w:shd w:val="clear" w:color="auto" w:fill="auto"/>
              <w:kinsoku/>
              <w:wordWrap/>
              <w:overflowPunct/>
              <w:topLinePunct w:val="0"/>
              <w:autoSpaceDE w:val="0"/>
              <w:autoSpaceDN w:val="0"/>
              <w:bidi w:val="0"/>
              <w:adjustRightInd w:val="0"/>
              <w:snapToGrid w:val="0"/>
              <w:ind w:left="0" w:leftChars="0" w:right="0" w:rightChars="0" w:firstLine="420" w:firstLineChars="20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5万</w:t>
            </w:r>
            <w:r>
              <w:rPr>
                <w:rFonts w:hint="eastAsia" w:cs="宋体"/>
                <w:color w:val="auto"/>
                <w:sz w:val="21"/>
                <w:szCs w:val="21"/>
                <w:highlight w:val="none"/>
                <w:lang w:eastAsia="zh-CN"/>
              </w:rPr>
              <w:t>立方米</w:t>
            </w:r>
            <w:r>
              <w:rPr>
                <w:rFonts w:hint="eastAsia" w:ascii="宋体" w:hAnsi="宋体" w:eastAsia="宋体" w:cs="宋体"/>
                <w:color w:val="auto"/>
                <w:sz w:val="21"/>
                <w:szCs w:val="21"/>
                <w:highlight w:val="none"/>
                <w:lang w:eastAsia="zh-CN"/>
              </w:rPr>
              <w:t>不足10万</w:t>
            </w:r>
            <w:r>
              <w:rPr>
                <w:rFonts w:hint="eastAsia" w:cs="宋体"/>
                <w:color w:val="auto"/>
                <w:sz w:val="21"/>
                <w:szCs w:val="21"/>
                <w:highlight w:val="none"/>
                <w:lang w:eastAsia="zh-CN"/>
              </w:rPr>
              <w:t>立方米</w:t>
            </w:r>
          </w:p>
        </w:tc>
        <w:tc>
          <w:tcPr>
            <w:tcW w:w="1483" w:type="dxa"/>
            <w:noWrap w:val="0"/>
            <w:vAlign w:val="center"/>
          </w:tcPr>
          <w:p w14:paraId="292AC787">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r>
      <w:tr w14:paraId="7E229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7" w:type="dxa"/>
            <w:vMerge w:val="continue"/>
            <w:noWrap w:val="0"/>
            <w:vAlign w:val="center"/>
          </w:tcPr>
          <w:p w14:paraId="36048629">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p>
        </w:tc>
        <w:tc>
          <w:tcPr>
            <w:tcW w:w="5648" w:type="dxa"/>
            <w:noWrap w:val="0"/>
            <w:vAlign w:val="center"/>
          </w:tcPr>
          <w:p w14:paraId="07339801">
            <w:pPr>
              <w:pStyle w:val="11"/>
              <w:keepNext w:val="0"/>
              <w:keepLines w:val="0"/>
              <w:pageBreakBefore w:val="0"/>
              <w:widowControl w:val="0"/>
              <w:shd w:val="clear" w:color="auto" w:fill="auto"/>
              <w:kinsoku/>
              <w:wordWrap/>
              <w:overflowPunct/>
              <w:topLinePunct w:val="0"/>
              <w:autoSpaceDE w:val="0"/>
              <w:autoSpaceDN w:val="0"/>
              <w:bidi w:val="0"/>
              <w:adjustRightInd w:val="0"/>
              <w:snapToGrid w:val="0"/>
              <w:ind w:left="0" w:leftChars="0" w:right="0" w:rightChars="0" w:firstLine="420" w:firstLineChars="20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10万</w:t>
            </w:r>
            <w:r>
              <w:rPr>
                <w:rFonts w:hint="eastAsia" w:cs="宋体"/>
                <w:color w:val="auto"/>
                <w:sz w:val="21"/>
                <w:szCs w:val="21"/>
                <w:highlight w:val="none"/>
                <w:lang w:eastAsia="zh-CN"/>
              </w:rPr>
              <w:t>立方米</w:t>
            </w:r>
            <w:r>
              <w:rPr>
                <w:rFonts w:hint="eastAsia" w:ascii="宋体" w:hAnsi="宋体" w:eastAsia="宋体" w:cs="宋体"/>
                <w:color w:val="auto"/>
                <w:sz w:val="21"/>
                <w:szCs w:val="21"/>
                <w:highlight w:val="none"/>
                <w:lang w:eastAsia="zh-CN"/>
              </w:rPr>
              <w:t>以上不足15万</w:t>
            </w:r>
            <w:r>
              <w:rPr>
                <w:rFonts w:hint="eastAsia" w:cs="宋体"/>
                <w:color w:val="auto"/>
                <w:sz w:val="21"/>
                <w:szCs w:val="21"/>
                <w:highlight w:val="none"/>
                <w:lang w:eastAsia="zh-CN"/>
              </w:rPr>
              <w:t>立方米</w:t>
            </w:r>
          </w:p>
        </w:tc>
        <w:tc>
          <w:tcPr>
            <w:tcW w:w="1483" w:type="dxa"/>
            <w:noWrap w:val="0"/>
            <w:vAlign w:val="center"/>
          </w:tcPr>
          <w:p w14:paraId="77787FFE">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r>
      <w:tr w14:paraId="1C1CD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7" w:type="dxa"/>
            <w:vMerge w:val="continue"/>
            <w:noWrap w:val="0"/>
            <w:vAlign w:val="center"/>
          </w:tcPr>
          <w:p w14:paraId="4DC71C69">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p>
        </w:tc>
        <w:tc>
          <w:tcPr>
            <w:tcW w:w="5648" w:type="dxa"/>
            <w:noWrap w:val="0"/>
            <w:vAlign w:val="center"/>
          </w:tcPr>
          <w:p w14:paraId="3A6019EB">
            <w:pPr>
              <w:pStyle w:val="11"/>
              <w:keepNext w:val="0"/>
              <w:keepLines w:val="0"/>
              <w:pageBreakBefore w:val="0"/>
              <w:widowControl w:val="0"/>
              <w:shd w:val="clear" w:color="auto" w:fill="auto"/>
              <w:kinsoku/>
              <w:wordWrap/>
              <w:overflowPunct/>
              <w:topLinePunct w:val="0"/>
              <w:autoSpaceDE w:val="0"/>
              <w:autoSpaceDN w:val="0"/>
              <w:bidi w:val="0"/>
              <w:adjustRightInd w:val="0"/>
              <w:snapToGrid w:val="0"/>
              <w:ind w:left="0" w:leftChars="0" w:right="0" w:rightChars="0" w:firstLine="420" w:firstLineChars="20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15万</w:t>
            </w:r>
            <w:r>
              <w:rPr>
                <w:rFonts w:hint="eastAsia" w:cs="宋体"/>
                <w:color w:val="auto"/>
                <w:sz w:val="21"/>
                <w:szCs w:val="21"/>
                <w:highlight w:val="none"/>
                <w:lang w:eastAsia="zh-CN"/>
              </w:rPr>
              <w:t>立方米</w:t>
            </w:r>
            <w:r>
              <w:rPr>
                <w:rFonts w:hint="eastAsia" w:ascii="宋体" w:hAnsi="宋体" w:eastAsia="宋体" w:cs="宋体"/>
                <w:color w:val="auto"/>
                <w:sz w:val="21"/>
                <w:szCs w:val="21"/>
                <w:highlight w:val="none"/>
                <w:lang w:eastAsia="zh-CN"/>
              </w:rPr>
              <w:t>以上不足20万</w:t>
            </w:r>
            <w:r>
              <w:rPr>
                <w:rFonts w:hint="eastAsia" w:cs="宋体"/>
                <w:color w:val="auto"/>
                <w:sz w:val="21"/>
                <w:szCs w:val="21"/>
                <w:highlight w:val="none"/>
                <w:lang w:eastAsia="zh-CN"/>
              </w:rPr>
              <w:t>立方米</w:t>
            </w:r>
          </w:p>
        </w:tc>
        <w:tc>
          <w:tcPr>
            <w:tcW w:w="1483" w:type="dxa"/>
            <w:noWrap w:val="0"/>
            <w:vAlign w:val="center"/>
          </w:tcPr>
          <w:p w14:paraId="19A5B33E">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r>
      <w:tr w14:paraId="0DDC4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7" w:type="dxa"/>
            <w:vMerge w:val="continue"/>
            <w:noWrap w:val="0"/>
            <w:vAlign w:val="center"/>
          </w:tcPr>
          <w:p w14:paraId="3BEB252B">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p>
        </w:tc>
        <w:tc>
          <w:tcPr>
            <w:tcW w:w="5648" w:type="dxa"/>
            <w:noWrap w:val="0"/>
            <w:vAlign w:val="center"/>
          </w:tcPr>
          <w:p w14:paraId="4FA69041">
            <w:pPr>
              <w:pStyle w:val="11"/>
              <w:keepNext w:val="0"/>
              <w:keepLines w:val="0"/>
              <w:pageBreakBefore w:val="0"/>
              <w:widowControl w:val="0"/>
              <w:shd w:val="clear" w:color="auto" w:fill="auto"/>
              <w:kinsoku/>
              <w:wordWrap/>
              <w:overflowPunct/>
              <w:topLinePunct w:val="0"/>
              <w:autoSpaceDE w:val="0"/>
              <w:autoSpaceDN w:val="0"/>
              <w:bidi w:val="0"/>
              <w:adjustRightInd w:val="0"/>
              <w:snapToGrid w:val="0"/>
              <w:ind w:left="0" w:leftChars="0" w:right="0" w:rightChars="0" w:firstLine="420" w:firstLineChars="20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20万</w:t>
            </w:r>
            <w:r>
              <w:rPr>
                <w:rFonts w:hint="eastAsia" w:cs="宋体"/>
                <w:color w:val="auto"/>
                <w:sz w:val="21"/>
                <w:szCs w:val="21"/>
                <w:highlight w:val="none"/>
                <w:lang w:eastAsia="zh-CN"/>
              </w:rPr>
              <w:t>立方米</w:t>
            </w:r>
            <w:r>
              <w:rPr>
                <w:rFonts w:hint="eastAsia" w:ascii="宋体" w:hAnsi="宋体" w:eastAsia="宋体" w:cs="宋体"/>
                <w:color w:val="auto"/>
                <w:sz w:val="21"/>
                <w:szCs w:val="21"/>
                <w:highlight w:val="none"/>
                <w:lang w:eastAsia="zh-CN"/>
              </w:rPr>
              <w:t>以上</w:t>
            </w:r>
          </w:p>
        </w:tc>
        <w:tc>
          <w:tcPr>
            <w:tcW w:w="1483" w:type="dxa"/>
            <w:noWrap w:val="0"/>
            <w:vAlign w:val="center"/>
          </w:tcPr>
          <w:p w14:paraId="20EA6849">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r>
    </w:tbl>
    <w:p w14:paraId="520CF259">
      <w:pPr>
        <w:rPr>
          <w:highlight w:val="none"/>
        </w:rPr>
      </w:pPr>
    </w:p>
    <w:p w14:paraId="344E05E3">
      <w:pPr>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br w:type="page"/>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13"/>
        <w:gridCol w:w="5509"/>
        <w:gridCol w:w="1626"/>
      </w:tblGrid>
      <w:tr w14:paraId="3B1C6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48" w:type="dxa"/>
            <w:gridSpan w:val="3"/>
            <w:noWrap w:val="0"/>
            <w:vAlign w:val="top"/>
          </w:tcPr>
          <w:p w14:paraId="62298FB6">
            <w:pPr>
              <w:jc w:val="center"/>
              <w:rPr>
                <w:rFonts w:hint="eastAsia" w:ascii="宋体" w:cs="宋体"/>
                <w:color w:val="auto"/>
                <w:szCs w:val="21"/>
              </w:rPr>
            </w:pPr>
            <w:r>
              <w:rPr>
                <w:rFonts w:hint="eastAsia" w:ascii="宋体" w:hAnsi="宋体" w:eastAsia="宋体" w:cs="宋体"/>
                <w:bCs/>
                <w:color w:val="auto"/>
                <w:sz w:val="21"/>
                <w:szCs w:val="21"/>
                <w:highlight w:val="none"/>
              </w:rPr>
              <w:t>（</w:t>
            </w:r>
            <w:r>
              <w:rPr>
                <w:rFonts w:hint="eastAsia" w:ascii="宋体" w:hAnsi="宋体" w:eastAsia="宋体" w:cs="宋体"/>
                <w:bCs/>
                <w:color w:val="auto"/>
                <w:sz w:val="21"/>
                <w:szCs w:val="21"/>
                <w:highlight w:val="none"/>
                <w:lang w:val="en-US" w:eastAsia="zh-CN"/>
              </w:rPr>
              <w:t>五</w:t>
            </w:r>
            <w:r>
              <w:rPr>
                <w:rFonts w:hint="eastAsia" w:ascii="宋体" w:hAnsi="宋体" w:eastAsia="宋体" w:cs="宋体"/>
                <w:bCs/>
                <w:color w:val="auto"/>
                <w:sz w:val="21"/>
                <w:szCs w:val="21"/>
                <w:highlight w:val="none"/>
              </w:rPr>
              <w:t>）水污染防治类</w:t>
            </w:r>
          </w:p>
        </w:tc>
      </w:tr>
      <w:tr w14:paraId="327F1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3" w:type="dxa"/>
            <w:noWrap w:val="0"/>
            <w:vAlign w:val="center"/>
          </w:tcPr>
          <w:p w14:paraId="17C6EDCD">
            <w:pPr>
              <w:jc w:val="center"/>
              <w:rPr>
                <w:rFonts w:hint="eastAsia" w:ascii="宋体" w:cs="宋体"/>
                <w:color w:val="auto"/>
                <w:szCs w:val="21"/>
              </w:rPr>
            </w:pPr>
            <w:r>
              <w:rPr>
                <w:rFonts w:hint="eastAsia" w:ascii="宋体" w:cs="宋体"/>
                <w:color w:val="auto"/>
                <w:szCs w:val="21"/>
              </w:rPr>
              <w:t>序号</w:t>
            </w:r>
          </w:p>
        </w:tc>
        <w:tc>
          <w:tcPr>
            <w:tcW w:w="7135" w:type="dxa"/>
            <w:gridSpan w:val="2"/>
            <w:noWrap w:val="0"/>
            <w:vAlign w:val="top"/>
          </w:tcPr>
          <w:p w14:paraId="419A9202">
            <w:pPr>
              <w:jc w:val="center"/>
              <w:rPr>
                <w:rFonts w:hint="default" w:ascii="宋体" w:eastAsia="宋体" w:cs="宋体"/>
                <w:color w:val="auto"/>
                <w:szCs w:val="21"/>
                <w:lang w:val="en-US" w:eastAsia="zh-CN"/>
              </w:rPr>
            </w:pPr>
            <w:r>
              <w:rPr>
                <w:rFonts w:hint="eastAsia" w:ascii="宋体" w:cs="宋体"/>
                <w:color w:val="auto"/>
                <w:szCs w:val="21"/>
                <w:lang w:val="en-US" w:eastAsia="zh-CN"/>
              </w:rPr>
              <w:t>18</w:t>
            </w:r>
          </w:p>
        </w:tc>
      </w:tr>
      <w:tr w14:paraId="1749B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3" w:type="dxa"/>
            <w:noWrap w:val="0"/>
            <w:vAlign w:val="center"/>
          </w:tcPr>
          <w:p w14:paraId="6F48D677">
            <w:pPr>
              <w:jc w:val="center"/>
              <w:rPr>
                <w:rFonts w:hint="eastAsia" w:ascii="宋体" w:cs="宋体"/>
                <w:color w:val="auto"/>
                <w:szCs w:val="21"/>
              </w:rPr>
            </w:pPr>
            <w:r>
              <w:rPr>
                <w:rFonts w:hint="eastAsia" w:ascii="宋体" w:cs="宋体"/>
                <w:color w:val="auto"/>
                <w:szCs w:val="21"/>
              </w:rPr>
              <w:t>违法行为</w:t>
            </w:r>
          </w:p>
        </w:tc>
        <w:tc>
          <w:tcPr>
            <w:tcW w:w="7135" w:type="dxa"/>
            <w:gridSpan w:val="2"/>
            <w:noWrap w:val="0"/>
            <w:vAlign w:val="center"/>
          </w:tcPr>
          <w:p w14:paraId="3E023877">
            <w:pPr>
              <w:adjustRightInd w:val="0"/>
              <w:ind w:firstLine="420" w:firstLineChars="200"/>
              <w:jc w:val="both"/>
              <w:rPr>
                <w:rFonts w:hint="eastAsia" w:ascii="宋体" w:cs="宋体"/>
                <w:color w:val="auto"/>
                <w:szCs w:val="21"/>
              </w:rPr>
            </w:pPr>
            <w:r>
              <w:rPr>
                <w:rFonts w:hint="eastAsia" w:ascii="宋体" w:cs="宋体"/>
                <w:color w:val="auto"/>
                <w:szCs w:val="21"/>
              </w:rPr>
              <w:t>未按照环境影响评价文件和审批意见的要求将初期雨水收集处理，直接向外环境排放的</w:t>
            </w:r>
          </w:p>
        </w:tc>
      </w:tr>
      <w:tr w14:paraId="10E48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3" w:type="dxa"/>
            <w:noWrap w:val="0"/>
            <w:vAlign w:val="center"/>
          </w:tcPr>
          <w:p w14:paraId="5C38F569">
            <w:pPr>
              <w:jc w:val="center"/>
              <w:rPr>
                <w:rFonts w:hint="eastAsia" w:ascii="宋体" w:cs="宋体"/>
                <w:color w:val="auto"/>
                <w:szCs w:val="21"/>
              </w:rPr>
            </w:pPr>
            <w:r>
              <w:rPr>
                <w:rFonts w:hint="eastAsia" w:ascii="宋体" w:cs="宋体"/>
                <w:color w:val="auto"/>
                <w:szCs w:val="21"/>
              </w:rPr>
              <w:t>违反条款</w:t>
            </w:r>
          </w:p>
        </w:tc>
        <w:tc>
          <w:tcPr>
            <w:tcW w:w="7135" w:type="dxa"/>
            <w:gridSpan w:val="2"/>
            <w:noWrap w:val="0"/>
            <w:vAlign w:val="top"/>
          </w:tcPr>
          <w:p w14:paraId="3A47368D">
            <w:pPr>
              <w:ind w:firstLine="420" w:firstLineChars="200"/>
              <w:rPr>
                <w:rFonts w:hint="eastAsia" w:ascii="宋体" w:cs="宋体"/>
                <w:color w:val="auto"/>
                <w:szCs w:val="21"/>
              </w:rPr>
            </w:pPr>
            <w:r>
              <w:rPr>
                <w:rFonts w:hint="eastAsia" w:ascii="宋体" w:cs="宋体"/>
                <w:color w:val="auto"/>
                <w:szCs w:val="21"/>
              </w:rPr>
              <w:t>《福建省水污染防治条例》第二十七条</w:t>
            </w:r>
            <w:r>
              <w:rPr>
                <w:rFonts w:hint="eastAsia" w:ascii="宋体" w:cs="宋体"/>
                <w:color w:val="auto"/>
                <w:szCs w:val="21"/>
                <w:lang w:val="en-US" w:eastAsia="zh-CN"/>
              </w:rPr>
              <w:t xml:space="preserve"> </w:t>
            </w:r>
            <w:r>
              <w:rPr>
                <w:rFonts w:hint="eastAsia" w:ascii="宋体" w:cs="宋体"/>
                <w:color w:val="auto"/>
                <w:szCs w:val="21"/>
              </w:rPr>
              <w:t>按照环境影响评价文件和审批意见的要求，需要进行初期雨水收集的化工、电镀等企业事业单位和其他生产经营者，应当将初期雨水收集处理，不得直接向外环境排放。</w:t>
            </w:r>
          </w:p>
        </w:tc>
      </w:tr>
      <w:tr w14:paraId="6B7FC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3" w:type="dxa"/>
            <w:noWrap w:val="0"/>
            <w:vAlign w:val="center"/>
          </w:tcPr>
          <w:p w14:paraId="42E10A65">
            <w:pPr>
              <w:jc w:val="center"/>
              <w:rPr>
                <w:rFonts w:hint="eastAsia" w:ascii="宋体" w:cs="宋体"/>
                <w:color w:val="auto"/>
                <w:szCs w:val="21"/>
              </w:rPr>
            </w:pPr>
            <w:r>
              <w:rPr>
                <w:rFonts w:hint="eastAsia" w:ascii="宋体" w:cs="宋体"/>
                <w:color w:val="auto"/>
                <w:szCs w:val="21"/>
              </w:rPr>
              <w:t>处罚依据</w:t>
            </w:r>
          </w:p>
        </w:tc>
        <w:tc>
          <w:tcPr>
            <w:tcW w:w="7135" w:type="dxa"/>
            <w:gridSpan w:val="2"/>
            <w:noWrap w:val="0"/>
            <w:vAlign w:val="top"/>
          </w:tcPr>
          <w:p w14:paraId="518F3AD5">
            <w:pPr>
              <w:ind w:firstLine="420" w:firstLineChars="200"/>
              <w:rPr>
                <w:rFonts w:hint="eastAsia" w:ascii="宋体" w:cs="宋体"/>
                <w:color w:val="auto"/>
                <w:szCs w:val="21"/>
              </w:rPr>
            </w:pPr>
            <w:r>
              <w:rPr>
                <w:rFonts w:hint="eastAsia" w:ascii="宋体" w:cs="宋体"/>
                <w:color w:val="auto"/>
                <w:szCs w:val="21"/>
              </w:rPr>
              <w:t>《福建省水污染防治条例》第五十七条</w:t>
            </w:r>
            <w:r>
              <w:rPr>
                <w:rFonts w:hint="eastAsia" w:ascii="宋体" w:cs="宋体"/>
                <w:color w:val="auto"/>
                <w:szCs w:val="21"/>
                <w:lang w:val="en-US" w:eastAsia="zh-CN"/>
              </w:rPr>
              <w:t xml:space="preserve"> </w:t>
            </w:r>
            <w:r>
              <w:rPr>
                <w:rFonts w:hint="eastAsia" w:ascii="宋体" w:cs="宋体"/>
                <w:color w:val="auto"/>
                <w:szCs w:val="21"/>
              </w:rPr>
              <w:t>违反本条例第二十七条规定，未按照环境影响评价文件和审批意见的要求将初期雨水收集处理，直接向外环境排放的，由省、设区的市人民政府生态环境主管部门或者其派出机构责令停止违法行为，</w:t>
            </w:r>
            <w:r>
              <w:rPr>
                <w:rFonts w:hint="eastAsia" w:ascii="宋体" w:hAnsi="Calibri" w:eastAsia="宋体" w:cs="宋体"/>
                <w:color w:val="auto"/>
                <w:sz w:val="21"/>
                <w:szCs w:val="21"/>
                <w:shd w:val="clear" w:color="auto" w:fill="auto"/>
              </w:rPr>
              <w:t>处</w:t>
            </w:r>
            <w:r>
              <w:rPr>
                <w:rFonts w:hint="eastAsia" w:ascii="宋体" w:hAnsi="Calibri" w:eastAsia="宋体" w:cs="宋体"/>
                <w:color w:val="auto"/>
                <w:sz w:val="21"/>
                <w:szCs w:val="21"/>
              </w:rPr>
              <w:t>五万元以上五十万元以下</w:t>
            </w:r>
            <w:r>
              <w:rPr>
                <w:rFonts w:hint="eastAsia" w:ascii="宋体" w:hAnsi="Calibri" w:eastAsia="宋体" w:cs="宋体"/>
                <w:color w:val="auto"/>
                <w:sz w:val="21"/>
                <w:szCs w:val="21"/>
                <w:shd w:val="clear" w:color="auto" w:fill="auto"/>
              </w:rPr>
              <w:t>罚款</w:t>
            </w:r>
            <w:r>
              <w:rPr>
                <w:rFonts w:hint="eastAsia" w:ascii="宋体" w:cs="宋体"/>
                <w:color w:val="auto"/>
                <w:szCs w:val="21"/>
              </w:rPr>
              <w:t>；</w:t>
            </w:r>
            <w:r>
              <w:rPr>
                <w:rFonts w:hint="eastAsia" w:ascii="宋体" w:cs="宋体"/>
                <w:color w:val="auto"/>
                <w:szCs w:val="21"/>
                <w:lang w:eastAsia="zh-CN"/>
              </w:rPr>
              <w:t>……</w:t>
            </w:r>
            <w:r>
              <w:rPr>
                <w:rFonts w:hint="eastAsia" w:ascii="宋体" w:cs="宋体"/>
                <w:color w:val="auto"/>
                <w:szCs w:val="21"/>
              </w:rPr>
              <w:t>。</w:t>
            </w:r>
          </w:p>
        </w:tc>
      </w:tr>
      <w:tr w14:paraId="45162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3" w:type="dxa"/>
            <w:noWrap w:val="0"/>
            <w:vAlign w:val="center"/>
          </w:tcPr>
          <w:p w14:paraId="0EAC35EE">
            <w:pPr>
              <w:jc w:val="center"/>
              <w:rPr>
                <w:rFonts w:hint="eastAsia" w:ascii="宋体" w:cs="宋体"/>
                <w:color w:val="auto"/>
                <w:szCs w:val="21"/>
              </w:rPr>
            </w:pPr>
            <w:r>
              <w:rPr>
                <w:rFonts w:hint="eastAsia" w:ascii="宋体" w:cs="宋体"/>
                <w:color w:val="auto"/>
                <w:szCs w:val="21"/>
              </w:rPr>
              <w:t>裁量因素</w:t>
            </w:r>
          </w:p>
        </w:tc>
        <w:tc>
          <w:tcPr>
            <w:tcW w:w="5509" w:type="dxa"/>
            <w:noWrap w:val="0"/>
            <w:vAlign w:val="top"/>
          </w:tcPr>
          <w:p w14:paraId="44C657E0">
            <w:pPr>
              <w:jc w:val="center"/>
              <w:rPr>
                <w:rFonts w:hint="eastAsia" w:ascii="宋体" w:cs="宋体"/>
                <w:color w:val="auto"/>
                <w:szCs w:val="21"/>
              </w:rPr>
            </w:pPr>
            <w:r>
              <w:rPr>
                <w:rFonts w:hint="eastAsia" w:ascii="宋体" w:cs="宋体"/>
                <w:color w:val="auto"/>
                <w:szCs w:val="21"/>
              </w:rPr>
              <w:t>裁量因子</w:t>
            </w:r>
          </w:p>
        </w:tc>
        <w:tc>
          <w:tcPr>
            <w:tcW w:w="1626" w:type="dxa"/>
            <w:noWrap w:val="0"/>
            <w:vAlign w:val="top"/>
          </w:tcPr>
          <w:p w14:paraId="05C9C173">
            <w:pPr>
              <w:jc w:val="center"/>
              <w:rPr>
                <w:rFonts w:hint="eastAsia" w:ascii="宋体" w:cs="宋体"/>
                <w:color w:val="auto"/>
                <w:szCs w:val="21"/>
              </w:rPr>
            </w:pPr>
            <w:r>
              <w:rPr>
                <w:rFonts w:hint="eastAsia" w:ascii="宋体" w:cs="宋体"/>
                <w:color w:val="auto"/>
                <w:szCs w:val="21"/>
              </w:rPr>
              <w:t>裁量等级</w:t>
            </w:r>
          </w:p>
        </w:tc>
      </w:tr>
      <w:tr w14:paraId="484C3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3" w:type="dxa"/>
            <w:vMerge w:val="restart"/>
            <w:noWrap w:val="0"/>
            <w:vAlign w:val="center"/>
          </w:tcPr>
          <w:p w14:paraId="40D1D711">
            <w:pPr>
              <w:jc w:val="center"/>
              <w:rPr>
                <w:rFonts w:hint="eastAsia" w:ascii="宋体" w:cs="宋体"/>
                <w:color w:val="auto"/>
                <w:szCs w:val="21"/>
              </w:rPr>
            </w:pPr>
            <w:r>
              <w:rPr>
                <w:rFonts w:hint="eastAsia" w:ascii="宋体" w:cs="宋体"/>
                <w:color w:val="auto"/>
                <w:szCs w:val="21"/>
              </w:rPr>
              <w:t>污染物排放量</w:t>
            </w:r>
          </w:p>
        </w:tc>
        <w:tc>
          <w:tcPr>
            <w:tcW w:w="5509" w:type="dxa"/>
            <w:noWrap w:val="0"/>
            <w:vAlign w:val="top"/>
          </w:tcPr>
          <w:p w14:paraId="1FFE13BC">
            <w:pPr>
              <w:ind w:firstLine="420" w:firstLineChars="200"/>
              <w:jc w:val="both"/>
              <w:rPr>
                <w:rFonts w:hint="eastAsia" w:ascii="宋体" w:cs="宋体"/>
                <w:color w:val="auto"/>
                <w:szCs w:val="21"/>
              </w:rPr>
            </w:pPr>
            <w:r>
              <w:rPr>
                <w:rFonts w:hint="eastAsia" w:ascii="宋体" w:cs="宋体"/>
                <w:color w:val="auto"/>
                <w:szCs w:val="21"/>
              </w:rPr>
              <w:t>不足1吨</w:t>
            </w:r>
          </w:p>
        </w:tc>
        <w:tc>
          <w:tcPr>
            <w:tcW w:w="1626" w:type="dxa"/>
            <w:noWrap w:val="0"/>
            <w:vAlign w:val="top"/>
          </w:tcPr>
          <w:p w14:paraId="2A8CD486">
            <w:pPr>
              <w:jc w:val="center"/>
              <w:rPr>
                <w:rFonts w:hint="eastAsia" w:ascii="宋体" w:cs="宋体"/>
                <w:color w:val="auto"/>
                <w:szCs w:val="21"/>
              </w:rPr>
            </w:pPr>
            <w:r>
              <w:rPr>
                <w:rFonts w:hint="eastAsia" w:ascii="宋体" w:cs="宋体"/>
                <w:color w:val="auto"/>
                <w:szCs w:val="21"/>
              </w:rPr>
              <w:t>1</w:t>
            </w:r>
          </w:p>
        </w:tc>
      </w:tr>
      <w:tr w14:paraId="51EB7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3" w:type="dxa"/>
            <w:vMerge w:val="continue"/>
            <w:noWrap w:val="0"/>
            <w:vAlign w:val="center"/>
          </w:tcPr>
          <w:p w14:paraId="01C17907">
            <w:pPr>
              <w:jc w:val="center"/>
              <w:rPr>
                <w:color w:val="auto"/>
              </w:rPr>
            </w:pPr>
          </w:p>
        </w:tc>
        <w:tc>
          <w:tcPr>
            <w:tcW w:w="5509" w:type="dxa"/>
            <w:noWrap w:val="0"/>
            <w:vAlign w:val="top"/>
          </w:tcPr>
          <w:p w14:paraId="4873D8ED">
            <w:pPr>
              <w:ind w:firstLine="420" w:firstLineChars="200"/>
              <w:jc w:val="both"/>
              <w:rPr>
                <w:rFonts w:hint="eastAsia" w:ascii="宋体" w:cs="宋体"/>
                <w:color w:val="auto"/>
                <w:szCs w:val="21"/>
              </w:rPr>
            </w:pPr>
            <w:r>
              <w:rPr>
                <w:rFonts w:hint="eastAsia" w:ascii="宋体" w:cs="宋体"/>
                <w:color w:val="auto"/>
                <w:szCs w:val="21"/>
              </w:rPr>
              <w:t>1吨以上不足10吨</w:t>
            </w:r>
          </w:p>
        </w:tc>
        <w:tc>
          <w:tcPr>
            <w:tcW w:w="1626" w:type="dxa"/>
            <w:noWrap w:val="0"/>
            <w:vAlign w:val="top"/>
          </w:tcPr>
          <w:p w14:paraId="10556EEA">
            <w:pPr>
              <w:jc w:val="center"/>
              <w:rPr>
                <w:rFonts w:hint="eastAsia" w:ascii="宋体" w:cs="宋体"/>
                <w:color w:val="auto"/>
                <w:szCs w:val="21"/>
              </w:rPr>
            </w:pPr>
            <w:r>
              <w:rPr>
                <w:rFonts w:hint="eastAsia" w:ascii="宋体" w:cs="宋体"/>
                <w:color w:val="auto"/>
                <w:szCs w:val="21"/>
              </w:rPr>
              <w:t>3</w:t>
            </w:r>
          </w:p>
        </w:tc>
      </w:tr>
      <w:tr w14:paraId="7B84C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3" w:type="dxa"/>
            <w:vMerge w:val="continue"/>
            <w:noWrap w:val="0"/>
            <w:vAlign w:val="center"/>
          </w:tcPr>
          <w:p w14:paraId="605B761D">
            <w:pPr>
              <w:jc w:val="center"/>
              <w:rPr>
                <w:color w:val="auto"/>
              </w:rPr>
            </w:pPr>
          </w:p>
        </w:tc>
        <w:tc>
          <w:tcPr>
            <w:tcW w:w="5509" w:type="dxa"/>
            <w:noWrap w:val="0"/>
            <w:vAlign w:val="top"/>
          </w:tcPr>
          <w:p w14:paraId="54ED3975">
            <w:pPr>
              <w:ind w:firstLine="420" w:firstLineChars="200"/>
              <w:jc w:val="both"/>
              <w:rPr>
                <w:rFonts w:hint="eastAsia" w:ascii="宋体" w:cs="宋体"/>
                <w:color w:val="auto"/>
                <w:szCs w:val="21"/>
              </w:rPr>
            </w:pPr>
            <w:r>
              <w:rPr>
                <w:rFonts w:hint="eastAsia" w:ascii="宋体" w:cs="宋体"/>
                <w:color w:val="auto"/>
                <w:szCs w:val="21"/>
              </w:rPr>
              <w:t>10吨以上</w:t>
            </w:r>
          </w:p>
        </w:tc>
        <w:tc>
          <w:tcPr>
            <w:tcW w:w="1626" w:type="dxa"/>
            <w:noWrap w:val="0"/>
            <w:vAlign w:val="top"/>
          </w:tcPr>
          <w:p w14:paraId="202B45EF">
            <w:pPr>
              <w:jc w:val="center"/>
              <w:rPr>
                <w:rFonts w:hint="eastAsia" w:ascii="宋体" w:cs="宋体"/>
                <w:color w:val="auto"/>
                <w:szCs w:val="21"/>
              </w:rPr>
            </w:pPr>
            <w:r>
              <w:rPr>
                <w:rFonts w:hint="eastAsia" w:ascii="宋体" w:cs="宋体"/>
                <w:color w:val="auto"/>
                <w:szCs w:val="21"/>
              </w:rPr>
              <w:t>5</w:t>
            </w:r>
          </w:p>
        </w:tc>
      </w:tr>
      <w:tr w14:paraId="32060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3" w:type="dxa"/>
            <w:vMerge w:val="restart"/>
            <w:noWrap w:val="0"/>
            <w:vAlign w:val="center"/>
          </w:tcPr>
          <w:p w14:paraId="592D880B">
            <w:pPr>
              <w:jc w:val="center"/>
              <w:rPr>
                <w:rFonts w:hint="eastAsia" w:ascii="宋体" w:cs="宋体"/>
                <w:color w:val="auto"/>
                <w:szCs w:val="21"/>
              </w:rPr>
            </w:pPr>
            <w:r>
              <w:rPr>
                <w:rFonts w:hint="eastAsia" w:ascii="宋体" w:cs="宋体"/>
                <w:color w:val="auto"/>
                <w:szCs w:val="21"/>
              </w:rPr>
              <w:t>排放去向或</w:t>
            </w:r>
          </w:p>
          <w:p w14:paraId="7119D0F2">
            <w:pPr>
              <w:jc w:val="center"/>
              <w:rPr>
                <w:color w:val="auto"/>
              </w:rPr>
            </w:pPr>
            <w:r>
              <w:rPr>
                <w:rFonts w:hint="eastAsia" w:ascii="宋体" w:cs="宋体"/>
                <w:color w:val="auto"/>
                <w:szCs w:val="21"/>
              </w:rPr>
              <w:t>区域</w:t>
            </w:r>
          </w:p>
        </w:tc>
        <w:tc>
          <w:tcPr>
            <w:tcW w:w="5509" w:type="dxa"/>
            <w:noWrap w:val="0"/>
            <w:vAlign w:val="top"/>
          </w:tcPr>
          <w:p w14:paraId="59B92A4A">
            <w:pPr>
              <w:ind w:firstLine="420" w:firstLineChars="200"/>
              <w:jc w:val="both"/>
              <w:rPr>
                <w:rFonts w:hint="eastAsia" w:ascii="宋体" w:eastAsia="宋体" w:cs="宋体"/>
                <w:color w:val="auto"/>
                <w:szCs w:val="21"/>
                <w:lang w:val="en-US" w:eastAsia="zh-CN"/>
              </w:rPr>
            </w:pPr>
            <w:r>
              <w:rPr>
                <w:rFonts w:hint="eastAsia" w:ascii="宋体" w:hAnsi="宋体" w:eastAsia="宋体" w:cs="宋体"/>
                <w:color w:val="auto"/>
                <w:sz w:val="21"/>
                <w:szCs w:val="21"/>
                <w:highlight w:val="none"/>
              </w:rPr>
              <w:t>V类水体</w:t>
            </w:r>
            <w:r>
              <w:rPr>
                <w:rFonts w:hint="eastAsia" w:ascii="宋体" w:hAnsi="宋体" w:cs="宋体"/>
                <w:color w:val="auto"/>
                <w:sz w:val="21"/>
                <w:szCs w:val="21"/>
                <w:highlight w:val="none"/>
                <w:lang w:val="en-US" w:eastAsia="zh-CN"/>
              </w:rPr>
              <w:t>/</w:t>
            </w:r>
            <w:r>
              <w:rPr>
                <w:rFonts w:hint="eastAsia" w:ascii="宋体" w:hAnsi="宋体" w:cs="宋体"/>
                <w:color w:val="auto"/>
                <w:szCs w:val="21"/>
                <w:highlight w:val="none"/>
              </w:rPr>
              <w:t>污水集中处理设施</w:t>
            </w:r>
          </w:p>
        </w:tc>
        <w:tc>
          <w:tcPr>
            <w:tcW w:w="1626" w:type="dxa"/>
            <w:noWrap w:val="0"/>
            <w:vAlign w:val="top"/>
          </w:tcPr>
          <w:p w14:paraId="63FA16D4">
            <w:pPr>
              <w:jc w:val="center"/>
              <w:rPr>
                <w:rFonts w:hint="eastAsia" w:ascii="宋体" w:cs="宋体"/>
                <w:color w:val="auto"/>
                <w:szCs w:val="21"/>
              </w:rPr>
            </w:pPr>
            <w:r>
              <w:rPr>
                <w:rFonts w:hint="eastAsia" w:ascii="宋体" w:cs="宋体"/>
                <w:color w:val="auto"/>
                <w:szCs w:val="21"/>
              </w:rPr>
              <w:t>1</w:t>
            </w:r>
          </w:p>
        </w:tc>
      </w:tr>
      <w:tr w14:paraId="16E9E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3" w:type="dxa"/>
            <w:vMerge w:val="continue"/>
            <w:noWrap w:val="0"/>
            <w:vAlign w:val="center"/>
          </w:tcPr>
          <w:p w14:paraId="7715601F">
            <w:pPr>
              <w:jc w:val="center"/>
              <w:rPr>
                <w:color w:val="auto"/>
              </w:rPr>
            </w:pPr>
          </w:p>
        </w:tc>
        <w:tc>
          <w:tcPr>
            <w:tcW w:w="5509" w:type="dxa"/>
            <w:noWrap w:val="0"/>
            <w:vAlign w:val="top"/>
          </w:tcPr>
          <w:p w14:paraId="6827A518">
            <w:pPr>
              <w:ind w:firstLine="420" w:firstLineChars="200"/>
              <w:jc w:val="both"/>
              <w:rPr>
                <w:rFonts w:hint="eastAsia" w:ascii="宋体" w:cs="宋体"/>
                <w:color w:val="auto"/>
                <w:szCs w:val="21"/>
              </w:rPr>
            </w:pPr>
            <w:r>
              <w:rPr>
                <w:rFonts w:hint="eastAsia" w:ascii="宋体" w:hAnsi="宋体" w:cs="宋体"/>
                <w:color w:val="auto"/>
                <w:sz w:val="21"/>
                <w:szCs w:val="21"/>
                <w:highlight w:val="none"/>
                <w:lang w:eastAsia="zh-CN"/>
              </w:rPr>
              <w:t>Ⅳ类</w:t>
            </w:r>
            <w:r>
              <w:rPr>
                <w:rFonts w:hint="eastAsia" w:ascii="宋体" w:hAnsi="宋体" w:eastAsia="宋体" w:cs="宋体"/>
                <w:color w:val="auto"/>
                <w:sz w:val="21"/>
                <w:szCs w:val="21"/>
                <w:highlight w:val="none"/>
              </w:rPr>
              <w:t>水体</w:t>
            </w:r>
          </w:p>
        </w:tc>
        <w:tc>
          <w:tcPr>
            <w:tcW w:w="1626" w:type="dxa"/>
            <w:noWrap w:val="0"/>
            <w:vAlign w:val="top"/>
          </w:tcPr>
          <w:p w14:paraId="1D65A73B">
            <w:pPr>
              <w:jc w:val="center"/>
              <w:rPr>
                <w:rFonts w:hint="eastAsia" w:ascii="宋体" w:cs="宋体"/>
                <w:color w:val="auto"/>
                <w:szCs w:val="21"/>
              </w:rPr>
            </w:pPr>
            <w:r>
              <w:rPr>
                <w:rFonts w:hint="eastAsia" w:ascii="宋体" w:cs="宋体"/>
                <w:color w:val="auto"/>
                <w:szCs w:val="21"/>
              </w:rPr>
              <w:t>2</w:t>
            </w:r>
          </w:p>
        </w:tc>
      </w:tr>
      <w:tr w14:paraId="7BB4A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3" w:type="dxa"/>
            <w:vMerge w:val="continue"/>
            <w:noWrap w:val="0"/>
            <w:vAlign w:val="center"/>
          </w:tcPr>
          <w:p w14:paraId="7E70CEFF">
            <w:pPr>
              <w:jc w:val="center"/>
              <w:rPr>
                <w:color w:val="auto"/>
              </w:rPr>
            </w:pPr>
          </w:p>
        </w:tc>
        <w:tc>
          <w:tcPr>
            <w:tcW w:w="5509" w:type="dxa"/>
            <w:noWrap w:val="0"/>
            <w:vAlign w:val="top"/>
          </w:tcPr>
          <w:p w14:paraId="005F834A">
            <w:pPr>
              <w:ind w:firstLine="420" w:firstLineChars="200"/>
              <w:jc w:val="both"/>
              <w:rPr>
                <w:rFonts w:hint="eastAsia" w:ascii="宋体" w:cs="宋体"/>
                <w:color w:val="auto"/>
                <w:szCs w:val="21"/>
              </w:rPr>
            </w:pPr>
            <w:r>
              <w:rPr>
                <w:rFonts w:hint="eastAsia" w:ascii="宋体" w:hAnsi="宋体" w:cs="宋体"/>
                <w:color w:val="auto"/>
                <w:sz w:val="21"/>
                <w:szCs w:val="21"/>
                <w:highlight w:val="none"/>
                <w:lang w:eastAsia="zh-CN"/>
              </w:rPr>
              <w:t>Ⅲ类</w:t>
            </w:r>
            <w:r>
              <w:rPr>
                <w:rFonts w:hint="eastAsia" w:ascii="宋体" w:hAnsi="宋体" w:eastAsia="宋体" w:cs="宋体"/>
                <w:color w:val="auto"/>
                <w:sz w:val="21"/>
                <w:szCs w:val="21"/>
                <w:highlight w:val="none"/>
              </w:rPr>
              <w:t>水体</w:t>
            </w:r>
          </w:p>
        </w:tc>
        <w:tc>
          <w:tcPr>
            <w:tcW w:w="1626" w:type="dxa"/>
            <w:noWrap w:val="0"/>
            <w:vAlign w:val="top"/>
          </w:tcPr>
          <w:p w14:paraId="06281833">
            <w:pPr>
              <w:jc w:val="center"/>
              <w:rPr>
                <w:rFonts w:hint="eastAsia" w:ascii="宋体" w:cs="宋体"/>
                <w:color w:val="auto"/>
                <w:szCs w:val="21"/>
              </w:rPr>
            </w:pPr>
            <w:r>
              <w:rPr>
                <w:rFonts w:hint="eastAsia" w:ascii="宋体" w:cs="宋体"/>
                <w:color w:val="auto"/>
                <w:szCs w:val="21"/>
              </w:rPr>
              <w:t>3</w:t>
            </w:r>
          </w:p>
        </w:tc>
      </w:tr>
      <w:tr w14:paraId="07F27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3" w:type="dxa"/>
            <w:vMerge w:val="continue"/>
            <w:noWrap w:val="0"/>
            <w:vAlign w:val="center"/>
          </w:tcPr>
          <w:p w14:paraId="1A824405">
            <w:pPr>
              <w:jc w:val="center"/>
              <w:rPr>
                <w:color w:val="auto"/>
              </w:rPr>
            </w:pPr>
          </w:p>
        </w:tc>
        <w:tc>
          <w:tcPr>
            <w:tcW w:w="5509" w:type="dxa"/>
            <w:noWrap w:val="0"/>
            <w:vAlign w:val="top"/>
          </w:tcPr>
          <w:p w14:paraId="715E6300">
            <w:pPr>
              <w:ind w:firstLine="420" w:firstLineChars="200"/>
              <w:jc w:val="both"/>
              <w:rPr>
                <w:rFonts w:hint="eastAsia" w:ascii="宋体" w:cs="宋体"/>
                <w:color w:val="auto"/>
                <w:szCs w:val="21"/>
              </w:rPr>
            </w:pPr>
            <w:r>
              <w:rPr>
                <w:rFonts w:hint="eastAsia" w:ascii="宋体" w:hAnsi="宋体" w:cs="宋体"/>
                <w:color w:val="auto"/>
                <w:sz w:val="21"/>
                <w:szCs w:val="21"/>
                <w:highlight w:val="none"/>
                <w:lang w:eastAsia="zh-CN"/>
              </w:rPr>
              <w:t>Ⅱ类</w:t>
            </w:r>
            <w:r>
              <w:rPr>
                <w:rFonts w:hint="eastAsia" w:ascii="宋体" w:hAnsi="宋体" w:eastAsia="宋体" w:cs="宋体"/>
                <w:color w:val="auto"/>
                <w:sz w:val="21"/>
                <w:szCs w:val="21"/>
                <w:highlight w:val="none"/>
              </w:rPr>
              <w:t>水体</w:t>
            </w:r>
          </w:p>
        </w:tc>
        <w:tc>
          <w:tcPr>
            <w:tcW w:w="1626" w:type="dxa"/>
            <w:noWrap w:val="0"/>
            <w:vAlign w:val="top"/>
          </w:tcPr>
          <w:p w14:paraId="304859B5">
            <w:pPr>
              <w:jc w:val="center"/>
              <w:rPr>
                <w:rFonts w:hint="eastAsia" w:ascii="宋体" w:cs="宋体"/>
                <w:color w:val="auto"/>
                <w:szCs w:val="21"/>
              </w:rPr>
            </w:pPr>
            <w:r>
              <w:rPr>
                <w:rFonts w:hint="eastAsia" w:ascii="宋体" w:cs="宋体"/>
                <w:color w:val="auto"/>
                <w:szCs w:val="21"/>
              </w:rPr>
              <w:t>4</w:t>
            </w:r>
          </w:p>
        </w:tc>
      </w:tr>
      <w:tr w14:paraId="0BBC8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3" w:type="dxa"/>
            <w:vMerge w:val="continue"/>
            <w:noWrap w:val="0"/>
            <w:vAlign w:val="center"/>
          </w:tcPr>
          <w:p w14:paraId="5DAA7525">
            <w:pPr>
              <w:jc w:val="center"/>
              <w:rPr>
                <w:color w:val="auto"/>
              </w:rPr>
            </w:pPr>
          </w:p>
        </w:tc>
        <w:tc>
          <w:tcPr>
            <w:tcW w:w="5509" w:type="dxa"/>
            <w:noWrap w:val="0"/>
            <w:vAlign w:val="top"/>
          </w:tcPr>
          <w:p w14:paraId="129A180C">
            <w:pPr>
              <w:ind w:firstLine="420" w:firstLineChars="200"/>
              <w:jc w:val="both"/>
              <w:rPr>
                <w:rFonts w:hint="eastAsia" w:ascii="宋体" w:cs="宋体"/>
                <w:color w:val="auto"/>
                <w:szCs w:val="21"/>
              </w:rPr>
            </w:pPr>
            <w:r>
              <w:rPr>
                <w:rFonts w:hint="eastAsia" w:ascii="宋体" w:hAnsi="宋体" w:eastAsia="宋体" w:cs="宋体"/>
                <w:color w:val="auto"/>
                <w:sz w:val="21"/>
                <w:szCs w:val="21"/>
                <w:highlight w:val="none"/>
              </w:rPr>
              <w:t>I类水体</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饮用水水源保护区/</w:t>
            </w:r>
            <w:r>
              <w:rPr>
                <w:rFonts w:hint="eastAsia" w:ascii="宋体" w:hAnsi="宋体" w:eastAsia="宋体" w:cs="宋体"/>
                <w:color w:val="auto"/>
                <w:sz w:val="21"/>
                <w:szCs w:val="21"/>
                <w:highlight w:val="none"/>
                <w:lang w:val="en-US" w:eastAsia="zh-CN"/>
              </w:rPr>
              <w:t>生态保护红线区域</w:t>
            </w:r>
          </w:p>
        </w:tc>
        <w:tc>
          <w:tcPr>
            <w:tcW w:w="1626" w:type="dxa"/>
            <w:noWrap w:val="0"/>
            <w:vAlign w:val="top"/>
          </w:tcPr>
          <w:p w14:paraId="460DA7B2">
            <w:pPr>
              <w:jc w:val="center"/>
              <w:rPr>
                <w:rFonts w:hint="eastAsia" w:ascii="宋体" w:cs="宋体"/>
                <w:color w:val="auto"/>
                <w:szCs w:val="21"/>
              </w:rPr>
            </w:pPr>
            <w:r>
              <w:rPr>
                <w:rFonts w:hint="eastAsia" w:ascii="宋体" w:cs="宋体"/>
                <w:color w:val="auto"/>
                <w:szCs w:val="21"/>
              </w:rPr>
              <w:t>5</w:t>
            </w:r>
          </w:p>
        </w:tc>
      </w:tr>
    </w:tbl>
    <w:p w14:paraId="25CD96F4">
      <w:pPr>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br w:type="page"/>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13"/>
        <w:gridCol w:w="5509"/>
        <w:gridCol w:w="1626"/>
      </w:tblGrid>
      <w:tr w14:paraId="49E75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8948" w:type="dxa"/>
            <w:gridSpan w:val="3"/>
            <w:noWrap w:val="0"/>
            <w:vAlign w:val="top"/>
          </w:tcPr>
          <w:p w14:paraId="6DBCFD26">
            <w:pPr>
              <w:jc w:val="center"/>
              <w:rPr>
                <w:rFonts w:hint="eastAsia" w:ascii="宋体" w:cs="宋体"/>
                <w:color w:val="auto"/>
                <w:szCs w:val="21"/>
              </w:rPr>
            </w:pPr>
            <w:r>
              <w:rPr>
                <w:rFonts w:hint="eastAsia" w:ascii="宋体" w:hAnsi="宋体" w:eastAsia="宋体" w:cs="宋体"/>
                <w:bCs/>
                <w:color w:val="auto"/>
                <w:sz w:val="21"/>
                <w:szCs w:val="21"/>
                <w:highlight w:val="none"/>
              </w:rPr>
              <w:t>（</w:t>
            </w:r>
            <w:r>
              <w:rPr>
                <w:rFonts w:hint="eastAsia" w:ascii="宋体" w:hAnsi="宋体" w:eastAsia="宋体" w:cs="宋体"/>
                <w:bCs/>
                <w:color w:val="auto"/>
                <w:sz w:val="21"/>
                <w:szCs w:val="21"/>
                <w:highlight w:val="none"/>
                <w:lang w:val="en-US" w:eastAsia="zh-CN"/>
              </w:rPr>
              <w:t>五</w:t>
            </w:r>
            <w:r>
              <w:rPr>
                <w:rFonts w:hint="eastAsia" w:ascii="宋体" w:hAnsi="宋体" w:eastAsia="宋体" w:cs="宋体"/>
                <w:bCs/>
                <w:color w:val="auto"/>
                <w:sz w:val="21"/>
                <w:szCs w:val="21"/>
                <w:highlight w:val="none"/>
              </w:rPr>
              <w:t>）水污染防治类</w:t>
            </w:r>
          </w:p>
        </w:tc>
      </w:tr>
      <w:tr w14:paraId="77697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3" w:type="dxa"/>
            <w:noWrap w:val="0"/>
            <w:vAlign w:val="center"/>
          </w:tcPr>
          <w:p w14:paraId="64556A8F">
            <w:pPr>
              <w:jc w:val="center"/>
              <w:rPr>
                <w:rFonts w:hint="eastAsia" w:ascii="宋体" w:cs="宋体"/>
                <w:color w:val="auto"/>
                <w:szCs w:val="21"/>
              </w:rPr>
            </w:pPr>
            <w:r>
              <w:rPr>
                <w:rFonts w:hint="eastAsia" w:ascii="宋体" w:cs="宋体"/>
                <w:color w:val="auto"/>
                <w:szCs w:val="21"/>
              </w:rPr>
              <w:t>序号</w:t>
            </w:r>
          </w:p>
        </w:tc>
        <w:tc>
          <w:tcPr>
            <w:tcW w:w="7135" w:type="dxa"/>
            <w:gridSpan w:val="2"/>
            <w:noWrap w:val="0"/>
            <w:vAlign w:val="top"/>
          </w:tcPr>
          <w:p w14:paraId="26E9293F">
            <w:pPr>
              <w:jc w:val="center"/>
              <w:rPr>
                <w:rFonts w:hint="default" w:ascii="宋体" w:eastAsia="宋体" w:cs="宋体"/>
                <w:color w:val="auto"/>
                <w:szCs w:val="21"/>
                <w:lang w:val="en-US" w:eastAsia="zh-CN"/>
              </w:rPr>
            </w:pPr>
            <w:r>
              <w:rPr>
                <w:rFonts w:hint="eastAsia" w:ascii="宋体" w:cs="宋体"/>
                <w:color w:val="auto"/>
                <w:szCs w:val="21"/>
                <w:lang w:val="en-US" w:eastAsia="zh-CN"/>
              </w:rPr>
              <w:t>19</w:t>
            </w:r>
          </w:p>
        </w:tc>
      </w:tr>
      <w:tr w14:paraId="3D8BD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3" w:type="dxa"/>
            <w:noWrap w:val="0"/>
            <w:vAlign w:val="center"/>
          </w:tcPr>
          <w:p w14:paraId="7219F0B7">
            <w:pPr>
              <w:jc w:val="center"/>
              <w:rPr>
                <w:rFonts w:hint="eastAsia" w:ascii="宋体" w:cs="宋体"/>
                <w:color w:val="auto"/>
                <w:szCs w:val="21"/>
              </w:rPr>
            </w:pPr>
            <w:r>
              <w:rPr>
                <w:rFonts w:hint="eastAsia" w:ascii="宋体" w:cs="宋体"/>
                <w:color w:val="auto"/>
                <w:szCs w:val="21"/>
              </w:rPr>
              <w:t>违法行为</w:t>
            </w:r>
          </w:p>
        </w:tc>
        <w:tc>
          <w:tcPr>
            <w:tcW w:w="7135" w:type="dxa"/>
            <w:gridSpan w:val="2"/>
            <w:noWrap w:val="0"/>
            <w:vAlign w:val="top"/>
          </w:tcPr>
          <w:p w14:paraId="6AE81492">
            <w:pPr>
              <w:ind w:firstLine="420" w:firstLineChars="200"/>
              <w:jc w:val="both"/>
              <w:rPr>
                <w:rFonts w:hint="eastAsia" w:ascii="宋体" w:cs="宋体"/>
                <w:color w:val="auto"/>
                <w:szCs w:val="21"/>
              </w:rPr>
            </w:pPr>
            <w:r>
              <w:rPr>
                <w:rFonts w:hint="eastAsia" w:ascii="宋体" w:cs="宋体"/>
                <w:color w:val="auto"/>
                <w:szCs w:val="21"/>
              </w:rPr>
              <w:t>使用高毒高残留农药进行清塘、清涂，逾期未改正的</w:t>
            </w:r>
          </w:p>
        </w:tc>
      </w:tr>
      <w:tr w14:paraId="3BFC8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13" w:type="dxa"/>
            <w:noWrap w:val="0"/>
            <w:vAlign w:val="center"/>
          </w:tcPr>
          <w:p w14:paraId="7F5D529D">
            <w:pPr>
              <w:jc w:val="center"/>
              <w:rPr>
                <w:rFonts w:hint="eastAsia" w:ascii="宋体" w:cs="宋体"/>
                <w:color w:val="auto"/>
                <w:szCs w:val="21"/>
              </w:rPr>
            </w:pPr>
            <w:r>
              <w:rPr>
                <w:rFonts w:hint="eastAsia" w:ascii="宋体" w:cs="宋体"/>
                <w:color w:val="auto"/>
                <w:szCs w:val="21"/>
              </w:rPr>
              <w:t>违反条款</w:t>
            </w:r>
          </w:p>
        </w:tc>
        <w:tc>
          <w:tcPr>
            <w:tcW w:w="7135" w:type="dxa"/>
            <w:gridSpan w:val="2"/>
            <w:noWrap w:val="0"/>
            <w:vAlign w:val="top"/>
          </w:tcPr>
          <w:p w14:paraId="19C61226">
            <w:pPr>
              <w:ind w:firstLine="420" w:firstLineChars="200"/>
              <w:rPr>
                <w:rFonts w:hint="eastAsia" w:ascii="宋体" w:cs="宋体"/>
                <w:color w:val="auto"/>
                <w:szCs w:val="21"/>
              </w:rPr>
            </w:pPr>
            <w:r>
              <w:rPr>
                <w:rFonts w:hint="eastAsia" w:ascii="宋体" w:cs="宋体"/>
                <w:color w:val="auto"/>
                <w:szCs w:val="21"/>
              </w:rPr>
              <w:t>《福建省水污染防治条例》第三十三条第三款</w:t>
            </w:r>
            <w:r>
              <w:rPr>
                <w:rFonts w:hint="eastAsia" w:ascii="宋体" w:cs="宋体"/>
                <w:color w:val="auto"/>
                <w:szCs w:val="21"/>
                <w:lang w:val="en-US" w:eastAsia="zh-CN"/>
              </w:rPr>
              <w:t xml:space="preserve"> </w:t>
            </w:r>
            <w:r>
              <w:rPr>
                <w:rFonts w:hint="eastAsia" w:ascii="宋体" w:cs="宋体"/>
                <w:color w:val="auto"/>
                <w:szCs w:val="21"/>
              </w:rPr>
              <w:t>养殖生产者应当建设与养殖废弃物产生量相适应的处理设施，不得将未达标的水产养殖尾水排放到外环境水体，不得向水体倾倒养殖废弃物；投喂饲料、饲料添加剂或者因卫生防疫、病害防治向渔业水域投注药物的，应当符合有关技术规范，不得使用国家或者地方明令禁止的化学药品；不得使用高毒高残留农药进行清塘、清涂。</w:t>
            </w:r>
          </w:p>
        </w:tc>
      </w:tr>
      <w:tr w14:paraId="46CF8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3" w:type="dxa"/>
            <w:noWrap w:val="0"/>
            <w:vAlign w:val="center"/>
          </w:tcPr>
          <w:p w14:paraId="4DF734BF">
            <w:pPr>
              <w:jc w:val="center"/>
              <w:rPr>
                <w:rFonts w:hint="eastAsia" w:ascii="宋体" w:cs="宋体"/>
                <w:color w:val="auto"/>
                <w:szCs w:val="21"/>
              </w:rPr>
            </w:pPr>
            <w:r>
              <w:rPr>
                <w:rFonts w:hint="eastAsia" w:ascii="宋体" w:cs="宋体"/>
                <w:color w:val="auto"/>
                <w:szCs w:val="21"/>
              </w:rPr>
              <w:t>处罚依据</w:t>
            </w:r>
          </w:p>
        </w:tc>
        <w:tc>
          <w:tcPr>
            <w:tcW w:w="7135" w:type="dxa"/>
            <w:gridSpan w:val="2"/>
            <w:noWrap w:val="0"/>
            <w:vAlign w:val="top"/>
          </w:tcPr>
          <w:p w14:paraId="41A03715">
            <w:pPr>
              <w:ind w:firstLine="420" w:firstLineChars="200"/>
              <w:rPr>
                <w:rFonts w:hint="eastAsia" w:ascii="宋体" w:cs="宋体"/>
                <w:color w:val="auto"/>
                <w:szCs w:val="21"/>
              </w:rPr>
            </w:pPr>
            <w:r>
              <w:rPr>
                <w:rFonts w:hint="eastAsia" w:ascii="宋体" w:cs="宋体"/>
                <w:color w:val="auto"/>
                <w:szCs w:val="21"/>
              </w:rPr>
              <w:t>《福建省水污染防治条例》第五十九条</w:t>
            </w:r>
            <w:r>
              <w:rPr>
                <w:rFonts w:hint="eastAsia" w:ascii="宋体" w:cs="宋体"/>
                <w:color w:val="auto"/>
                <w:szCs w:val="21"/>
                <w:lang w:val="en-US" w:eastAsia="zh-CN"/>
              </w:rPr>
              <w:t xml:space="preserve"> </w:t>
            </w:r>
            <w:r>
              <w:rPr>
                <w:rFonts w:hint="eastAsia" w:ascii="宋体" w:cs="宋体"/>
                <w:color w:val="auto"/>
                <w:szCs w:val="21"/>
              </w:rPr>
              <w:t>违反本条例第三十三条第三款规定，使用高毒高残留农药进行清塘、清涂的，由省、设区的市人民政府生态环境主管部门或者其派出机构责令限期改正；逾期未改正的，处五千元以上二万元以下罚款；</w:t>
            </w:r>
            <w:r>
              <w:rPr>
                <w:rFonts w:hint="eastAsia" w:ascii="宋体" w:cs="宋体"/>
                <w:color w:val="auto"/>
                <w:szCs w:val="21"/>
                <w:lang w:eastAsia="zh-CN"/>
              </w:rPr>
              <w:t>……</w:t>
            </w:r>
            <w:r>
              <w:rPr>
                <w:rFonts w:hint="eastAsia" w:ascii="宋体" w:cs="宋体"/>
                <w:color w:val="auto"/>
                <w:szCs w:val="21"/>
              </w:rPr>
              <w:t>。</w:t>
            </w:r>
          </w:p>
        </w:tc>
      </w:tr>
      <w:tr w14:paraId="06C9A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3" w:type="dxa"/>
            <w:noWrap w:val="0"/>
            <w:vAlign w:val="center"/>
          </w:tcPr>
          <w:p w14:paraId="188590C3">
            <w:pPr>
              <w:jc w:val="center"/>
              <w:rPr>
                <w:rFonts w:hint="eastAsia" w:ascii="宋体" w:cs="宋体"/>
                <w:color w:val="auto"/>
                <w:szCs w:val="21"/>
              </w:rPr>
            </w:pPr>
            <w:r>
              <w:rPr>
                <w:rFonts w:hint="eastAsia" w:ascii="宋体" w:cs="宋体"/>
                <w:color w:val="auto"/>
                <w:szCs w:val="21"/>
              </w:rPr>
              <w:t>裁量因素</w:t>
            </w:r>
          </w:p>
        </w:tc>
        <w:tc>
          <w:tcPr>
            <w:tcW w:w="5509" w:type="dxa"/>
            <w:noWrap w:val="0"/>
            <w:vAlign w:val="top"/>
          </w:tcPr>
          <w:p w14:paraId="5A026513">
            <w:pPr>
              <w:jc w:val="center"/>
              <w:rPr>
                <w:rFonts w:hint="eastAsia" w:ascii="宋体" w:cs="宋体"/>
                <w:color w:val="auto"/>
                <w:szCs w:val="21"/>
              </w:rPr>
            </w:pPr>
            <w:r>
              <w:rPr>
                <w:rFonts w:hint="eastAsia" w:ascii="宋体" w:cs="宋体"/>
                <w:color w:val="auto"/>
                <w:szCs w:val="21"/>
              </w:rPr>
              <w:t>裁量因子</w:t>
            </w:r>
          </w:p>
        </w:tc>
        <w:tc>
          <w:tcPr>
            <w:tcW w:w="1626" w:type="dxa"/>
            <w:noWrap w:val="0"/>
            <w:vAlign w:val="top"/>
          </w:tcPr>
          <w:p w14:paraId="59736AFC">
            <w:pPr>
              <w:jc w:val="center"/>
              <w:rPr>
                <w:rFonts w:hint="eastAsia" w:ascii="宋体" w:cs="宋体"/>
                <w:color w:val="auto"/>
                <w:szCs w:val="21"/>
              </w:rPr>
            </w:pPr>
            <w:r>
              <w:rPr>
                <w:rFonts w:hint="eastAsia" w:ascii="宋体" w:cs="宋体"/>
                <w:color w:val="auto"/>
                <w:szCs w:val="21"/>
              </w:rPr>
              <w:t>裁量等级</w:t>
            </w:r>
          </w:p>
        </w:tc>
      </w:tr>
      <w:tr w14:paraId="69791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3" w:type="dxa"/>
            <w:vMerge w:val="restart"/>
            <w:noWrap w:val="0"/>
            <w:vAlign w:val="center"/>
          </w:tcPr>
          <w:p w14:paraId="2BDC917E">
            <w:pPr>
              <w:jc w:val="center"/>
              <w:rPr>
                <w:rFonts w:hint="eastAsia" w:ascii="宋体" w:cs="宋体"/>
                <w:color w:val="auto"/>
                <w:szCs w:val="21"/>
              </w:rPr>
            </w:pPr>
            <w:r>
              <w:rPr>
                <w:rFonts w:hint="eastAsia" w:ascii="宋体" w:cs="宋体"/>
                <w:color w:val="auto"/>
                <w:szCs w:val="21"/>
              </w:rPr>
              <w:t>违法面积</w:t>
            </w:r>
          </w:p>
        </w:tc>
        <w:tc>
          <w:tcPr>
            <w:tcW w:w="5509" w:type="dxa"/>
            <w:noWrap w:val="0"/>
            <w:vAlign w:val="top"/>
          </w:tcPr>
          <w:p w14:paraId="2D7F649B">
            <w:pPr>
              <w:ind w:firstLine="420" w:firstLineChars="200"/>
              <w:jc w:val="both"/>
              <w:rPr>
                <w:rFonts w:hint="eastAsia" w:ascii="宋体" w:cs="宋体"/>
                <w:color w:val="auto"/>
                <w:szCs w:val="21"/>
              </w:rPr>
            </w:pPr>
            <w:r>
              <w:rPr>
                <w:rFonts w:hint="eastAsia" w:ascii="宋体" w:cs="宋体"/>
                <w:color w:val="auto"/>
                <w:szCs w:val="21"/>
              </w:rPr>
              <w:t>面积</w:t>
            </w:r>
            <w:r>
              <w:rPr>
                <w:rFonts w:hint="eastAsia" w:ascii="宋体" w:cs="宋体"/>
                <w:color w:val="auto"/>
                <w:szCs w:val="21"/>
                <w:lang w:val="en-US" w:eastAsia="zh-CN"/>
              </w:rPr>
              <w:t>不足</w:t>
            </w:r>
            <w:r>
              <w:rPr>
                <w:rFonts w:hint="eastAsia" w:ascii="宋体" w:cs="宋体"/>
                <w:color w:val="auto"/>
                <w:szCs w:val="21"/>
              </w:rPr>
              <w:t>1亩</w:t>
            </w:r>
          </w:p>
        </w:tc>
        <w:tc>
          <w:tcPr>
            <w:tcW w:w="1626" w:type="dxa"/>
            <w:noWrap w:val="0"/>
            <w:vAlign w:val="top"/>
          </w:tcPr>
          <w:p w14:paraId="64D7D4E9">
            <w:pPr>
              <w:jc w:val="center"/>
              <w:rPr>
                <w:rFonts w:hint="eastAsia" w:ascii="宋体" w:cs="宋体"/>
                <w:color w:val="auto"/>
                <w:szCs w:val="21"/>
              </w:rPr>
            </w:pPr>
            <w:r>
              <w:rPr>
                <w:rFonts w:hint="eastAsia" w:ascii="宋体" w:cs="宋体"/>
                <w:color w:val="auto"/>
                <w:szCs w:val="21"/>
              </w:rPr>
              <w:t>1</w:t>
            </w:r>
          </w:p>
        </w:tc>
      </w:tr>
      <w:tr w14:paraId="78DE7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3" w:type="dxa"/>
            <w:vMerge w:val="continue"/>
            <w:noWrap w:val="0"/>
            <w:vAlign w:val="center"/>
          </w:tcPr>
          <w:p w14:paraId="1D82B50B">
            <w:pPr>
              <w:jc w:val="center"/>
              <w:rPr>
                <w:color w:val="auto"/>
              </w:rPr>
            </w:pPr>
          </w:p>
        </w:tc>
        <w:tc>
          <w:tcPr>
            <w:tcW w:w="5509" w:type="dxa"/>
            <w:noWrap w:val="0"/>
            <w:vAlign w:val="top"/>
          </w:tcPr>
          <w:p w14:paraId="3A5326B5">
            <w:pPr>
              <w:ind w:firstLine="420" w:firstLineChars="200"/>
              <w:jc w:val="both"/>
              <w:rPr>
                <w:rFonts w:hint="eastAsia" w:ascii="宋体" w:cs="宋体"/>
                <w:color w:val="auto"/>
                <w:szCs w:val="21"/>
              </w:rPr>
            </w:pPr>
            <w:r>
              <w:rPr>
                <w:rFonts w:hint="eastAsia" w:ascii="宋体" w:cs="宋体"/>
                <w:color w:val="auto"/>
                <w:szCs w:val="21"/>
              </w:rPr>
              <w:t>面积1亩以上，</w:t>
            </w:r>
            <w:r>
              <w:rPr>
                <w:rFonts w:hint="eastAsia" w:ascii="宋体" w:cs="宋体"/>
                <w:color w:val="auto"/>
                <w:szCs w:val="21"/>
                <w:lang w:val="en-US" w:eastAsia="zh-CN"/>
              </w:rPr>
              <w:t>不足</w:t>
            </w:r>
            <w:r>
              <w:rPr>
                <w:rFonts w:hint="eastAsia" w:ascii="宋体" w:cs="宋体"/>
                <w:color w:val="auto"/>
                <w:szCs w:val="21"/>
              </w:rPr>
              <w:t>10亩</w:t>
            </w:r>
          </w:p>
        </w:tc>
        <w:tc>
          <w:tcPr>
            <w:tcW w:w="1626" w:type="dxa"/>
            <w:noWrap w:val="0"/>
            <w:vAlign w:val="top"/>
          </w:tcPr>
          <w:p w14:paraId="647718FD">
            <w:pPr>
              <w:jc w:val="center"/>
              <w:rPr>
                <w:rFonts w:hint="eastAsia" w:ascii="宋体" w:cs="宋体"/>
                <w:color w:val="auto"/>
                <w:szCs w:val="21"/>
              </w:rPr>
            </w:pPr>
            <w:r>
              <w:rPr>
                <w:rFonts w:hint="eastAsia" w:ascii="宋体" w:cs="宋体"/>
                <w:color w:val="auto"/>
                <w:szCs w:val="21"/>
              </w:rPr>
              <w:t>3</w:t>
            </w:r>
          </w:p>
        </w:tc>
      </w:tr>
      <w:tr w14:paraId="1D8EB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3" w:type="dxa"/>
            <w:vMerge w:val="continue"/>
            <w:noWrap w:val="0"/>
            <w:vAlign w:val="center"/>
          </w:tcPr>
          <w:p w14:paraId="56AE4EE6">
            <w:pPr>
              <w:jc w:val="center"/>
              <w:rPr>
                <w:color w:val="auto"/>
              </w:rPr>
            </w:pPr>
          </w:p>
        </w:tc>
        <w:tc>
          <w:tcPr>
            <w:tcW w:w="5509" w:type="dxa"/>
            <w:noWrap w:val="0"/>
            <w:vAlign w:val="top"/>
          </w:tcPr>
          <w:p w14:paraId="20797431">
            <w:pPr>
              <w:ind w:firstLine="420" w:firstLineChars="200"/>
              <w:jc w:val="both"/>
              <w:rPr>
                <w:rFonts w:hint="eastAsia" w:ascii="宋体" w:cs="宋体"/>
                <w:color w:val="auto"/>
                <w:szCs w:val="21"/>
              </w:rPr>
            </w:pPr>
            <w:r>
              <w:rPr>
                <w:rFonts w:hint="eastAsia" w:ascii="宋体" w:cs="宋体"/>
                <w:color w:val="auto"/>
                <w:szCs w:val="21"/>
              </w:rPr>
              <w:t>面积10亩以上</w:t>
            </w:r>
          </w:p>
        </w:tc>
        <w:tc>
          <w:tcPr>
            <w:tcW w:w="1626" w:type="dxa"/>
            <w:noWrap w:val="0"/>
            <w:vAlign w:val="top"/>
          </w:tcPr>
          <w:p w14:paraId="28352814">
            <w:pPr>
              <w:jc w:val="center"/>
              <w:rPr>
                <w:rFonts w:hint="eastAsia" w:ascii="宋体" w:cs="宋体"/>
                <w:color w:val="auto"/>
                <w:szCs w:val="21"/>
              </w:rPr>
            </w:pPr>
            <w:r>
              <w:rPr>
                <w:rFonts w:hint="eastAsia" w:ascii="宋体" w:cs="宋体"/>
                <w:color w:val="auto"/>
                <w:szCs w:val="21"/>
              </w:rPr>
              <w:t>5</w:t>
            </w:r>
          </w:p>
        </w:tc>
      </w:tr>
      <w:tr w14:paraId="55FE6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3" w:type="dxa"/>
            <w:vMerge w:val="restart"/>
            <w:noWrap w:val="0"/>
            <w:vAlign w:val="center"/>
          </w:tcPr>
          <w:p w14:paraId="57BF6ECD">
            <w:pPr>
              <w:jc w:val="center"/>
              <w:rPr>
                <w:rFonts w:hint="eastAsia"/>
                <w:color w:val="auto"/>
              </w:rPr>
            </w:pPr>
            <w:r>
              <w:rPr>
                <w:rFonts w:hint="eastAsia" w:ascii="宋体" w:cs="宋体"/>
                <w:color w:val="auto"/>
                <w:szCs w:val="21"/>
              </w:rPr>
              <w:t>违法行为改正时间</w:t>
            </w:r>
          </w:p>
        </w:tc>
        <w:tc>
          <w:tcPr>
            <w:tcW w:w="5509" w:type="dxa"/>
            <w:noWrap w:val="0"/>
            <w:vAlign w:val="top"/>
          </w:tcPr>
          <w:p w14:paraId="371E3557">
            <w:pPr>
              <w:ind w:firstLine="420" w:firstLineChars="200"/>
              <w:jc w:val="both"/>
              <w:rPr>
                <w:rFonts w:hint="eastAsia" w:ascii="宋体" w:cs="宋体"/>
                <w:color w:val="auto"/>
                <w:szCs w:val="21"/>
              </w:rPr>
            </w:pPr>
            <w:r>
              <w:rPr>
                <w:rFonts w:hint="eastAsia" w:ascii="宋体" w:cs="宋体"/>
                <w:color w:val="auto"/>
                <w:szCs w:val="21"/>
              </w:rPr>
              <w:t>逾期不足5天改正</w:t>
            </w:r>
          </w:p>
        </w:tc>
        <w:tc>
          <w:tcPr>
            <w:tcW w:w="1626" w:type="dxa"/>
            <w:noWrap w:val="0"/>
            <w:vAlign w:val="top"/>
          </w:tcPr>
          <w:p w14:paraId="5367261C">
            <w:pPr>
              <w:jc w:val="center"/>
              <w:rPr>
                <w:rFonts w:hint="eastAsia" w:ascii="宋体" w:cs="宋体"/>
                <w:color w:val="auto"/>
                <w:szCs w:val="21"/>
              </w:rPr>
            </w:pPr>
            <w:r>
              <w:rPr>
                <w:rFonts w:hint="eastAsia" w:ascii="宋体" w:cs="宋体"/>
                <w:color w:val="auto"/>
                <w:szCs w:val="21"/>
              </w:rPr>
              <w:t>1</w:t>
            </w:r>
          </w:p>
        </w:tc>
      </w:tr>
      <w:tr w14:paraId="017EC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3" w:type="dxa"/>
            <w:vMerge w:val="continue"/>
            <w:noWrap w:val="0"/>
            <w:vAlign w:val="center"/>
          </w:tcPr>
          <w:p w14:paraId="65662940">
            <w:pPr>
              <w:jc w:val="center"/>
              <w:rPr>
                <w:color w:val="auto"/>
              </w:rPr>
            </w:pPr>
          </w:p>
        </w:tc>
        <w:tc>
          <w:tcPr>
            <w:tcW w:w="5509" w:type="dxa"/>
            <w:noWrap w:val="0"/>
            <w:vAlign w:val="top"/>
          </w:tcPr>
          <w:p w14:paraId="52C2EEE0">
            <w:pPr>
              <w:ind w:firstLine="420" w:firstLineChars="200"/>
              <w:jc w:val="both"/>
              <w:rPr>
                <w:rFonts w:hint="eastAsia" w:ascii="宋体" w:cs="宋体"/>
                <w:color w:val="auto"/>
                <w:szCs w:val="21"/>
              </w:rPr>
            </w:pPr>
            <w:r>
              <w:rPr>
                <w:rFonts w:hint="eastAsia" w:ascii="宋体" w:cs="宋体"/>
                <w:color w:val="auto"/>
                <w:szCs w:val="21"/>
              </w:rPr>
              <w:t>逾期5天以上不足10天改正</w:t>
            </w:r>
          </w:p>
        </w:tc>
        <w:tc>
          <w:tcPr>
            <w:tcW w:w="1626" w:type="dxa"/>
            <w:noWrap w:val="0"/>
            <w:vAlign w:val="top"/>
          </w:tcPr>
          <w:p w14:paraId="3D25AD21">
            <w:pPr>
              <w:jc w:val="center"/>
              <w:rPr>
                <w:rFonts w:hint="eastAsia" w:ascii="宋体" w:cs="宋体"/>
                <w:color w:val="auto"/>
                <w:szCs w:val="21"/>
              </w:rPr>
            </w:pPr>
            <w:r>
              <w:rPr>
                <w:rFonts w:hint="eastAsia" w:ascii="宋体" w:cs="宋体"/>
                <w:color w:val="auto"/>
                <w:szCs w:val="21"/>
              </w:rPr>
              <w:t>2</w:t>
            </w:r>
          </w:p>
        </w:tc>
      </w:tr>
      <w:tr w14:paraId="3AE35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3" w:type="dxa"/>
            <w:vMerge w:val="continue"/>
            <w:noWrap w:val="0"/>
            <w:vAlign w:val="center"/>
          </w:tcPr>
          <w:p w14:paraId="70253895">
            <w:pPr>
              <w:jc w:val="center"/>
              <w:rPr>
                <w:color w:val="auto"/>
              </w:rPr>
            </w:pPr>
          </w:p>
        </w:tc>
        <w:tc>
          <w:tcPr>
            <w:tcW w:w="5509" w:type="dxa"/>
            <w:noWrap w:val="0"/>
            <w:vAlign w:val="top"/>
          </w:tcPr>
          <w:p w14:paraId="3BB7B87A">
            <w:pPr>
              <w:ind w:firstLine="420" w:firstLineChars="200"/>
              <w:jc w:val="both"/>
              <w:rPr>
                <w:rFonts w:hint="eastAsia" w:ascii="宋体" w:cs="宋体"/>
                <w:color w:val="auto"/>
                <w:szCs w:val="21"/>
              </w:rPr>
            </w:pPr>
            <w:r>
              <w:rPr>
                <w:rFonts w:hint="eastAsia" w:ascii="宋体" w:cs="宋体"/>
                <w:color w:val="auto"/>
                <w:szCs w:val="21"/>
              </w:rPr>
              <w:t>逾期10天以上不足20天改正</w:t>
            </w:r>
          </w:p>
        </w:tc>
        <w:tc>
          <w:tcPr>
            <w:tcW w:w="1626" w:type="dxa"/>
            <w:noWrap w:val="0"/>
            <w:vAlign w:val="top"/>
          </w:tcPr>
          <w:p w14:paraId="2CB998C0">
            <w:pPr>
              <w:jc w:val="center"/>
              <w:rPr>
                <w:rFonts w:hint="eastAsia" w:ascii="宋体" w:cs="宋体"/>
                <w:color w:val="auto"/>
                <w:szCs w:val="21"/>
              </w:rPr>
            </w:pPr>
            <w:r>
              <w:rPr>
                <w:rFonts w:hint="eastAsia" w:ascii="宋体" w:cs="宋体"/>
                <w:color w:val="auto"/>
                <w:szCs w:val="21"/>
              </w:rPr>
              <w:t>3</w:t>
            </w:r>
          </w:p>
        </w:tc>
      </w:tr>
      <w:tr w14:paraId="2100E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3" w:type="dxa"/>
            <w:vMerge w:val="continue"/>
            <w:noWrap w:val="0"/>
            <w:vAlign w:val="center"/>
          </w:tcPr>
          <w:p w14:paraId="5778BCF3">
            <w:pPr>
              <w:jc w:val="center"/>
              <w:rPr>
                <w:color w:val="auto"/>
              </w:rPr>
            </w:pPr>
          </w:p>
        </w:tc>
        <w:tc>
          <w:tcPr>
            <w:tcW w:w="5509" w:type="dxa"/>
            <w:noWrap w:val="0"/>
            <w:vAlign w:val="top"/>
          </w:tcPr>
          <w:p w14:paraId="47461757">
            <w:pPr>
              <w:ind w:firstLine="420" w:firstLineChars="200"/>
              <w:jc w:val="both"/>
              <w:rPr>
                <w:rFonts w:hint="eastAsia" w:ascii="宋体" w:cs="宋体"/>
                <w:color w:val="auto"/>
                <w:szCs w:val="21"/>
              </w:rPr>
            </w:pPr>
            <w:r>
              <w:rPr>
                <w:rFonts w:hint="eastAsia" w:ascii="宋体" w:cs="宋体"/>
                <w:color w:val="auto"/>
                <w:szCs w:val="21"/>
              </w:rPr>
              <w:t>逾期20天以上不足1个月改正</w:t>
            </w:r>
          </w:p>
        </w:tc>
        <w:tc>
          <w:tcPr>
            <w:tcW w:w="1626" w:type="dxa"/>
            <w:noWrap w:val="0"/>
            <w:vAlign w:val="top"/>
          </w:tcPr>
          <w:p w14:paraId="6A67871A">
            <w:pPr>
              <w:jc w:val="center"/>
              <w:rPr>
                <w:rFonts w:hint="eastAsia" w:ascii="宋体" w:cs="宋体"/>
                <w:color w:val="auto"/>
                <w:szCs w:val="21"/>
              </w:rPr>
            </w:pPr>
            <w:r>
              <w:rPr>
                <w:rFonts w:hint="eastAsia" w:ascii="宋体" w:cs="宋体"/>
                <w:color w:val="auto"/>
                <w:szCs w:val="21"/>
              </w:rPr>
              <w:t>4</w:t>
            </w:r>
          </w:p>
        </w:tc>
      </w:tr>
      <w:tr w14:paraId="44BD7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13" w:type="dxa"/>
            <w:vMerge w:val="continue"/>
            <w:noWrap w:val="0"/>
            <w:vAlign w:val="center"/>
          </w:tcPr>
          <w:p w14:paraId="7390BA11">
            <w:pPr>
              <w:jc w:val="center"/>
              <w:rPr>
                <w:color w:val="auto"/>
              </w:rPr>
            </w:pPr>
          </w:p>
        </w:tc>
        <w:tc>
          <w:tcPr>
            <w:tcW w:w="5509" w:type="dxa"/>
            <w:noWrap w:val="0"/>
            <w:vAlign w:val="top"/>
          </w:tcPr>
          <w:p w14:paraId="11B86112">
            <w:pPr>
              <w:ind w:firstLine="420" w:firstLineChars="200"/>
              <w:jc w:val="both"/>
              <w:rPr>
                <w:rFonts w:hint="eastAsia" w:ascii="宋体" w:cs="宋体"/>
                <w:color w:val="auto"/>
                <w:szCs w:val="21"/>
              </w:rPr>
            </w:pPr>
            <w:r>
              <w:rPr>
                <w:rFonts w:hint="eastAsia" w:ascii="宋体" w:cs="宋体"/>
                <w:color w:val="auto"/>
                <w:szCs w:val="21"/>
              </w:rPr>
              <w:t>逾期1个月以上</w:t>
            </w:r>
          </w:p>
        </w:tc>
        <w:tc>
          <w:tcPr>
            <w:tcW w:w="1626" w:type="dxa"/>
            <w:noWrap w:val="0"/>
            <w:vAlign w:val="top"/>
          </w:tcPr>
          <w:p w14:paraId="6BDC76A9">
            <w:pPr>
              <w:jc w:val="center"/>
              <w:rPr>
                <w:rFonts w:hint="eastAsia" w:ascii="宋体" w:cs="宋体"/>
                <w:color w:val="auto"/>
                <w:szCs w:val="21"/>
              </w:rPr>
            </w:pPr>
            <w:r>
              <w:rPr>
                <w:rFonts w:hint="eastAsia" w:ascii="宋体" w:cs="宋体"/>
                <w:color w:val="auto"/>
                <w:szCs w:val="21"/>
              </w:rPr>
              <w:t>5</w:t>
            </w:r>
          </w:p>
        </w:tc>
      </w:tr>
    </w:tbl>
    <w:p w14:paraId="5932A314">
      <w:pPr>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br w:type="page"/>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96"/>
        <w:gridCol w:w="5678"/>
        <w:gridCol w:w="1474"/>
      </w:tblGrid>
      <w:tr w14:paraId="17C1F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48" w:type="dxa"/>
            <w:gridSpan w:val="3"/>
            <w:noWrap w:val="0"/>
            <w:vAlign w:val="top"/>
          </w:tcPr>
          <w:p w14:paraId="4066E9F6">
            <w:pPr>
              <w:jc w:val="center"/>
              <w:rPr>
                <w:rFonts w:hint="eastAsia" w:ascii="宋体" w:cs="宋体"/>
                <w:color w:val="auto"/>
                <w:szCs w:val="21"/>
              </w:rPr>
            </w:pPr>
            <w:r>
              <w:rPr>
                <w:rFonts w:hint="eastAsia" w:ascii="宋体" w:hAnsi="宋体" w:eastAsia="宋体" w:cs="宋体"/>
                <w:bCs/>
                <w:color w:val="auto"/>
                <w:sz w:val="21"/>
                <w:szCs w:val="21"/>
                <w:highlight w:val="none"/>
              </w:rPr>
              <w:t>（</w:t>
            </w:r>
            <w:r>
              <w:rPr>
                <w:rFonts w:hint="eastAsia" w:ascii="宋体" w:hAnsi="宋体" w:eastAsia="宋体" w:cs="宋体"/>
                <w:bCs/>
                <w:color w:val="auto"/>
                <w:sz w:val="21"/>
                <w:szCs w:val="21"/>
                <w:highlight w:val="none"/>
                <w:lang w:val="en-US" w:eastAsia="zh-CN"/>
              </w:rPr>
              <w:t>五</w:t>
            </w:r>
            <w:r>
              <w:rPr>
                <w:rFonts w:hint="eastAsia" w:ascii="宋体" w:hAnsi="宋体" w:eastAsia="宋体" w:cs="宋体"/>
                <w:bCs/>
                <w:color w:val="auto"/>
                <w:sz w:val="21"/>
                <w:szCs w:val="21"/>
                <w:highlight w:val="none"/>
              </w:rPr>
              <w:t>）水污染防治类</w:t>
            </w:r>
          </w:p>
        </w:tc>
      </w:tr>
      <w:tr w14:paraId="4320D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6" w:type="dxa"/>
            <w:noWrap w:val="0"/>
            <w:vAlign w:val="center"/>
          </w:tcPr>
          <w:p w14:paraId="1AE24C29">
            <w:pPr>
              <w:jc w:val="center"/>
              <w:rPr>
                <w:rFonts w:hint="eastAsia" w:ascii="宋体" w:cs="宋体"/>
                <w:color w:val="auto"/>
                <w:szCs w:val="21"/>
              </w:rPr>
            </w:pPr>
            <w:r>
              <w:rPr>
                <w:rFonts w:hint="eastAsia" w:ascii="宋体" w:cs="宋体"/>
                <w:color w:val="auto"/>
                <w:szCs w:val="21"/>
              </w:rPr>
              <w:t>序号</w:t>
            </w:r>
          </w:p>
        </w:tc>
        <w:tc>
          <w:tcPr>
            <w:tcW w:w="7152" w:type="dxa"/>
            <w:gridSpan w:val="2"/>
            <w:noWrap w:val="0"/>
            <w:vAlign w:val="top"/>
          </w:tcPr>
          <w:p w14:paraId="41421A7B">
            <w:pPr>
              <w:jc w:val="center"/>
              <w:rPr>
                <w:rFonts w:hint="default" w:ascii="宋体" w:eastAsia="宋体" w:cs="宋体"/>
                <w:color w:val="auto"/>
                <w:szCs w:val="21"/>
                <w:lang w:val="en-US" w:eastAsia="zh-CN"/>
              </w:rPr>
            </w:pPr>
            <w:r>
              <w:rPr>
                <w:rFonts w:hint="eastAsia" w:ascii="宋体" w:cs="宋体"/>
                <w:color w:val="auto"/>
                <w:szCs w:val="21"/>
                <w:lang w:val="en-US" w:eastAsia="zh-CN"/>
              </w:rPr>
              <w:t>20</w:t>
            </w:r>
          </w:p>
        </w:tc>
      </w:tr>
      <w:tr w14:paraId="2FF36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6" w:type="dxa"/>
            <w:noWrap w:val="0"/>
            <w:vAlign w:val="center"/>
          </w:tcPr>
          <w:p w14:paraId="4F8A267C">
            <w:pPr>
              <w:jc w:val="center"/>
              <w:rPr>
                <w:rFonts w:hint="eastAsia" w:ascii="宋体" w:cs="宋体"/>
                <w:color w:val="auto"/>
                <w:szCs w:val="21"/>
              </w:rPr>
            </w:pPr>
            <w:r>
              <w:rPr>
                <w:rFonts w:hint="eastAsia" w:ascii="宋体" w:cs="宋体"/>
                <w:color w:val="auto"/>
                <w:szCs w:val="21"/>
              </w:rPr>
              <w:t>违法行为</w:t>
            </w:r>
          </w:p>
        </w:tc>
        <w:tc>
          <w:tcPr>
            <w:tcW w:w="7152" w:type="dxa"/>
            <w:gridSpan w:val="2"/>
            <w:noWrap w:val="0"/>
            <w:vAlign w:val="top"/>
          </w:tcPr>
          <w:p w14:paraId="71150715">
            <w:pPr>
              <w:ind w:firstLine="420" w:firstLineChars="200"/>
              <w:jc w:val="both"/>
              <w:rPr>
                <w:rFonts w:hint="eastAsia" w:ascii="宋体" w:cs="宋体"/>
                <w:color w:val="auto"/>
                <w:szCs w:val="21"/>
              </w:rPr>
            </w:pPr>
            <w:r>
              <w:rPr>
                <w:rFonts w:hint="eastAsia" w:ascii="宋体" w:cs="宋体"/>
                <w:color w:val="auto"/>
                <w:szCs w:val="21"/>
              </w:rPr>
              <w:t>水电站未执行最小生态下泄流量规定的，逾期未改正的</w:t>
            </w:r>
          </w:p>
        </w:tc>
      </w:tr>
      <w:tr w14:paraId="408BA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6" w:type="dxa"/>
            <w:noWrap w:val="0"/>
            <w:vAlign w:val="center"/>
          </w:tcPr>
          <w:p w14:paraId="6E627693">
            <w:pPr>
              <w:jc w:val="center"/>
              <w:rPr>
                <w:rFonts w:hint="eastAsia" w:ascii="宋体" w:cs="宋体"/>
                <w:color w:val="auto"/>
                <w:szCs w:val="21"/>
              </w:rPr>
            </w:pPr>
            <w:r>
              <w:rPr>
                <w:rFonts w:hint="eastAsia" w:ascii="宋体" w:cs="宋体"/>
                <w:color w:val="auto"/>
                <w:szCs w:val="21"/>
              </w:rPr>
              <w:t>违反条款</w:t>
            </w:r>
          </w:p>
        </w:tc>
        <w:tc>
          <w:tcPr>
            <w:tcW w:w="7152" w:type="dxa"/>
            <w:gridSpan w:val="2"/>
            <w:noWrap w:val="0"/>
            <w:vAlign w:val="top"/>
          </w:tcPr>
          <w:p w14:paraId="048F6240">
            <w:pPr>
              <w:ind w:firstLine="420" w:firstLineChars="200"/>
              <w:rPr>
                <w:rFonts w:hint="eastAsia" w:ascii="宋体" w:cs="宋体"/>
                <w:color w:val="auto"/>
                <w:szCs w:val="21"/>
              </w:rPr>
            </w:pPr>
            <w:r>
              <w:rPr>
                <w:rFonts w:hint="eastAsia" w:ascii="宋体" w:cs="宋体"/>
                <w:color w:val="auto"/>
                <w:szCs w:val="21"/>
              </w:rPr>
              <w:t>《福建省水污染防治条例》第三十六条第三款</w:t>
            </w:r>
            <w:r>
              <w:rPr>
                <w:rFonts w:hint="eastAsia" w:ascii="宋体" w:cs="宋体"/>
                <w:color w:val="auto"/>
                <w:szCs w:val="21"/>
                <w:lang w:val="en-US" w:eastAsia="zh-CN"/>
              </w:rPr>
              <w:t xml:space="preserve"> </w:t>
            </w:r>
            <w:r>
              <w:rPr>
                <w:rFonts w:hint="eastAsia" w:ascii="宋体" w:cs="宋体"/>
                <w:color w:val="auto"/>
                <w:szCs w:val="21"/>
              </w:rPr>
              <w:t>禁止新建、扩建以发电为主的水电站项目。已开发建设的水电站应当安装下泄流量在线监控装置，执行最小生态下泄流量和调水方案的有关规定。</w:t>
            </w:r>
          </w:p>
        </w:tc>
      </w:tr>
      <w:tr w14:paraId="7D097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6" w:type="dxa"/>
            <w:noWrap w:val="0"/>
            <w:vAlign w:val="center"/>
          </w:tcPr>
          <w:p w14:paraId="17F564BF">
            <w:pPr>
              <w:jc w:val="center"/>
              <w:rPr>
                <w:rFonts w:hint="eastAsia" w:ascii="宋体" w:cs="宋体"/>
                <w:color w:val="auto"/>
                <w:szCs w:val="21"/>
              </w:rPr>
            </w:pPr>
            <w:r>
              <w:rPr>
                <w:rFonts w:hint="eastAsia" w:ascii="宋体" w:cs="宋体"/>
                <w:color w:val="auto"/>
                <w:szCs w:val="21"/>
              </w:rPr>
              <w:t>处罚依据</w:t>
            </w:r>
          </w:p>
        </w:tc>
        <w:tc>
          <w:tcPr>
            <w:tcW w:w="7152" w:type="dxa"/>
            <w:gridSpan w:val="2"/>
            <w:noWrap w:val="0"/>
            <w:vAlign w:val="top"/>
          </w:tcPr>
          <w:p w14:paraId="25053646">
            <w:pPr>
              <w:ind w:firstLine="420" w:firstLineChars="200"/>
              <w:rPr>
                <w:rFonts w:hint="eastAsia" w:ascii="宋体" w:cs="宋体"/>
                <w:color w:val="auto"/>
                <w:szCs w:val="21"/>
              </w:rPr>
            </w:pPr>
            <w:r>
              <w:rPr>
                <w:rFonts w:hint="eastAsia" w:ascii="宋体" w:cs="宋体"/>
                <w:color w:val="auto"/>
                <w:szCs w:val="21"/>
              </w:rPr>
              <w:t>《福建省水污染防治条例》第六十一条</w:t>
            </w:r>
            <w:r>
              <w:rPr>
                <w:rFonts w:hint="eastAsia" w:ascii="宋体" w:cs="宋体"/>
                <w:color w:val="auto"/>
                <w:szCs w:val="21"/>
                <w:lang w:val="en-US" w:eastAsia="zh-CN"/>
              </w:rPr>
              <w:t xml:space="preserve">第一款 </w:t>
            </w:r>
            <w:r>
              <w:rPr>
                <w:rFonts w:hint="eastAsia" w:ascii="宋体" w:cs="宋体"/>
                <w:color w:val="auto"/>
                <w:szCs w:val="21"/>
              </w:rPr>
              <w:t>违反本条例第三十六条第三款规定，水电站未执行最小生态下泄流量规定的，由省、设区的市人民政府生态环境主管部门或者其派出机构责令限期改正；逾期未改正的，处五万元以上二十万元以下罚款。</w:t>
            </w:r>
          </w:p>
        </w:tc>
      </w:tr>
      <w:tr w14:paraId="5FFD5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6" w:type="dxa"/>
            <w:noWrap w:val="0"/>
            <w:vAlign w:val="center"/>
          </w:tcPr>
          <w:p w14:paraId="1F27D636">
            <w:pPr>
              <w:jc w:val="center"/>
              <w:rPr>
                <w:rFonts w:hint="eastAsia" w:ascii="宋体" w:cs="宋体"/>
                <w:color w:val="auto"/>
                <w:szCs w:val="21"/>
              </w:rPr>
            </w:pPr>
            <w:r>
              <w:rPr>
                <w:rFonts w:hint="eastAsia" w:ascii="宋体" w:cs="宋体"/>
                <w:color w:val="auto"/>
                <w:szCs w:val="21"/>
              </w:rPr>
              <w:t>裁量因素</w:t>
            </w:r>
          </w:p>
        </w:tc>
        <w:tc>
          <w:tcPr>
            <w:tcW w:w="5678" w:type="dxa"/>
            <w:noWrap w:val="0"/>
            <w:vAlign w:val="top"/>
          </w:tcPr>
          <w:p w14:paraId="3AAE00AE">
            <w:pPr>
              <w:jc w:val="center"/>
              <w:rPr>
                <w:rFonts w:hint="eastAsia" w:ascii="宋体" w:cs="宋体"/>
                <w:color w:val="auto"/>
                <w:szCs w:val="21"/>
              </w:rPr>
            </w:pPr>
            <w:r>
              <w:rPr>
                <w:rFonts w:hint="eastAsia" w:ascii="宋体" w:cs="宋体"/>
                <w:color w:val="auto"/>
                <w:szCs w:val="21"/>
              </w:rPr>
              <w:t>裁量因子</w:t>
            </w:r>
          </w:p>
        </w:tc>
        <w:tc>
          <w:tcPr>
            <w:tcW w:w="1474" w:type="dxa"/>
            <w:noWrap w:val="0"/>
            <w:vAlign w:val="top"/>
          </w:tcPr>
          <w:p w14:paraId="66E5E098">
            <w:pPr>
              <w:jc w:val="center"/>
              <w:rPr>
                <w:rFonts w:hint="eastAsia" w:ascii="宋体" w:cs="宋体"/>
                <w:color w:val="auto"/>
                <w:szCs w:val="21"/>
              </w:rPr>
            </w:pPr>
            <w:r>
              <w:rPr>
                <w:rFonts w:hint="eastAsia" w:ascii="宋体" w:cs="宋体"/>
                <w:color w:val="auto"/>
                <w:szCs w:val="21"/>
              </w:rPr>
              <w:t>裁量等级</w:t>
            </w:r>
          </w:p>
        </w:tc>
      </w:tr>
      <w:tr w14:paraId="27D5F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6" w:type="dxa"/>
            <w:vMerge w:val="restart"/>
            <w:noWrap w:val="0"/>
            <w:vAlign w:val="center"/>
          </w:tcPr>
          <w:p w14:paraId="797D29AF">
            <w:pPr>
              <w:jc w:val="center"/>
              <w:rPr>
                <w:rFonts w:hint="eastAsia" w:ascii="宋体" w:cs="宋体"/>
                <w:color w:val="auto"/>
                <w:szCs w:val="21"/>
              </w:rPr>
            </w:pPr>
            <w:r>
              <w:rPr>
                <w:rFonts w:hint="eastAsia" w:ascii="宋体" w:cs="宋体"/>
                <w:color w:val="auto"/>
                <w:szCs w:val="21"/>
              </w:rPr>
              <w:t>违法事实</w:t>
            </w:r>
          </w:p>
        </w:tc>
        <w:tc>
          <w:tcPr>
            <w:tcW w:w="5678" w:type="dxa"/>
            <w:noWrap w:val="0"/>
            <w:vAlign w:val="top"/>
          </w:tcPr>
          <w:p w14:paraId="3AFA53EA">
            <w:pPr>
              <w:ind w:firstLine="420" w:firstLineChars="200"/>
              <w:jc w:val="both"/>
              <w:rPr>
                <w:rFonts w:hint="eastAsia" w:ascii="宋体" w:cs="宋体"/>
                <w:color w:val="auto"/>
                <w:szCs w:val="21"/>
              </w:rPr>
            </w:pPr>
            <w:r>
              <w:rPr>
                <w:rFonts w:hint="eastAsia" w:ascii="宋体" w:cs="宋体"/>
                <w:color w:val="auto"/>
                <w:szCs w:val="21"/>
              </w:rPr>
              <w:t>执行最小生态下泄流量的60%以上</w:t>
            </w:r>
          </w:p>
        </w:tc>
        <w:tc>
          <w:tcPr>
            <w:tcW w:w="1474" w:type="dxa"/>
            <w:noWrap w:val="0"/>
            <w:vAlign w:val="top"/>
          </w:tcPr>
          <w:p w14:paraId="1EE68EAE">
            <w:pPr>
              <w:jc w:val="center"/>
              <w:rPr>
                <w:rFonts w:hint="eastAsia" w:ascii="宋体" w:cs="宋体"/>
                <w:color w:val="auto"/>
                <w:szCs w:val="21"/>
              </w:rPr>
            </w:pPr>
            <w:r>
              <w:rPr>
                <w:rFonts w:hint="eastAsia" w:ascii="宋体" w:cs="宋体"/>
                <w:color w:val="auto"/>
                <w:szCs w:val="21"/>
              </w:rPr>
              <w:t>1</w:t>
            </w:r>
          </w:p>
        </w:tc>
      </w:tr>
      <w:tr w14:paraId="76F15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6" w:type="dxa"/>
            <w:vMerge w:val="continue"/>
            <w:noWrap w:val="0"/>
            <w:vAlign w:val="center"/>
          </w:tcPr>
          <w:p w14:paraId="4CF81E86">
            <w:pPr>
              <w:jc w:val="center"/>
              <w:rPr>
                <w:color w:val="auto"/>
              </w:rPr>
            </w:pPr>
          </w:p>
        </w:tc>
        <w:tc>
          <w:tcPr>
            <w:tcW w:w="5678" w:type="dxa"/>
            <w:noWrap w:val="0"/>
            <w:vAlign w:val="top"/>
          </w:tcPr>
          <w:p w14:paraId="7C07C97E">
            <w:pPr>
              <w:ind w:firstLine="420" w:firstLineChars="200"/>
              <w:jc w:val="both"/>
              <w:rPr>
                <w:rFonts w:hint="eastAsia" w:ascii="宋体" w:cs="宋体"/>
                <w:color w:val="auto"/>
                <w:szCs w:val="21"/>
              </w:rPr>
            </w:pPr>
            <w:r>
              <w:rPr>
                <w:rFonts w:hint="eastAsia" w:ascii="宋体" w:cs="宋体"/>
                <w:color w:val="auto"/>
                <w:szCs w:val="21"/>
              </w:rPr>
              <w:t>执行最小生态下泄流量的50%以上</w:t>
            </w:r>
            <w:r>
              <w:rPr>
                <w:rFonts w:hint="eastAsia" w:ascii="宋体" w:cs="宋体"/>
                <w:color w:val="auto"/>
                <w:szCs w:val="21"/>
                <w:lang w:eastAsia="zh-CN"/>
              </w:rPr>
              <w:t>，</w:t>
            </w:r>
            <w:r>
              <w:rPr>
                <w:rFonts w:hint="eastAsia" w:ascii="宋体" w:cs="宋体"/>
                <w:color w:val="auto"/>
                <w:szCs w:val="21"/>
              </w:rPr>
              <w:t>不足60%</w:t>
            </w:r>
          </w:p>
        </w:tc>
        <w:tc>
          <w:tcPr>
            <w:tcW w:w="1474" w:type="dxa"/>
            <w:noWrap w:val="0"/>
            <w:vAlign w:val="top"/>
          </w:tcPr>
          <w:p w14:paraId="29EF1BA1">
            <w:pPr>
              <w:jc w:val="center"/>
              <w:rPr>
                <w:rFonts w:hint="eastAsia" w:ascii="宋体" w:cs="宋体"/>
                <w:color w:val="auto"/>
                <w:szCs w:val="21"/>
              </w:rPr>
            </w:pPr>
            <w:r>
              <w:rPr>
                <w:rFonts w:hint="eastAsia" w:ascii="宋体" w:cs="宋体"/>
                <w:color w:val="auto"/>
                <w:szCs w:val="21"/>
              </w:rPr>
              <w:t>3</w:t>
            </w:r>
          </w:p>
        </w:tc>
      </w:tr>
      <w:tr w14:paraId="1C97C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6" w:type="dxa"/>
            <w:vMerge w:val="continue"/>
            <w:noWrap w:val="0"/>
            <w:vAlign w:val="center"/>
          </w:tcPr>
          <w:p w14:paraId="61E5B9E4">
            <w:pPr>
              <w:jc w:val="center"/>
              <w:rPr>
                <w:color w:val="auto"/>
              </w:rPr>
            </w:pPr>
          </w:p>
        </w:tc>
        <w:tc>
          <w:tcPr>
            <w:tcW w:w="5678" w:type="dxa"/>
            <w:noWrap w:val="0"/>
            <w:vAlign w:val="top"/>
          </w:tcPr>
          <w:p w14:paraId="1FB610E7">
            <w:pPr>
              <w:ind w:firstLine="420" w:firstLineChars="200"/>
              <w:jc w:val="both"/>
              <w:rPr>
                <w:rFonts w:hint="eastAsia" w:ascii="宋体" w:cs="宋体"/>
                <w:color w:val="auto"/>
                <w:szCs w:val="21"/>
              </w:rPr>
            </w:pPr>
            <w:r>
              <w:rPr>
                <w:rFonts w:hint="eastAsia" w:ascii="宋体" w:cs="宋体"/>
                <w:color w:val="auto"/>
                <w:szCs w:val="21"/>
              </w:rPr>
              <w:t>执行最小生态下泄流量的不足50%</w:t>
            </w:r>
          </w:p>
        </w:tc>
        <w:tc>
          <w:tcPr>
            <w:tcW w:w="1474" w:type="dxa"/>
            <w:noWrap w:val="0"/>
            <w:vAlign w:val="top"/>
          </w:tcPr>
          <w:p w14:paraId="57488EE7">
            <w:pPr>
              <w:jc w:val="center"/>
              <w:rPr>
                <w:rFonts w:hint="eastAsia" w:ascii="宋体" w:cs="宋体"/>
                <w:color w:val="auto"/>
                <w:szCs w:val="21"/>
              </w:rPr>
            </w:pPr>
            <w:r>
              <w:rPr>
                <w:rFonts w:hint="eastAsia" w:ascii="宋体" w:cs="宋体"/>
                <w:color w:val="auto"/>
                <w:szCs w:val="21"/>
              </w:rPr>
              <w:t>5</w:t>
            </w:r>
          </w:p>
        </w:tc>
      </w:tr>
      <w:tr w14:paraId="2469E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atLeast"/>
          <w:jc w:val="center"/>
        </w:trPr>
        <w:tc>
          <w:tcPr>
            <w:tcW w:w="1796" w:type="dxa"/>
            <w:vMerge w:val="restart"/>
            <w:noWrap w:val="0"/>
            <w:vAlign w:val="center"/>
          </w:tcPr>
          <w:p w14:paraId="6A03ED84">
            <w:pPr>
              <w:jc w:val="center"/>
              <w:rPr>
                <w:rFonts w:hint="eastAsia" w:ascii="宋体" w:cs="宋体"/>
                <w:color w:val="auto"/>
                <w:szCs w:val="21"/>
              </w:rPr>
            </w:pPr>
            <w:r>
              <w:rPr>
                <w:rFonts w:hint="eastAsia" w:ascii="宋体" w:cs="宋体"/>
                <w:color w:val="auto"/>
                <w:szCs w:val="21"/>
              </w:rPr>
              <w:t>违法行为改正时间</w:t>
            </w:r>
          </w:p>
        </w:tc>
        <w:tc>
          <w:tcPr>
            <w:tcW w:w="5678" w:type="dxa"/>
            <w:noWrap w:val="0"/>
            <w:vAlign w:val="top"/>
          </w:tcPr>
          <w:p w14:paraId="5AF012D5">
            <w:pPr>
              <w:ind w:firstLine="420" w:firstLineChars="200"/>
              <w:jc w:val="both"/>
              <w:rPr>
                <w:rFonts w:hint="eastAsia" w:ascii="宋体" w:cs="宋体"/>
                <w:color w:val="auto"/>
                <w:szCs w:val="21"/>
              </w:rPr>
            </w:pPr>
            <w:r>
              <w:rPr>
                <w:rFonts w:hint="eastAsia" w:ascii="宋体" w:cs="宋体"/>
                <w:color w:val="auto"/>
                <w:szCs w:val="21"/>
              </w:rPr>
              <w:t>逾期不足5天改正</w:t>
            </w:r>
          </w:p>
        </w:tc>
        <w:tc>
          <w:tcPr>
            <w:tcW w:w="1474" w:type="dxa"/>
            <w:noWrap w:val="0"/>
            <w:vAlign w:val="top"/>
          </w:tcPr>
          <w:p w14:paraId="3C142B4A">
            <w:pPr>
              <w:jc w:val="center"/>
              <w:rPr>
                <w:rFonts w:hint="eastAsia" w:ascii="宋体" w:cs="宋体"/>
                <w:color w:val="auto"/>
                <w:szCs w:val="21"/>
              </w:rPr>
            </w:pPr>
            <w:r>
              <w:rPr>
                <w:rFonts w:hint="eastAsia" w:ascii="宋体" w:cs="宋体"/>
                <w:color w:val="auto"/>
                <w:szCs w:val="21"/>
              </w:rPr>
              <w:t>1</w:t>
            </w:r>
          </w:p>
        </w:tc>
      </w:tr>
      <w:tr w14:paraId="52B0B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atLeast"/>
          <w:jc w:val="center"/>
        </w:trPr>
        <w:tc>
          <w:tcPr>
            <w:tcW w:w="1796" w:type="dxa"/>
            <w:vMerge w:val="continue"/>
            <w:noWrap w:val="0"/>
            <w:vAlign w:val="center"/>
          </w:tcPr>
          <w:p w14:paraId="65B654E5">
            <w:pPr>
              <w:jc w:val="center"/>
              <w:rPr>
                <w:color w:val="auto"/>
              </w:rPr>
            </w:pPr>
          </w:p>
        </w:tc>
        <w:tc>
          <w:tcPr>
            <w:tcW w:w="5678" w:type="dxa"/>
            <w:noWrap w:val="0"/>
            <w:vAlign w:val="top"/>
          </w:tcPr>
          <w:p w14:paraId="28989444">
            <w:pPr>
              <w:ind w:firstLine="420" w:firstLineChars="200"/>
              <w:jc w:val="both"/>
              <w:rPr>
                <w:rFonts w:hint="eastAsia" w:ascii="宋体" w:cs="宋体"/>
                <w:color w:val="auto"/>
                <w:szCs w:val="21"/>
              </w:rPr>
            </w:pPr>
            <w:r>
              <w:rPr>
                <w:rFonts w:hint="eastAsia" w:ascii="宋体" w:cs="宋体"/>
                <w:color w:val="auto"/>
                <w:szCs w:val="21"/>
              </w:rPr>
              <w:t>逾期5天以上不足10天改正</w:t>
            </w:r>
          </w:p>
        </w:tc>
        <w:tc>
          <w:tcPr>
            <w:tcW w:w="1474" w:type="dxa"/>
            <w:noWrap w:val="0"/>
            <w:vAlign w:val="top"/>
          </w:tcPr>
          <w:p w14:paraId="5B32E6FC">
            <w:pPr>
              <w:jc w:val="center"/>
              <w:rPr>
                <w:rFonts w:hint="eastAsia" w:ascii="宋体" w:cs="宋体"/>
                <w:color w:val="auto"/>
                <w:szCs w:val="21"/>
              </w:rPr>
            </w:pPr>
            <w:r>
              <w:rPr>
                <w:rFonts w:hint="eastAsia" w:ascii="宋体" w:cs="宋体"/>
                <w:color w:val="auto"/>
                <w:szCs w:val="21"/>
              </w:rPr>
              <w:t>2</w:t>
            </w:r>
          </w:p>
        </w:tc>
      </w:tr>
      <w:tr w14:paraId="01748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atLeast"/>
          <w:jc w:val="center"/>
        </w:trPr>
        <w:tc>
          <w:tcPr>
            <w:tcW w:w="1796" w:type="dxa"/>
            <w:vMerge w:val="continue"/>
            <w:noWrap w:val="0"/>
            <w:vAlign w:val="center"/>
          </w:tcPr>
          <w:p w14:paraId="4298861C">
            <w:pPr>
              <w:jc w:val="center"/>
              <w:rPr>
                <w:color w:val="auto"/>
              </w:rPr>
            </w:pPr>
          </w:p>
        </w:tc>
        <w:tc>
          <w:tcPr>
            <w:tcW w:w="5678" w:type="dxa"/>
            <w:noWrap w:val="0"/>
            <w:vAlign w:val="top"/>
          </w:tcPr>
          <w:p w14:paraId="11EFBE5B">
            <w:pPr>
              <w:ind w:firstLine="420" w:firstLineChars="200"/>
              <w:jc w:val="both"/>
              <w:rPr>
                <w:rFonts w:hint="eastAsia" w:ascii="宋体" w:cs="宋体"/>
                <w:color w:val="auto"/>
                <w:szCs w:val="21"/>
              </w:rPr>
            </w:pPr>
            <w:r>
              <w:rPr>
                <w:rFonts w:hint="eastAsia" w:ascii="宋体" w:cs="宋体"/>
                <w:color w:val="auto"/>
                <w:szCs w:val="21"/>
              </w:rPr>
              <w:t>逾期10天以上不足20天改正</w:t>
            </w:r>
          </w:p>
        </w:tc>
        <w:tc>
          <w:tcPr>
            <w:tcW w:w="1474" w:type="dxa"/>
            <w:noWrap w:val="0"/>
            <w:vAlign w:val="top"/>
          </w:tcPr>
          <w:p w14:paraId="08EDA32F">
            <w:pPr>
              <w:jc w:val="center"/>
              <w:rPr>
                <w:rFonts w:hint="eastAsia" w:ascii="宋体" w:cs="宋体"/>
                <w:color w:val="auto"/>
                <w:szCs w:val="21"/>
              </w:rPr>
            </w:pPr>
            <w:r>
              <w:rPr>
                <w:rFonts w:hint="eastAsia" w:ascii="宋体" w:cs="宋体"/>
                <w:color w:val="auto"/>
                <w:szCs w:val="21"/>
              </w:rPr>
              <w:t>3</w:t>
            </w:r>
          </w:p>
        </w:tc>
      </w:tr>
      <w:tr w14:paraId="2DE66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atLeast"/>
          <w:jc w:val="center"/>
        </w:trPr>
        <w:tc>
          <w:tcPr>
            <w:tcW w:w="1796" w:type="dxa"/>
            <w:vMerge w:val="continue"/>
            <w:noWrap w:val="0"/>
            <w:vAlign w:val="center"/>
          </w:tcPr>
          <w:p w14:paraId="5338E26C">
            <w:pPr>
              <w:jc w:val="center"/>
              <w:rPr>
                <w:color w:val="auto"/>
              </w:rPr>
            </w:pPr>
          </w:p>
        </w:tc>
        <w:tc>
          <w:tcPr>
            <w:tcW w:w="5678" w:type="dxa"/>
            <w:noWrap w:val="0"/>
            <w:vAlign w:val="top"/>
          </w:tcPr>
          <w:p w14:paraId="0FEE53EA">
            <w:pPr>
              <w:ind w:firstLine="420" w:firstLineChars="200"/>
              <w:jc w:val="both"/>
              <w:rPr>
                <w:rFonts w:hint="eastAsia" w:ascii="宋体" w:cs="宋体"/>
                <w:color w:val="auto"/>
                <w:szCs w:val="21"/>
              </w:rPr>
            </w:pPr>
            <w:r>
              <w:rPr>
                <w:rFonts w:hint="eastAsia" w:ascii="宋体" w:cs="宋体"/>
                <w:color w:val="auto"/>
                <w:szCs w:val="21"/>
              </w:rPr>
              <w:t>逾期20天以上不足1个月改正</w:t>
            </w:r>
          </w:p>
        </w:tc>
        <w:tc>
          <w:tcPr>
            <w:tcW w:w="1474" w:type="dxa"/>
            <w:noWrap w:val="0"/>
            <w:vAlign w:val="top"/>
          </w:tcPr>
          <w:p w14:paraId="1020CEAF">
            <w:pPr>
              <w:jc w:val="center"/>
              <w:rPr>
                <w:rFonts w:hint="eastAsia" w:ascii="宋体" w:cs="宋体"/>
                <w:color w:val="auto"/>
                <w:szCs w:val="21"/>
              </w:rPr>
            </w:pPr>
            <w:r>
              <w:rPr>
                <w:rFonts w:hint="eastAsia" w:ascii="宋体" w:cs="宋体"/>
                <w:color w:val="auto"/>
                <w:szCs w:val="21"/>
              </w:rPr>
              <w:t>4</w:t>
            </w:r>
          </w:p>
        </w:tc>
      </w:tr>
      <w:tr w14:paraId="7CA64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atLeast"/>
          <w:jc w:val="center"/>
        </w:trPr>
        <w:tc>
          <w:tcPr>
            <w:tcW w:w="1796" w:type="dxa"/>
            <w:vMerge w:val="continue"/>
            <w:noWrap w:val="0"/>
            <w:vAlign w:val="center"/>
          </w:tcPr>
          <w:p w14:paraId="6D09E3DF">
            <w:pPr>
              <w:jc w:val="center"/>
              <w:rPr>
                <w:color w:val="auto"/>
              </w:rPr>
            </w:pPr>
          </w:p>
        </w:tc>
        <w:tc>
          <w:tcPr>
            <w:tcW w:w="5678" w:type="dxa"/>
            <w:noWrap w:val="0"/>
            <w:vAlign w:val="top"/>
          </w:tcPr>
          <w:p w14:paraId="28419F86">
            <w:pPr>
              <w:ind w:firstLine="420" w:firstLineChars="200"/>
              <w:jc w:val="both"/>
              <w:rPr>
                <w:rFonts w:ascii="宋体" w:cs="宋体"/>
                <w:color w:val="auto"/>
                <w:szCs w:val="21"/>
              </w:rPr>
            </w:pPr>
            <w:r>
              <w:rPr>
                <w:rFonts w:hint="eastAsia" w:ascii="宋体" w:cs="宋体"/>
                <w:color w:val="auto"/>
                <w:szCs w:val="21"/>
              </w:rPr>
              <w:t>逾期1个月以上</w:t>
            </w:r>
          </w:p>
        </w:tc>
        <w:tc>
          <w:tcPr>
            <w:tcW w:w="1474" w:type="dxa"/>
            <w:noWrap w:val="0"/>
            <w:vAlign w:val="top"/>
          </w:tcPr>
          <w:p w14:paraId="78406732">
            <w:pPr>
              <w:jc w:val="center"/>
              <w:rPr>
                <w:rFonts w:hint="eastAsia" w:ascii="宋体" w:cs="宋体"/>
                <w:color w:val="auto"/>
                <w:szCs w:val="21"/>
              </w:rPr>
            </w:pPr>
            <w:r>
              <w:rPr>
                <w:rFonts w:hint="eastAsia" w:ascii="宋体" w:cs="宋体"/>
                <w:color w:val="auto"/>
                <w:szCs w:val="21"/>
              </w:rPr>
              <w:t>5</w:t>
            </w:r>
          </w:p>
        </w:tc>
      </w:tr>
    </w:tbl>
    <w:p w14:paraId="020A30CB">
      <w:pPr>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br w:type="page"/>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13"/>
        <w:gridCol w:w="5509"/>
        <w:gridCol w:w="1626"/>
      </w:tblGrid>
      <w:tr w14:paraId="6440C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48" w:type="dxa"/>
            <w:gridSpan w:val="3"/>
            <w:noWrap w:val="0"/>
            <w:vAlign w:val="top"/>
          </w:tcPr>
          <w:p w14:paraId="66422C4D">
            <w:pPr>
              <w:jc w:val="center"/>
              <w:rPr>
                <w:rFonts w:hint="eastAsia" w:ascii="宋体" w:cs="宋体"/>
                <w:color w:val="auto"/>
                <w:szCs w:val="21"/>
              </w:rPr>
            </w:pPr>
            <w:r>
              <w:rPr>
                <w:rFonts w:hint="eastAsia" w:ascii="宋体" w:hAnsi="宋体" w:eastAsia="宋体" w:cs="宋体"/>
                <w:bCs/>
                <w:color w:val="auto"/>
                <w:sz w:val="21"/>
                <w:szCs w:val="21"/>
                <w:highlight w:val="none"/>
              </w:rPr>
              <w:t>（</w:t>
            </w:r>
            <w:r>
              <w:rPr>
                <w:rFonts w:hint="eastAsia" w:ascii="宋体" w:hAnsi="宋体" w:eastAsia="宋体" w:cs="宋体"/>
                <w:bCs/>
                <w:color w:val="auto"/>
                <w:sz w:val="21"/>
                <w:szCs w:val="21"/>
                <w:highlight w:val="none"/>
                <w:lang w:val="en-US" w:eastAsia="zh-CN"/>
              </w:rPr>
              <w:t>五</w:t>
            </w:r>
            <w:r>
              <w:rPr>
                <w:rFonts w:hint="eastAsia" w:ascii="宋体" w:hAnsi="宋体" w:eastAsia="宋体" w:cs="宋体"/>
                <w:bCs/>
                <w:color w:val="auto"/>
                <w:sz w:val="21"/>
                <w:szCs w:val="21"/>
                <w:highlight w:val="none"/>
              </w:rPr>
              <w:t>）水污染防治类</w:t>
            </w:r>
          </w:p>
        </w:tc>
      </w:tr>
      <w:tr w14:paraId="607E3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3" w:type="dxa"/>
            <w:noWrap w:val="0"/>
            <w:vAlign w:val="center"/>
          </w:tcPr>
          <w:p w14:paraId="387630B8">
            <w:pPr>
              <w:jc w:val="center"/>
              <w:rPr>
                <w:rFonts w:hint="eastAsia" w:ascii="宋体" w:cs="宋体"/>
                <w:color w:val="auto"/>
                <w:szCs w:val="21"/>
              </w:rPr>
            </w:pPr>
            <w:r>
              <w:rPr>
                <w:rFonts w:hint="eastAsia" w:ascii="宋体" w:cs="宋体"/>
                <w:color w:val="auto"/>
                <w:szCs w:val="21"/>
              </w:rPr>
              <w:t>序号</w:t>
            </w:r>
          </w:p>
        </w:tc>
        <w:tc>
          <w:tcPr>
            <w:tcW w:w="7135" w:type="dxa"/>
            <w:gridSpan w:val="2"/>
            <w:noWrap w:val="0"/>
            <w:vAlign w:val="top"/>
          </w:tcPr>
          <w:p w14:paraId="1A0EA937">
            <w:pPr>
              <w:jc w:val="center"/>
              <w:rPr>
                <w:rFonts w:hint="default" w:ascii="宋体" w:eastAsia="宋体" w:cs="宋体"/>
                <w:color w:val="auto"/>
                <w:szCs w:val="21"/>
                <w:lang w:val="en-US" w:eastAsia="zh-CN"/>
              </w:rPr>
            </w:pPr>
            <w:r>
              <w:rPr>
                <w:rFonts w:hint="eastAsia" w:ascii="宋体" w:cs="宋体"/>
                <w:color w:val="auto"/>
                <w:szCs w:val="21"/>
                <w:lang w:val="en-US" w:eastAsia="zh-CN"/>
              </w:rPr>
              <w:t>21</w:t>
            </w:r>
          </w:p>
        </w:tc>
      </w:tr>
      <w:tr w14:paraId="6B1A3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3" w:type="dxa"/>
            <w:noWrap w:val="0"/>
            <w:vAlign w:val="center"/>
          </w:tcPr>
          <w:p w14:paraId="051FC5FA">
            <w:pPr>
              <w:jc w:val="center"/>
              <w:rPr>
                <w:rFonts w:hint="eastAsia" w:ascii="宋体" w:cs="宋体"/>
                <w:color w:val="auto"/>
                <w:szCs w:val="21"/>
              </w:rPr>
            </w:pPr>
            <w:r>
              <w:rPr>
                <w:rFonts w:hint="eastAsia" w:ascii="宋体" w:cs="宋体"/>
                <w:color w:val="auto"/>
                <w:szCs w:val="21"/>
              </w:rPr>
              <w:t>违法行为</w:t>
            </w:r>
          </w:p>
        </w:tc>
        <w:tc>
          <w:tcPr>
            <w:tcW w:w="7135" w:type="dxa"/>
            <w:gridSpan w:val="2"/>
            <w:noWrap w:val="0"/>
            <w:vAlign w:val="center"/>
          </w:tcPr>
          <w:p w14:paraId="15185C59">
            <w:pPr>
              <w:adjustRightInd w:val="0"/>
              <w:ind w:firstLine="420" w:firstLineChars="200"/>
              <w:jc w:val="both"/>
              <w:rPr>
                <w:rFonts w:hint="eastAsia" w:ascii="宋体" w:cs="宋体"/>
                <w:color w:val="auto"/>
                <w:szCs w:val="21"/>
              </w:rPr>
            </w:pPr>
            <w:r>
              <w:rPr>
                <w:rFonts w:hint="eastAsia" w:ascii="宋体" w:cs="宋体"/>
                <w:color w:val="auto"/>
                <w:szCs w:val="21"/>
              </w:rPr>
              <w:t>损毁、涂改、擅自移动地理界标、警示标志、保护区边界拐点界桩或者隔离设施的</w:t>
            </w:r>
          </w:p>
        </w:tc>
      </w:tr>
      <w:tr w14:paraId="7205B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3" w:type="dxa"/>
            <w:noWrap w:val="0"/>
            <w:vAlign w:val="center"/>
          </w:tcPr>
          <w:p w14:paraId="5539122C">
            <w:pPr>
              <w:jc w:val="center"/>
              <w:rPr>
                <w:rFonts w:hint="eastAsia" w:ascii="宋体" w:cs="宋体"/>
                <w:color w:val="auto"/>
                <w:szCs w:val="21"/>
              </w:rPr>
            </w:pPr>
            <w:r>
              <w:rPr>
                <w:rFonts w:hint="eastAsia" w:ascii="宋体" w:cs="宋体"/>
                <w:color w:val="auto"/>
                <w:szCs w:val="21"/>
              </w:rPr>
              <w:t>违反条款</w:t>
            </w:r>
          </w:p>
        </w:tc>
        <w:tc>
          <w:tcPr>
            <w:tcW w:w="7135" w:type="dxa"/>
            <w:gridSpan w:val="2"/>
            <w:noWrap w:val="0"/>
            <w:vAlign w:val="top"/>
          </w:tcPr>
          <w:p w14:paraId="7B66320B">
            <w:pPr>
              <w:ind w:firstLine="420" w:firstLineChars="200"/>
              <w:rPr>
                <w:rFonts w:hint="eastAsia" w:ascii="宋体" w:cs="宋体"/>
                <w:color w:val="auto"/>
                <w:szCs w:val="21"/>
              </w:rPr>
            </w:pPr>
            <w:r>
              <w:rPr>
                <w:rFonts w:hint="eastAsia" w:ascii="宋体" w:cs="宋体"/>
                <w:color w:val="auto"/>
                <w:szCs w:val="21"/>
              </w:rPr>
              <w:t>《福建省水污染防治条例》第四十二条第二款</w:t>
            </w:r>
            <w:r>
              <w:rPr>
                <w:rFonts w:hint="eastAsia" w:ascii="宋体" w:cs="宋体"/>
                <w:color w:val="auto"/>
                <w:szCs w:val="21"/>
                <w:lang w:val="en-US" w:eastAsia="zh-CN"/>
              </w:rPr>
              <w:t xml:space="preserve"> </w:t>
            </w:r>
            <w:r>
              <w:rPr>
                <w:rFonts w:hint="eastAsia" w:ascii="宋体" w:cs="宋体"/>
                <w:color w:val="auto"/>
                <w:szCs w:val="21"/>
              </w:rPr>
              <w:t>任何单位和个人不得损毁、涂改、擅自移动地理界标、警示标志、保护区边界拐点界桩或者隔离设施。</w:t>
            </w:r>
          </w:p>
        </w:tc>
      </w:tr>
      <w:tr w14:paraId="2757C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3" w:type="dxa"/>
            <w:noWrap w:val="0"/>
            <w:vAlign w:val="center"/>
          </w:tcPr>
          <w:p w14:paraId="56A7C874">
            <w:pPr>
              <w:jc w:val="center"/>
              <w:rPr>
                <w:rFonts w:hint="eastAsia" w:ascii="宋体" w:cs="宋体"/>
                <w:color w:val="auto"/>
                <w:szCs w:val="21"/>
              </w:rPr>
            </w:pPr>
            <w:r>
              <w:rPr>
                <w:rFonts w:hint="eastAsia" w:ascii="宋体" w:cs="宋体"/>
                <w:color w:val="auto"/>
                <w:szCs w:val="21"/>
              </w:rPr>
              <w:t>处罚依据</w:t>
            </w:r>
          </w:p>
        </w:tc>
        <w:tc>
          <w:tcPr>
            <w:tcW w:w="7135" w:type="dxa"/>
            <w:gridSpan w:val="2"/>
            <w:noWrap w:val="0"/>
            <w:vAlign w:val="top"/>
          </w:tcPr>
          <w:p w14:paraId="62FCB411">
            <w:pPr>
              <w:ind w:firstLine="420" w:firstLineChars="200"/>
              <w:rPr>
                <w:rFonts w:hint="eastAsia" w:ascii="宋体" w:cs="宋体"/>
                <w:color w:val="auto"/>
                <w:szCs w:val="21"/>
              </w:rPr>
            </w:pPr>
            <w:r>
              <w:rPr>
                <w:rFonts w:hint="eastAsia" w:ascii="宋体" w:cs="宋体"/>
                <w:color w:val="auto"/>
                <w:szCs w:val="21"/>
              </w:rPr>
              <w:t>《福建省水污染防治条例》第六十二条</w:t>
            </w:r>
            <w:r>
              <w:rPr>
                <w:rFonts w:hint="eastAsia" w:ascii="宋体" w:cs="宋体"/>
                <w:color w:val="auto"/>
                <w:szCs w:val="21"/>
                <w:lang w:val="en-US" w:eastAsia="zh-CN"/>
              </w:rPr>
              <w:t xml:space="preserve"> </w:t>
            </w:r>
            <w:r>
              <w:rPr>
                <w:rFonts w:hint="eastAsia" w:ascii="宋体" w:cs="宋体"/>
                <w:color w:val="auto"/>
                <w:szCs w:val="21"/>
              </w:rPr>
              <w:t>违反本条例第四十二条第二款规定，损毁、涂改、擅自移动地理界标、警示标志、保护区边界拐点界桩或者隔离设施的，由省、设区的市人民政府生态环境主管部门或者其派出机构责令限期改正，恢复原状，并处五千元以上二万元以下罚款；造成损失的，应当依法赔偿。</w:t>
            </w:r>
          </w:p>
        </w:tc>
      </w:tr>
      <w:tr w14:paraId="43618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3" w:type="dxa"/>
            <w:noWrap w:val="0"/>
            <w:vAlign w:val="center"/>
          </w:tcPr>
          <w:p w14:paraId="4C246152">
            <w:pPr>
              <w:jc w:val="center"/>
              <w:rPr>
                <w:rFonts w:hint="eastAsia" w:ascii="宋体" w:cs="宋体"/>
                <w:color w:val="auto"/>
                <w:szCs w:val="21"/>
              </w:rPr>
            </w:pPr>
            <w:r>
              <w:rPr>
                <w:rFonts w:hint="eastAsia" w:ascii="宋体" w:cs="宋体"/>
                <w:color w:val="auto"/>
                <w:szCs w:val="21"/>
              </w:rPr>
              <w:t>裁量因素</w:t>
            </w:r>
          </w:p>
        </w:tc>
        <w:tc>
          <w:tcPr>
            <w:tcW w:w="5509" w:type="dxa"/>
            <w:noWrap w:val="0"/>
            <w:vAlign w:val="top"/>
          </w:tcPr>
          <w:p w14:paraId="6E1BFFD3">
            <w:pPr>
              <w:jc w:val="center"/>
              <w:rPr>
                <w:rFonts w:hint="eastAsia" w:ascii="宋体" w:cs="宋体"/>
                <w:color w:val="auto"/>
                <w:szCs w:val="21"/>
              </w:rPr>
            </w:pPr>
            <w:r>
              <w:rPr>
                <w:rFonts w:hint="eastAsia" w:ascii="宋体" w:cs="宋体"/>
                <w:color w:val="auto"/>
                <w:szCs w:val="21"/>
              </w:rPr>
              <w:t>裁量因子</w:t>
            </w:r>
          </w:p>
        </w:tc>
        <w:tc>
          <w:tcPr>
            <w:tcW w:w="1626" w:type="dxa"/>
            <w:noWrap w:val="0"/>
            <w:vAlign w:val="top"/>
          </w:tcPr>
          <w:p w14:paraId="729CE73D">
            <w:pPr>
              <w:jc w:val="center"/>
              <w:rPr>
                <w:rFonts w:hint="eastAsia" w:ascii="宋体" w:cs="宋体"/>
                <w:color w:val="auto"/>
                <w:szCs w:val="21"/>
              </w:rPr>
            </w:pPr>
            <w:r>
              <w:rPr>
                <w:rFonts w:hint="eastAsia" w:ascii="宋体" w:cs="宋体"/>
                <w:color w:val="auto"/>
                <w:szCs w:val="21"/>
              </w:rPr>
              <w:t>裁量等级</w:t>
            </w:r>
          </w:p>
        </w:tc>
      </w:tr>
      <w:tr w14:paraId="1FDD1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3" w:type="dxa"/>
            <w:vMerge w:val="restart"/>
            <w:noWrap w:val="0"/>
            <w:vAlign w:val="center"/>
          </w:tcPr>
          <w:p w14:paraId="4BAAC31D">
            <w:pPr>
              <w:jc w:val="center"/>
              <w:rPr>
                <w:rFonts w:hint="eastAsia" w:ascii="宋体" w:cs="宋体"/>
                <w:color w:val="auto"/>
                <w:szCs w:val="21"/>
              </w:rPr>
            </w:pPr>
            <w:r>
              <w:rPr>
                <w:rFonts w:hint="eastAsia" w:ascii="宋体" w:cs="宋体"/>
                <w:color w:val="auto"/>
                <w:szCs w:val="21"/>
              </w:rPr>
              <w:t>违法数量</w:t>
            </w:r>
          </w:p>
        </w:tc>
        <w:tc>
          <w:tcPr>
            <w:tcW w:w="5509" w:type="dxa"/>
            <w:noWrap w:val="0"/>
            <w:vAlign w:val="top"/>
          </w:tcPr>
          <w:p w14:paraId="7C643019">
            <w:pPr>
              <w:ind w:firstLine="420" w:firstLineChars="200"/>
              <w:jc w:val="both"/>
              <w:rPr>
                <w:rFonts w:hint="eastAsia" w:ascii="宋体" w:cs="宋体"/>
                <w:color w:val="auto"/>
                <w:szCs w:val="21"/>
              </w:rPr>
            </w:pPr>
            <w:r>
              <w:rPr>
                <w:rFonts w:hint="eastAsia" w:ascii="宋体" w:cs="宋体"/>
                <w:color w:val="auto"/>
                <w:szCs w:val="21"/>
              </w:rPr>
              <w:t>损毁、涂改、移动1处的</w:t>
            </w:r>
          </w:p>
        </w:tc>
        <w:tc>
          <w:tcPr>
            <w:tcW w:w="1626" w:type="dxa"/>
            <w:noWrap w:val="0"/>
            <w:vAlign w:val="top"/>
          </w:tcPr>
          <w:p w14:paraId="13AE4714">
            <w:pPr>
              <w:jc w:val="center"/>
              <w:rPr>
                <w:rFonts w:hint="eastAsia" w:ascii="宋体" w:cs="宋体"/>
                <w:color w:val="auto"/>
                <w:szCs w:val="21"/>
              </w:rPr>
            </w:pPr>
            <w:r>
              <w:rPr>
                <w:rFonts w:hint="eastAsia" w:ascii="宋体" w:cs="宋体"/>
                <w:color w:val="auto"/>
                <w:szCs w:val="21"/>
              </w:rPr>
              <w:t>1</w:t>
            </w:r>
          </w:p>
        </w:tc>
      </w:tr>
      <w:tr w14:paraId="215C2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3" w:type="dxa"/>
            <w:vMerge w:val="continue"/>
            <w:noWrap w:val="0"/>
            <w:vAlign w:val="center"/>
          </w:tcPr>
          <w:p w14:paraId="3D2FE65D">
            <w:pPr>
              <w:jc w:val="center"/>
              <w:rPr>
                <w:color w:val="auto"/>
              </w:rPr>
            </w:pPr>
          </w:p>
        </w:tc>
        <w:tc>
          <w:tcPr>
            <w:tcW w:w="5509" w:type="dxa"/>
            <w:noWrap w:val="0"/>
            <w:vAlign w:val="top"/>
          </w:tcPr>
          <w:p w14:paraId="35BE8858">
            <w:pPr>
              <w:ind w:firstLine="420" w:firstLineChars="200"/>
              <w:jc w:val="both"/>
              <w:rPr>
                <w:rFonts w:hint="eastAsia" w:ascii="宋体" w:cs="宋体"/>
                <w:color w:val="auto"/>
                <w:szCs w:val="21"/>
              </w:rPr>
            </w:pPr>
            <w:r>
              <w:rPr>
                <w:rFonts w:hint="eastAsia" w:ascii="宋体" w:cs="宋体"/>
                <w:color w:val="auto"/>
                <w:szCs w:val="21"/>
              </w:rPr>
              <w:t>损毁、涂改、移动2处至5处的</w:t>
            </w:r>
          </w:p>
        </w:tc>
        <w:tc>
          <w:tcPr>
            <w:tcW w:w="1626" w:type="dxa"/>
            <w:noWrap w:val="0"/>
            <w:vAlign w:val="top"/>
          </w:tcPr>
          <w:p w14:paraId="5A93AF5B">
            <w:pPr>
              <w:jc w:val="center"/>
              <w:rPr>
                <w:rFonts w:hint="eastAsia" w:ascii="宋体" w:cs="宋体"/>
                <w:color w:val="auto"/>
                <w:szCs w:val="21"/>
              </w:rPr>
            </w:pPr>
            <w:r>
              <w:rPr>
                <w:rFonts w:hint="eastAsia" w:ascii="宋体" w:cs="宋体"/>
                <w:color w:val="auto"/>
                <w:szCs w:val="21"/>
              </w:rPr>
              <w:t>3</w:t>
            </w:r>
          </w:p>
        </w:tc>
      </w:tr>
      <w:tr w14:paraId="2EEF1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3" w:type="dxa"/>
            <w:vMerge w:val="continue"/>
            <w:noWrap w:val="0"/>
            <w:vAlign w:val="center"/>
          </w:tcPr>
          <w:p w14:paraId="4C77C288">
            <w:pPr>
              <w:jc w:val="center"/>
              <w:rPr>
                <w:color w:val="auto"/>
              </w:rPr>
            </w:pPr>
          </w:p>
        </w:tc>
        <w:tc>
          <w:tcPr>
            <w:tcW w:w="5509" w:type="dxa"/>
            <w:noWrap w:val="0"/>
            <w:vAlign w:val="top"/>
          </w:tcPr>
          <w:p w14:paraId="5BD5D12C">
            <w:pPr>
              <w:ind w:firstLine="420" w:firstLineChars="200"/>
              <w:jc w:val="both"/>
              <w:rPr>
                <w:rFonts w:hint="eastAsia" w:ascii="宋体" w:cs="宋体"/>
                <w:color w:val="auto"/>
                <w:szCs w:val="21"/>
              </w:rPr>
            </w:pPr>
            <w:r>
              <w:rPr>
                <w:rFonts w:hint="eastAsia" w:ascii="宋体" w:cs="宋体"/>
                <w:color w:val="auto"/>
                <w:szCs w:val="21"/>
              </w:rPr>
              <w:t>损毁、涂改、移动6处以上的</w:t>
            </w:r>
          </w:p>
        </w:tc>
        <w:tc>
          <w:tcPr>
            <w:tcW w:w="1626" w:type="dxa"/>
            <w:noWrap w:val="0"/>
            <w:vAlign w:val="top"/>
          </w:tcPr>
          <w:p w14:paraId="54E783F5">
            <w:pPr>
              <w:jc w:val="center"/>
              <w:rPr>
                <w:rFonts w:hint="eastAsia" w:ascii="宋体" w:cs="宋体"/>
                <w:color w:val="auto"/>
                <w:szCs w:val="21"/>
              </w:rPr>
            </w:pPr>
            <w:r>
              <w:rPr>
                <w:rFonts w:hint="eastAsia" w:ascii="宋体" w:cs="宋体"/>
                <w:color w:val="auto"/>
                <w:szCs w:val="21"/>
              </w:rPr>
              <w:t>5</w:t>
            </w:r>
          </w:p>
        </w:tc>
      </w:tr>
    </w:tbl>
    <w:p w14:paraId="0CFDDDB0">
      <w:pPr>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br w:type="page"/>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13"/>
        <w:gridCol w:w="5509"/>
        <w:gridCol w:w="1626"/>
      </w:tblGrid>
      <w:tr w14:paraId="397E1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42" w:type="dxa"/>
            <w:gridSpan w:val="3"/>
            <w:noWrap w:val="0"/>
            <w:vAlign w:val="top"/>
          </w:tcPr>
          <w:p w14:paraId="270B07F4">
            <w:pPr>
              <w:jc w:val="center"/>
              <w:rPr>
                <w:rFonts w:hint="eastAsia" w:ascii="宋体" w:cs="宋体"/>
                <w:color w:val="auto"/>
                <w:szCs w:val="21"/>
              </w:rPr>
            </w:pPr>
            <w:r>
              <w:rPr>
                <w:rFonts w:hint="eastAsia" w:ascii="宋体" w:hAnsi="宋体" w:eastAsia="宋体" w:cs="宋体"/>
                <w:bCs/>
                <w:color w:val="auto"/>
                <w:sz w:val="21"/>
                <w:szCs w:val="21"/>
                <w:highlight w:val="none"/>
              </w:rPr>
              <w:t>（</w:t>
            </w:r>
            <w:r>
              <w:rPr>
                <w:rFonts w:hint="eastAsia" w:ascii="宋体" w:hAnsi="宋体" w:eastAsia="宋体" w:cs="宋体"/>
                <w:bCs/>
                <w:color w:val="auto"/>
                <w:sz w:val="21"/>
                <w:szCs w:val="21"/>
                <w:highlight w:val="none"/>
                <w:lang w:val="en-US" w:eastAsia="zh-CN"/>
              </w:rPr>
              <w:t>五</w:t>
            </w:r>
            <w:r>
              <w:rPr>
                <w:rFonts w:hint="eastAsia" w:ascii="宋体" w:hAnsi="宋体" w:eastAsia="宋体" w:cs="宋体"/>
                <w:bCs/>
                <w:color w:val="auto"/>
                <w:sz w:val="21"/>
                <w:szCs w:val="21"/>
                <w:highlight w:val="none"/>
              </w:rPr>
              <w:t>）水污染防治类</w:t>
            </w:r>
          </w:p>
        </w:tc>
      </w:tr>
      <w:tr w14:paraId="613DB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07" w:type="dxa"/>
            <w:noWrap w:val="0"/>
            <w:vAlign w:val="top"/>
          </w:tcPr>
          <w:p w14:paraId="7B0E6B9D">
            <w:pPr>
              <w:jc w:val="center"/>
              <w:rPr>
                <w:rFonts w:hint="eastAsia" w:ascii="宋体" w:cs="宋体"/>
                <w:color w:val="auto"/>
                <w:szCs w:val="21"/>
              </w:rPr>
            </w:pPr>
            <w:r>
              <w:rPr>
                <w:rFonts w:hint="eastAsia" w:ascii="宋体" w:cs="宋体"/>
                <w:color w:val="auto"/>
                <w:szCs w:val="21"/>
              </w:rPr>
              <w:t>序号</w:t>
            </w:r>
          </w:p>
        </w:tc>
        <w:tc>
          <w:tcPr>
            <w:tcW w:w="7535" w:type="dxa"/>
            <w:gridSpan w:val="2"/>
            <w:noWrap w:val="0"/>
            <w:vAlign w:val="top"/>
          </w:tcPr>
          <w:p w14:paraId="42ABBDA7">
            <w:pPr>
              <w:jc w:val="center"/>
              <w:rPr>
                <w:rFonts w:hint="default" w:ascii="宋体" w:eastAsia="宋体" w:cs="宋体"/>
                <w:color w:val="auto"/>
                <w:szCs w:val="21"/>
                <w:lang w:val="en-US" w:eastAsia="zh-CN"/>
              </w:rPr>
            </w:pPr>
            <w:r>
              <w:rPr>
                <w:rFonts w:hint="eastAsia" w:ascii="宋体" w:cs="宋体"/>
                <w:color w:val="auto"/>
                <w:szCs w:val="21"/>
                <w:lang w:val="en-US" w:eastAsia="zh-CN"/>
              </w:rPr>
              <w:t>22</w:t>
            </w:r>
          </w:p>
        </w:tc>
      </w:tr>
      <w:tr w14:paraId="3DDF0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07" w:type="dxa"/>
            <w:noWrap w:val="0"/>
            <w:vAlign w:val="center"/>
          </w:tcPr>
          <w:p w14:paraId="6F77BFAF">
            <w:pPr>
              <w:jc w:val="center"/>
              <w:rPr>
                <w:rFonts w:hint="eastAsia" w:ascii="宋体" w:cs="宋体"/>
                <w:color w:val="auto"/>
                <w:szCs w:val="21"/>
              </w:rPr>
            </w:pPr>
            <w:r>
              <w:rPr>
                <w:rFonts w:hint="eastAsia" w:ascii="宋体" w:cs="宋体"/>
                <w:color w:val="auto"/>
                <w:szCs w:val="21"/>
              </w:rPr>
              <w:t>违法行为</w:t>
            </w:r>
          </w:p>
        </w:tc>
        <w:tc>
          <w:tcPr>
            <w:tcW w:w="7535" w:type="dxa"/>
            <w:gridSpan w:val="2"/>
            <w:noWrap w:val="0"/>
            <w:vAlign w:val="center"/>
          </w:tcPr>
          <w:p w14:paraId="01A5ED67">
            <w:pPr>
              <w:adjustRightInd w:val="0"/>
              <w:ind w:firstLine="420" w:firstLineChars="200"/>
              <w:jc w:val="both"/>
              <w:rPr>
                <w:rFonts w:hint="eastAsia" w:ascii="宋体" w:cs="宋体"/>
                <w:color w:val="auto"/>
                <w:szCs w:val="21"/>
              </w:rPr>
            </w:pPr>
            <w:r>
              <w:rPr>
                <w:rFonts w:hint="eastAsia" w:ascii="宋体" w:cs="宋体"/>
                <w:color w:val="auto"/>
                <w:szCs w:val="21"/>
              </w:rPr>
              <w:t>在饮用水水源一级保护区内堆置、存放和填埋工业废渣、城乡垃圾、粪便或者其他废弃物的</w:t>
            </w:r>
          </w:p>
        </w:tc>
      </w:tr>
      <w:tr w14:paraId="4E3DA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07" w:type="dxa"/>
            <w:noWrap w:val="0"/>
            <w:vAlign w:val="center"/>
          </w:tcPr>
          <w:p w14:paraId="39DE8307">
            <w:pPr>
              <w:jc w:val="center"/>
              <w:rPr>
                <w:rFonts w:hint="eastAsia" w:ascii="宋体" w:cs="宋体"/>
                <w:color w:val="auto"/>
                <w:szCs w:val="21"/>
              </w:rPr>
            </w:pPr>
            <w:r>
              <w:rPr>
                <w:rFonts w:hint="eastAsia" w:ascii="宋体" w:cs="宋体"/>
                <w:color w:val="auto"/>
                <w:szCs w:val="21"/>
              </w:rPr>
              <w:t>违反条款</w:t>
            </w:r>
          </w:p>
        </w:tc>
        <w:tc>
          <w:tcPr>
            <w:tcW w:w="7535" w:type="dxa"/>
            <w:gridSpan w:val="2"/>
            <w:noWrap w:val="0"/>
            <w:vAlign w:val="top"/>
          </w:tcPr>
          <w:p w14:paraId="63CDA8C5">
            <w:pPr>
              <w:ind w:firstLine="420" w:firstLineChars="200"/>
              <w:rPr>
                <w:rFonts w:hint="eastAsia" w:ascii="宋体" w:cs="宋体"/>
                <w:color w:val="auto"/>
                <w:szCs w:val="21"/>
              </w:rPr>
            </w:pPr>
            <w:r>
              <w:rPr>
                <w:rFonts w:hint="eastAsia" w:ascii="宋体" w:cs="宋体"/>
                <w:color w:val="auto"/>
                <w:szCs w:val="21"/>
              </w:rPr>
              <w:t>《福建省水污染防治条例》第四十六条第二项</w:t>
            </w:r>
            <w:r>
              <w:rPr>
                <w:rFonts w:hint="eastAsia" w:ascii="宋体" w:cs="宋体"/>
                <w:color w:val="auto"/>
                <w:szCs w:val="21"/>
                <w:lang w:val="en-US" w:eastAsia="zh-CN"/>
              </w:rPr>
              <w:t xml:space="preserve"> </w:t>
            </w:r>
            <w:r>
              <w:rPr>
                <w:rFonts w:hint="eastAsia" w:ascii="宋体" w:cs="宋体"/>
                <w:color w:val="auto"/>
                <w:szCs w:val="21"/>
              </w:rPr>
              <w:t>在饮用水水源一级保护区内，除禁止第四十四条、第四十五条规定的行为以外，禁止从事下列行为：（二）堆置、存放和填埋工业废渣、城乡垃圾、粪便或者其他废弃物；</w:t>
            </w:r>
          </w:p>
        </w:tc>
      </w:tr>
      <w:tr w14:paraId="30AFD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07" w:type="dxa"/>
            <w:noWrap w:val="0"/>
            <w:vAlign w:val="center"/>
          </w:tcPr>
          <w:p w14:paraId="440430D3">
            <w:pPr>
              <w:jc w:val="center"/>
              <w:rPr>
                <w:rFonts w:hint="eastAsia" w:ascii="宋体" w:cs="宋体"/>
                <w:color w:val="auto"/>
                <w:szCs w:val="21"/>
              </w:rPr>
            </w:pPr>
            <w:r>
              <w:rPr>
                <w:rFonts w:hint="eastAsia" w:ascii="宋体" w:cs="宋体"/>
                <w:color w:val="auto"/>
                <w:szCs w:val="21"/>
              </w:rPr>
              <w:t>处罚依据</w:t>
            </w:r>
          </w:p>
        </w:tc>
        <w:tc>
          <w:tcPr>
            <w:tcW w:w="7535" w:type="dxa"/>
            <w:gridSpan w:val="2"/>
            <w:noWrap w:val="0"/>
            <w:vAlign w:val="top"/>
          </w:tcPr>
          <w:p w14:paraId="417703DD">
            <w:pPr>
              <w:ind w:firstLine="420" w:firstLineChars="200"/>
              <w:rPr>
                <w:rFonts w:hint="eastAsia" w:ascii="宋体" w:cs="宋体"/>
                <w:color w:val="auto"/>
                <w:szCs w:val="21"/>
              </w:rPr>
            </w:pPr>
            <w:r>
              <w:rPr>
                <w:rFonts w:hint="eastAsia" w:ascii="宋体" w:cs="宋体"/>
                <w:color w:val="auto"/>
                <w:szCs w:val="21"/>
              </w:rPr>
              <w:t>《福建省水污染防治条例》第六十六条</w:t>
            </w:r>
            <w:r>
              <w:rPr>
                <w:rFonts w:hint="eastAsia" w:ascii="宋体" w:cs="宋体"/>
                <w:color w:val="auto"/>
                <w:szCs w:val="21"/>
                <w:lang w:val="en-US" w:eastAsia="zh-CN"/>
              </w:rPr>
              <w:t xml:space="preserve"> </w:t>
            </w:r>
            <w:r>
              <w:rPr>
                <w:rFonts w:hint="eastAsia" w:ascii="宋体" w:cs="宋体"/>
                <w:color w:val="auto"/>
                <w:szCs w:val="21"/>
              </w:rPr>
              <w:t>违反本条例第四十六条规定，在饮用水水源一级保护区内堆置、存放和填埋工业废渣、城乡垃圾、粪便或者其他废弃物的，由省、设区的市人民政府生态环境主管部门或者其派出机构责令停止违法行为，恢复原状，并处十万元以上三十万元以下罚款；造成饮用水源污染的，并处三十万元以上一百万元以下罚款。</w:t>
            </w:r>
          </w:p>
        </w:tc>
      </w:tr>
      <w:tr w14:paraId="25455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07" w:type="dxa"/>
            <w:noWrap w:val="0"/>
            <w:vAlign w:val="center"/>
          </w:tcPr>
          <w:p w14:paraId="092D5B05">
            <w:pPr>
              <w:jc w:val="center"/>
              <w:rPr>
                <w:rFonts w:hint="eastAsia" w:ascii="宋体" w:cs="宋体"/>
                <w:color w:val="auto"/>
                <w:szCs w:val="21"/>
              </w:rPr>
            </w:pPr>
            <w:r>
              <w:rPr>
                <w:rFonts w:hint="eastAsia" w:ascii="宋体" w:cs="宋体"/>
                <w:color w:val="auto"/>
                <w:szCs w:val="21"/>
              </w:rPr>
              <w:t>裁量因素</w:t>
            </w:r>
          </w:p>
        </w:tc>
        <w:tc>
          <w:tcPr>
            <w:tcW w:w="5827" w:type="dxa"/>
            <w:noWrap w:val="0"/>
            <w:vAlign w:val="top"/>
          </w:tcPr>
          <w:p w14:paraId="00D9FFE8">
            <w:pPr>
              <w:jc w:val="center"/>
              <w:rPr>
                <w:rFonts w:hint="eastAsia" w:ascii="宋体" w:cs="宋体"/>
                <w:color w:val="auto"/>
                <w:szCs w:val="21"/>
              </w:rPr>
            </w:pPr>
            <w:r>
              <w:rPr>
                <w:rFonts w:hint="eastAsia" w:ascii="宋体" w:cs="宋体"/>
                <w:color w:val="auto"/>
                <w:szCs w:val="21"/>
              </w:rPr>
              <w:t>裁量因子</w:t>
            </w:r>
          </w:p>
        </w:tc>
        <w:tc>
          <w:tcPr>
            <w:tcW w:w="1708" w:type="dxa"/>
            <w:noWrap w:val="0"/>
            <w:vAlign w:val="top"/>
          </w:tcPr>
          <w:p w14:paraId="4EA17DF7">
            <w:pPr>
              <w:jc w:val="center"/>
              <w:rPr>
                <w:rFonts w:hint="eastAsia" w:ascii="宋体" w:cs="宋体"/>
                <w:color w:val="auto"/>
                <w:szCs w:val="21"/>
              </w:rPr>
            </w:pPr>
            <w:r>
              <w:rPr>
                <w:rFonts w:hint="eastAsia" w:ascii="宋体" w:cs="宋体"/>
                <w:color w:val="auto"/>
                <w:szCs w:val="21"/>
              </w:rPr>
              <w:t>裁量等级</w:t>
            </w:r>
          </w:p>
        </w:tc>
      </w:tr>
      <w:tr w14:paraId="6EF25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07" w:type="dxa"/>
            <w:vMerge w:val="restart"/>
            <w:noWrap w:val="0"/>
            <w:vAlign w:val="center"/>
          </w:tcPr>
          <w:p w14:paraId="35AA9D27">
            <w:pPr>
              <w:jc w:val="center"/>
              <w:rPr>
                <w:rFonts w:hint="eastAsia" w:ascii="宋体" w:cs="宋体"/>
                <w:color w:val="auto"/>
                <w:szCs w:val="21"/>
              </w:rPr>
            </w:pPr>
            <w:r>
              <w:rPr>
                <w:rFonts w:hint="eastAsia" w:ascii="宋体" w:cs="宋体"/>
                <w:color w:val="auto"/>
                <w:szCs w:val="21"/>
              </w:rPr>
              <w:t>违法数量</w:t>
            </w:r>
          </w:p>
        </w:tc>
        <w:tc>
          <w:tcPr>
            <w:tcW w:w="5827" w:type="dxa"/>
            <w:noWrap w:val="0"/>
            <w:vAlign w:val="top"/>
          </w:tcPr>
          <w:p w14:paraId="4DC6579A">
            <w:pPr>
              <w:ind w:firstLine="420" w:firstLineChars="200"/>
              <w:jc w:val="both"/>
              <w:rPr>
                <w:rFonts w:hint="eastAsia" w:ascii="宋体" w:cs="宋体"/>
                <w:color w:val="auto"/>
                <w:szCs w:val="21"/>
              </w:rPr>
            </w:pPr>
            <w:r>
              <w:rPr>
                <w:rFonts w:hint="eastAsia" w:ascii="宋体" w:cs="宋体"/>
                <w:color w:val="auto"/>
                <w:szCs w:val="21"/>
              </w:rPr>
              <w:t>堆置、存放、填埋1处的</w:t>
            </w:r>
          </w:p>
        </w:tc>
        <w:tc>
          <w:tcPr>
            <w:tcW w:w="1708" w:type="dxa"/>
            <w:noWrap w:val="0"/>
            <w:vAlign w:val="top"/>
          </w:tcPr>
          <w:p w14:paraId="287BFD49">
            <w:pPr>
              <w:jc w:val="center"/>
              <w:rPr>
                <w:rFonts w:hint="eastAsia" w:ascii="宋体" w:cs="宋体"/>
                <w:color w:val="auto"/>
                <w:szCs w:val="21"/>
              </w:rPr>
            </w:pPr>
            <w:r>
              <w:rPr>
                <w:rFonts w:hint="eastAsia" w:ascii="宋体" w:cs="宋体"/>
                <w:color w:val="auto"/>
                <w:szCs w:val="21"/>
              </w:rPr>
              <w:t>1</w:t>
            </w:r>
          </w:p>
        </w:tc>
      </w:tr>
      <w:tr w14:paraId="352FC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07" w:type="dxa"/>
            <w:vMerge w:val="continue"/>
            <w:noWrap w:val="0"/>
            <w:vAlign w:val="center"/>
          </w:tcPr>
          <w:p w14:paraId="0E6973C3">
            <w:pPr>
              <w:jc w:val="center"/>
              <w:rPr>
                <w:color w:val="auto"/>
              </w:rPr>
            </w:pPr>
          </w:p>
        </w:tc>
        <w:tc>
          <w:tcPr>
            <w:tcW w:w="5827" w:type="dxa"/>
            <w:noWrap w:val="0"/>
            <w:vAlign w:val="top"/>
          </w:tcPr>
          <w:p w14:paraId="439E2EDD">
            <w:pPr>
              <w:ind w:firstLine="420" w:firstLineChars="200"/>
              <w:jc w:val="both"/>
              <w:rPr>
                <w:rFonts w:hint="eastAsia" w:ascii="宋体" w:cs="宋体"/>
                <w:color w:val="auto"/>
                <w:szCs w:val="21"/>
              </w:rPr>
            </w:pPr>
            <w:r>
              <w:rPr>
                <w:rFonts w:hint="eastAsia" w:ascii="宋体" w:cs="宋体"/>
                <w:color w:val="auto"/>
                <w:szCs w:val="21"/>
              </w:rPr>
              <w:t>堆置、存放、填埋2处的</w:t>
            </w:r>
          </w:p>
        </w:tc>
        <w:tc>
          <w:tcPr>
            <w:tcW w:w="1708" w:type="dxa"/>
            <w:noWrap w:val="0"/>
            <w:vAlign w:val="top"/>
          </w:tcPr>
          <w:p w14:paraId="24792B69">
            <w:pPr>
              <w:jc w:val="center"/>
              <w:rPr>
                <w:rFonts w:hint="eastAsia" w:ascii="宋体" w:cs="宋体"/>
                <w:color w:val="auto"/>
                <w:szCs w:val="21"/>
              </w:rPr>
            </w:pPr>
            <w:r>
              <w:rPr>
                <w:rFonts w:hint="eastAsia" w:ascii="宋体" w:cs="宋体"/>
                <w:color w:val="auto"/>
                <w:szCs w:val="21"/>
              </w:rPr>
              <w:t>3</w:t>
            </w:r>
          </w:p>
        </w:tc>
      </w:tr>
      <w:tr w14:paraId="667C0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07" w:type="dxa"/>
            <w:vMerge w:val="continue"/>
            <w:noWrap w:val="0"/>
            <w:vAlign w:val="center"/>
          </w:tcPr>
          <w:p w14:paraId="36A1AEEA">
            <w:pPr>
              <w:jc w:val="center"/>
              <w:rPr>
                <w:color w:val="auto"/>
              </w:rPr>
            </w:pPr>
          </w:p>
        </w:tc>
        <w:tc>
          <w:tcPr>
            <w:tcW w:w="5827" w:type="dxa"/>
            <w:noWrap w:val="0"/>
            <w:vAlign w:val="top"/>
          </w:tcPr>
          <w:p w14:paraId="661E4F9B">
            <w:pPr>
              <w:ind w:firstLine="420" w:firstLineChars="200"/>
              <w:jc w:val="both"/>
              <w:rPr>
                <w:rFonts w:hint="eastAsia" w:ascii="宋体" w:cs="宋体"/>
                <w:color w:val="auto"/>
                <w:szCs w:val="21"/>
              </w:rPr>
            </w:pPr>
            <w:r>
              <w:rPr>
                <w:rFonts w:hint="eastAsia" w:ascii="宋体" w:cs="宋体"/>
                <w:color w:val="auto"/>
                <w:szCs w:val="21"/>
              </w:rPr>
              <w:t>堆置、存放、填埋3处以上的</w:t>
            </w:r>
          </w:p>
        </w:tc>
        <w:tc>
          <w:tcPr>
            <w:tcW w:w="1708" w:type="dxa"/>
            <w:noWrap w:val="0"/>
            <w:vAlign w:val="top"/>
          </w:tcPr>
          <w:p w14:paraId="05D25F0D">
            <w:pPr>
              <w:jc w:val="center"/>
              <w:rPr>
                <w:rFonts w:hint="eastAsia" w:ascii="宋体" w:cs="宋体"/>
                <w:color w:val="auto"/>
                <w:szCs w:val="21"/>
              </w:rPr>
            </w:pPr>
            <w:r>
              <w:rPr>
                <w:rFonts w:hint="eastAsia" w:ascii="宋体" w:cs="宋体"/>
                <w:color w:val="auto"/>
                <w:szCs w:val="21"/>
              </w:rPr>
              <w:t>5</w:t>
            </w:r>
          </w:p>
        </w:tc>
      </w:tr>
      <w:tr w14:paraId="6CA14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07" w:type="dxa"/>
            <w:vMerge w:val="restart"/>
            <w:noWrap w:val="0"/>
            <w:vAlign w:val="center"/>
          </w:tcPr>
          <w:p w14:paraId="46FAB0A9">
            <w:pPr>
              <w:jc w:val="center"/>
              <w:rPr>
                <w:rFonts w:hint="eastAsia" w:ascii="宋体" w:cs="宋体"/>
                <w:color w:val="auto"/>
                <w:szCs w:val="21"/>
              </w:rPr>
            </w:pPr>
            <w:r>
              <w:rPr>
                <w:rFonts w:hint="eastAsia" w:ascii="宋体" w:cs="宋体"/>
                <w:color w:val="auto"/>
                <w:szCs w:val="21"/>
              </w:rPr>
              <w:t>废弃物数量</w:t>
            </w:r>
          </w:p>
        </w:tc>
        <w:tc>
          <w:tcPr>
            <w:tcW w:w="5827" w:type="dxa"/>
            <w:noWrap w:val="0"/>
            <w:vAlign w:val="top"/>
          </w:tcPr>
          <w:p w14:paraId="4CEEFA99">
            <w:pPr>
              <w:ind w:firstLine="420" w:firstLineChars="200"/>
              <w:jc w:val="both"/>
              <w:rPr>
                <w:rFonts w:hint="eastAsia" w:ascii="宋体" w:cs="宋体"/>
                <w:color w:val="auto"/>
                <w:szCs w:val="21"/>
              </w:rPr>
            </w:pPr>
            <w:r>
              <w:rPr>
                <w:rFonts w:hint="eastAsia" w:ascii="宋体" w:cs="宋体"/>
                <w:color w:val="auto"/>
                <w:szCs w:val="21"/>
              </w:rPr>
              <w:t>不足1吨的</w:t>
            </w:r>
          </w:p>
        </w:tc>
        <w:tc>
          <w:tcPr>
            <w:tcW w:w="1708" w:type="dxa"/>
            <w:noWrap w:val="0"/>
            <w:vAlign w:val="top"/>
          </w:tcPr>
          <w:p w14:paraId="68C00499">
            <w:pPr>
              <w:jc w:val="center"/>
              <w:rPr>
                <w:rFonts w:hint="eastAsia" w:ascii="宋体" w:cs="宋体"/>
                <w:color w:val="auto"/>
                <w:szCs w:val="21"/>
              </w:rPr>
            </w:pPr>
            <w:r>
              <w:rPr>
                <w:rFonts w:hint="eastAsia" w:ascii="宋体" w:cs="宋体"/>
                <w:color w:val="auto"/>
                <w:szCs w:val="21"/>
              </w:rPr>
              <w:t>1</w:t>
            </w:r>
          </w:p>
        </w:tc>
      </w:tr>
      <w:tr w14:paraId="5831C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07" w:type="dxa"/>
            <w:vMerge w:val="continue"/>
            <w:noWrap w:val="0"/>
            <w:vAlign w:val="center"/>
          </w:tcPr>
          <w:p w14:paraId="29D8E62C">
            <w:pPr>
              <w:jc w:val="center"/>
              <w:rPr>
                <w:color w:val="auto"/>
              </w:rPr>
            </w:pPr>
          </w:p>
        </w:tc>
        <w:tc>
          <w:tcPr>
            <w:tcW w:w="5827" w:type="dxa"/>
            <w:noWrap w:val="0"/>
            <w:vAlign w:val="top"/>
          </w:tcPr>
          <w:p w14:paraId="3A22F318">
            <w:pPr>
              <w:ind w:firstLine="420" w:firstLineChars="200"/>
              <w:jc w:val="both"/>
              <w:rPr>
                <w:rFonts w:hint="eastAsia" w:ascii="宋体" w:cs="宋体"/>
                <w:color w:val="auto"/>
                <w:szCs w:val="21"/>
              </w:rPr>
            </w:pPr>
            <w:r>
              <w:rPr>
                <w:rFonts w:hint="eastAsia" w:ascii="宋体" w:cs="宋体"/>
                <w:color w:val="auto"/>
                <w:szCs w:val="21"/>
              </w:rPr>
              <w:t>1吨以上不足10吨的</w:t>
            </w:r>
          </w:p>
        </w:tc>
        <w:tc>
          <w:tcPr>
            <w:tcW w:w="1708" w:type="dxa"/>
            <w:noWrap w:val="0"/>
            <w:vAlign w:val="top"/>
          </w:tcPr>
          <w:p w14:paraId="1C1ED43C">
            <w:pPr>
              <w:jc w:val="center"/>
              <w:rPr>
                <w:rFonts w:hint="eastAsia" w:ascii="宋体" w:cs="宋体"/>
                <w:color w:val="auto"/>
                <w:szCs w:val="21"/>
              </w:rPr>
            </w:pPr>
            <w:r>
              <w:rPr>
                <w:rFonts w:hint="eastAsia" w:ascii="宋体" w:cs="宋体"/>
                <w:color w:val="auto"/>
                <w:szCs w:val="21"/>
              </w:rPr>
              <w:t>3</w:t>
            </w:r>
          </w:p>
        </w:tc>
      </w:tr>
      <w:tr w14:paraId="2CC52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07" w:type="dxa"/>
            <w:vMerge w:val="continue"/>
            <w:noWrap w:val="0"/>
            <w:vAlign w:val="center"/>
          </w:tcPr>
          <w:p w14:paraId="36288D09">
            <w:pPr>
              <w:jc w:val="center"/>
              <w:rPr>
                <w:color w:val="auto"/>
              </w:rPr>
            </w:pPr>
          </w:p>
        </w:tc>
        <w:tc>
          <w:tcPr>
            <w:tcW w:w="5827" w:type="dxa"/>
            <w:noWrap w:val="0"/>
            <w:vAlign w:val="top"/>
          </w:tcPr>
          <w:p w14:paraId="2BC6A94B">
            <w:pPr>
              <w:ind w:firstLine="420" w:firstLineChars="200"/>
              <w:jc w:val="both"/>
              <w:rPr>
                <w:rFonts w:hint="eastAsia" w:ascii="宋体" w:cs="宋体"/>
                <w:color w:val="auto"/>
                <w:szCs w:val="21"/>
              </w:rPr>
            </w:pPr>
            <w:r>
              <w:rPr>
                <w:rFonts w:hint="eastAsia" w:ascii="宋体" w:cs="宋体"/>
                <w:color w:val="auto"/>
                <w:szCs w:val="21"/>
              </w:rPr>
              <w:t>10吨以上的</w:t>
            </w:r>
          </w:p>
        </w:tc>
        <w:tc>
          <w:tcPr>
            <w:tcW w:w="1708" w:type="dxa"/>
            <w:noWrap w:val="0"/>
            <w:vAlign w:val="top"/>
          </w:tcPr>
          <w:p w14:paraId="0C41CEB7">
            <w:pPr>
              <w:jc w:val="center"/>
              <w:rPr>
                <w:rFonts w:hint="eastAsia" w:ascii="宋体" w:cs="宋体"/>
                <w:color w:val="auto"/>
                <w:szCs w:val="21"/>
              </w:rPr>
            </w:pPr>
            <w:r>
              <w:rPr>
                <w:rFonts w:hint="eastAsia" w:ascii="宋体" w:cs="宋体"/>
                <w:color w:val="auto"/>
                <w:szCs w:val="21"/>
              </w:rPr>
              <w:t>5</w:t>
            </w:r>
          </w:p>
        </w:tc>
      </w:tr>
      <w:tr w14:paraId="3D641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07" w:type="dxa"/>
            <w:noWrap w:val="0"/>
            <w:vAlign w:val="center"/>
          </w:tcPr>
          <w:p w14:paraId="553393A6">
            <w:pPr>
              <w:jc w:val="center"/>
              <w:rPr>
                <w:rFonts w:hint="eastAsia" w:ascii="宋体" w:cs="宋体"/>
                <w:color w:val="auto"/>
                <w:szCs w:val="21"/>
              </w:rPr>
            </w:pPr>
            <w:r>
              <w:rPr>
                <w:rFonts w:hint="eastAsia" w:ascii="宋体" w:cs="宋体"/>
                <w:color w:val="auto"/>
                <w:szCs w:val="21"/>
              </w:rPr>
              <w:t>备注</w:t>
            </w:r>
          </w:p>
        </w:tc>
        <w:tc>
          <w:tcPr>
            <w:tcW w:w="7535" w:type="dxa"/>
            <w:gridSpan w:val="2"/>
            <w:noWrap w:val="0"/>
            <w:vAlign w:val="top"/>
          </w:tcPr>
          <w:p w14:paraId="6D102D4E">
            <w:pPr>
              <w:jc w:val="center"/>
              <w:rPr>
                <w:rFonts w:hint="eastAsia" w:ascii="宋体" w:cs="宋体"/>
                <w:color w:val="auto"/>
                <w:szCs w:val="21"/>
              </w:rPr>
            </w:pPr>
          </w:p>
        </w:tc>
      </w:tr>
    </w:tbl>
    <w:p w14:paraId="29EF5195">
      <w:pPr>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br w:type="page"/>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24"/>
        <w:gridCol w:w="5500"/>
        <w:gridCol w:w="1624"/>
      </w:tblGrid>
      <w:tr w14:paraId="5A50C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48" w:type="dxa"/>
            <w:gridSpan w:val="3"/>
            <w:noWrap w:val="0"/>
            <w:vAlign w:val="top"/>
          </w:tcPr>
          <w:p w14:paraId="4B347561">
            <w:pPr>
              <w:jc w:val="center"/>
              <w:rPr>
                <w:rFonts w:hint="eastAsia" w:ascii="宋体" w:cs="宋体"/>
                <w:color w:val="auto"/>
                <w:szCs w:val="21"/>
              </w:rPr>
            </w:pPr>
            <w:r>
              <w:rPr>
                <w:rFonts w:hint="eastAsia" w:ascii="宋体" w:hAnsi="宋体" w:eastAsia="宋体" w:cs="宋体"/>
                <w:bCs/>
                <w:color w:val="auto"/>
                <w:sz w:val="21"/>
                <w:szCs w:val="21"/>
                <w:highlight w:val="none"/>
              </w:rPr>
              <w:t>（</w:t>
            </w:r>
            <w:r>
              <w:rPr>
                <w:rFonts w:hint="eastAsia" w:ascii="宋体" w:hAnsi="宋体" w:eastAsia="宋体" w:cs="宋体"/>
                <w:bCs/>
                <w:color w:val="auto"/>
                <w:sz w:val="21"/>
                <w:szCs w:val="21"/>
                <w:highlight w:val="none"/>
                <w:lang w:val="en-US" w:eastAsia="zh-CN"/>
              </w:rPr>
              <w:t>五</w:t>
            </w:r>
            <w:r>
              <w:rPr>
                <w:rFonts w:hint="eastAsia" w:ascii="宋体" w:hAnsi="宋体" w:eastAsia="宋体" w:cs="宋体"/>
                <w:bCs/>
                <w:color w:val="auto"/>
                <w:sz w:val="21"/>
                <w:szCs w:val="21"/>
                <w:highlight w:val="none"/>
              </w:rPr>
              <w:t>）水污染防治类</w:t>
            </w:r>
          </w:p>
        </w:tc>
      </w:tr>
      <w:tr w14:paraId="0252A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24" w:type="dxa"/>
            <w:noWrap w:val="0"/>
            <w:vAlign w:val="center"/>
          </w:tcPr>
          <w:p w14:paraId="16311677">
            <w:pPr>
              <w:jc w:val="center"/>
              <w:rPr>
                <w:rFonts w:hint="eastAsia" w:ascii="宋体" w:cs="宋体"/>
                <w:color w:val="auto"/>
                <w:szCs w:val="21"/>
              </w:rPr>
            </w:pPr>
            <w:r>
              <w:rPr>
                <w:rFonts w:hint="eastAsia" w:ascii="宋体" w:cs="宋体"/>
                <w:color w:val="auto"/>
                <w:szCs w:val="21"/>
              </w:rPr>
              <w:t>序号</w:t>
            </w:r>
          </w:p>
        </w:tc>
        <w:tc>
          <w:tcPr>
            <w:tcW w:w="7124" w:type="dxa"/>
            <w:gridSpan w:val="2"/>
            <w:noWrap w:val="0"/>
            <w:vAlign w:val="top"/>
          </w:tcPr>
          <w:p w14:paraId="7AD84AB1">
            <w:pPr>
              <w:jc w:val="center"/>
              <w:rPr>
                <w:rFonts w:hint="default" w:ascii="宋体" w:eastAsia="宋体" w:cs="宋体"/>
                <w:color w:val="auto"/>
                <w:szCs w:val="21"/>
                <w:lang w:val="en-US" w:eastAsia="zh-CN"/>
              </w:rPr>
            </w:pPr>
            <w:r>
              <w:rPr>
                <w:rFonts w:hint="eastAsia" w:ascii="宋体" w:cs="宋体"/>
                <w:color w:val="auto"/>
                <w:szCs w:val="21"/>
                <w:lang w:val="en-US" w:eastAsia="zh-CN"/>
              </w:rPr>
              <w:t>23</w:t>
            </w:r>
          </w:p>
        </w:tc>
      </w:tr>
      <w:tr w14:paraId="2041A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24" w:type="dxa"/>
            <w:noWrap w:val="0"/>
            <w:vAlign w:val="center"/>
          </w:tcPr>
          <w:p w14:paraId="2FA6B34B">
            <w:pPr>
              <w:jc w:val="center"/>
              <w:rPr>
                <w:rFonts w:hint="eastAsia" w:ascii="宋体" w:cs="宋体"/>
                <w:color w:val="auto"/>
                <w:szCs w:val="21"/>
              </w:rPr>
            </w:pPr>
            <w:r>
              <w:rPr>
                <w:rFonts w:hint="eastAsia" w:ascii="宋体" w:cs="宋体"/>
                <w:color w:val="auto"/>
                <w:szCs w:val="21"/>
              </w:rPr>
              <w:t>违法行为</w:t>
            </w:r>
          </w:p>
        </w:tc>
        <w:tc>
          <w:tcPr>
            <w:tcW w:w="7124" w:type="dxa"/>
            <w:gridSpan w:val="2"/>
            <w:noWrap w:val="0"/>
            <w:vAlign w:val="center"/>
          </w:tcPr>
          <w:p w14:paraId="28AAE41B">
            <w:pPr>
              <w:adjustRightInd w:val="0"/>
              <w:ind w:firstLine="420" w:firstLineChars="200"/>
              <w:jc w:val="both"/>
              <w:rPr>
                <w:rFonts w:hint="eastAsia" w:ascii="宋体" w:cs="宋体"/>
                <w:color w:val="auto"/>
                <w:szCs w:val="21"/>
              </w:rPr>
            </w:pPr>
            <w:r>
              <w:rPr>
                <w:rFonts w:hint="eastAsia" w:ascii="宋体" w:cs="宋体"/>
                <w:color w:val="auto"/>
                <w:szCs w:val="21"/>
              </w:rPr>
              <w:t>生产、储存危险化学品的企业事业单位未按照规定建设事故应急池等水污染应急设施的</w:t>
            </w:r>
          </w:p>
        </w:tc>
      </w:tr>
      <w:tr w14:paraId="4F7D2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24" w:type="dxa"/>
            <w:noWrap w:val="0"/>
            <w:vAlign w:val="center"/>
          </w:tcPr>
          <w:p w14:paraId="43D48D71">
            <w:pPr>
              <w:jc w:val="center"/>
              <w:rPr>
                <w:rFonts w:hint="eastAsia" w:ascii="宋体" w:cs="宋体"/>
                <w:color w:val="auto"/>
                <w:szCs w:val="21"/>
              </w:rPr>
            </w:pPr>
            <w:r>
              <w:rPr>
                <w:rFonts w:hint="eastAsia" w:ascii="宋体" w:cs="宋体"/>
                <w:color w:val="auto"/>
                <w:szCs w:val="21"/>
              </w:rPr>
              <w:t>违反条款</w:t>
            </w:r>
          </w:p>
        </w:tc>
        <w:tc>
          <w:tcPr>
            <w:tcW w:w="7124" w:type="dxa"/>
            <w:gridSpan w:val="2"/>
            <w:noWrap w:val="0"/>
            <w:vAlign w:val="top"/>
          </w:tcPr>
          <w:p w14:paraId="21747094">
            <w:pPr>
              <w:ind w:firstLine="420" w:firstLineChars="200"/>
              <w:rPr>
                <w:rFonts w:hint="eastAsia" w:ascii="宋体" w:cs="宋体"/>
                <w:color w:val="auto"/>
                <w:szCs w:val="21"/>
              </w:rPr>
            </w:pPr>
            <w:r>
              <w:rPr>
                <w:rFonts w:hint="eastAsia" w:ascii="宋体" w:cs="宋体"/>
                <w:color w:val="auto"/>
                <w:szCs w:val="21"/>
              </w:rPr>
              <w:t>《福建省水污染防治条例》第五十二条第二款</w:t>
            </w:r>
            <w:r>
              <w:rPr>
                <w:rFonts w:hint="eastAsia" w:ascii="宋体" w:cs="宋体"/>
                <w:color w:val="auto"/>
                <w:szCs w:val="21"/>
                <w:lang w:val="en-US" w:eastAsia="zh-CN"/>
              </w:rPr>
              <w:t xml:space="preserve"> </w:t>
            </w:r>
            <w:r>
              <w:rPr>
                <w:rFonts w:hint="eastAsia" w:ascii="宋体" w:cs="宋体"/>
                <w:color w:val="auto"/>
                <w:szCs w:val="21"/>
              </w:rPr>
              <w:t>生产、储存危险化学品的企业事业单位，应当按照规定建设事故应急池等水污染应急设施，防止在应急处置过程中产生的废水、废液直接排入水体。</w:t>
            </w:r>
          </w:p>
        </w:tc>
      </w:tr>
      <w:tr w14:paraId="26BE7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24" w:type="dxa"/>
            <w:noWrap w:val="0"/>
            <w:vAlign w:val="center"/>
          </w:tcPr>
          <w:p w14:paraId="552C8DDB">
            <w:pPr>
              <w:jc w:val="center"/>
              <w:rPr>
                <w:rFonts w:hint="eastAsia" w:ascii="宋体" w:cs="宋体"/>
                <w:color w:val="auto"/>
                <w:szCs w:val="21"/>
              </w:rPr>
            </w:pPr>
            <w:r>
              <w:rPr>
                <w:rFonts w:hint="eastAsia" w:ascii="宋体" w:cs="宋体"/>
                <w:color w:val="auto"/>
                <w:szCs w:val="21"/>
              </w:rPr>
              <w:t>处罚依据</w:t>
            </w:r>
          </w:p>
        </w:tc>
        <w:tc>
          <w:tcPr>
            <w:tcW w:w="7124" w:type="dxa"/>
            <w:gridSpan w:val="2"/>
            <w:noWrap w:val="0"/>
            <w:vAlign w:val="top"/>
          </w:tcPr>
          <w:p w14:paraId="5C6AB5EA">
            <w:pPr>
              <w:ind w:firstLine="420" w:firstLineChars="200"/>
              <w:rPr>
                <w:rFonts w:hint="eastAsia" w:ascii="宋体" w:cs="宋体"/>
                <w:color w:val="auto"/>
                <w:szCs w:val="21"/>
              </w:rPr>
            </w:pPr>
            <w:r>
              <w:rPr>
                <w:rFonts w:hint="eastAsia" w:ascii="宋体" w:cs="宋体"/>
                <w:color w:val="auto"/>
                <w:szCs w:val="21"/>
              </w:rPr>
              <w:t>《福建省水污染防治条例》第六十七条</w:t>
            </w:r>
            <w:r>
              <w:rPr>
                <w:rFonts w:hint="eastAsia" w:ascii="宋体" w:cs="宋体"/>
                <w:color w:val="auto"/>
                <w:szCs w:val="21"/>
                <w:lang w:val="en-US" w:eastAsia="zh-CN"/>
              </w:rPr>
              <w:t xml:space="preserve"> </w:t>
            </w:r>
            <w:r>
              <w:rPr>
                <w:rFonts w:hint="eastAsia" w:ascii="宋体" w:cs="宋体"/>
                <w:color w:val="auto"/>
                <w:szCs w:val="21"/>
              </w:rPr>
              <w:t>违反本条例第五十二条第二款规定，生产、储存危险化学品的企业事业单位未按照规定建设事故应急池等水污染应急设施的，由省、设区的市人民政府生态环境主管部门或者其派出机构责令限期改正，并处十万元以上五十万元以下罚款。</w:t>
            </w:r>
          </w:p>
        </w:tc>
      </w:tr>
      <w:tr w14:paraId="44902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24" w:type="dxa"/>
            <w:noWrap w:val="0"/>
            <w:vAlign w:val="center"/>
          </w:tcPr>
          <w:p w14:paraId="073C4E82">
            <w:pPr>
              <w:jc w:val="center"/>
              <w:rPr>
                <w:rFonts w:hint="eastAsia" w:ascii="宋体" w:cs="宋体"/>
                <w:color w:val="auto"/>
                <w:szCs w:val="21"/>
              </w:rPr>
            </w:pPr>
            <w:r>
              <w:rPr>
                <w:rFonts w:hint="eastAsia" w:ascii="宋体" w:cs="宋体"/>
                <w:color w:val="auto"/>
                <w:szCs w:val="21"/>
              </w:rPr>
              <w:t>裁量因素</w:t>
            </w:r>
          </w:p>
        </w:tc>
        <w:tc>
          <w:tcPr>
            <w:tcW w:w="5500" w:type="dxa"/>
            <w:noWrap w:val="0"/>
            <w:vAlign w:val="top"/>
          </w:tcPr>
          <w:p w14:paraId="1C765CC3">
            <w:pPr>
              <w:jc w:val="center"/>
              <w:rPr>
                <w:rFonts w:hint="eastAsia" w:ascii="宋体" w:cs="宋体"/>
                <w:color w:val="auto"/>
                <w:szCs w:val="21"/>
              </w:rPr>
            </w:pPr>
            <w:r>
              <w:rPr>
                <w:rFonts w:hint="eastAsia" w:ascii="宋体" w:cs="宋体"/>
                <w:color w:val="auto"/>
                <w:szCs w:val="21"/>
              </w:rPr>
              <w:t>裁量因子</w:t>
            </w:r>
          </w:p>
        </w:tc>
        <w:tc>
          <w:tcPr>
            <w:tcW w:w="1624" w:type="dxa"/>
            <w:noWrap w:val="0"/>
            <w:vAlign w:val="top"/>
          </w:tcPr>
          <w:p w14:paraId="618018F2">
            <w:pPr>
              <w:jc w:val="center"/>
              <w:rPr>
                <w:rFonts w:hint="eastAsia" w:ascii="宋体" w:cs="宋体"/>
                <w:color w:val="auto"/>
                <w:szCs w:val="21"/>
              </w:rPr>
            </w:pPr>
            <w:r>
              <w:rPr>
                <w:rFonts w:hint="eastAsia" w:ascii="宋体" w:cs="宋体"/>
                <w:color w:val="auto"/>
                <w:szCs w:val="21"/>
              </w:rPr>
              <w:t>裁量等级</w:t>
            </w:r>
          </w:p>
        </w:tc>
      </w:tr>
      <w:tr w14:paraId="10FD8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24" w:type="dxa"/>
            <w:vMerge w:val="restart"/>
            <w:noWrap w:val="0"/>
            <w:vAlign w:val="center"/>
          </w:tcPr>
          <w:p w14:paraId="526E8BCA">
            <w:pPr>
              <w:jc w:val="center"/>
              <w:rPr>
                <w:rFonts w:hint="eastAsia" w:ascii="宋体" w:cs="宋体"/>
                <w:color w:val="auto"/>
                <w:szCs w:val="21"/>
              </w:rPr>
            </w:pPr>
            <w:r>
              <w:rPr>
                <w:rFonts w:hint="eastAsia" w:ascii="宋体" w:cs="宋体"/>
                <w:color w:val="auto"/>
                <w:szCs w:val="21"/>
              </w:rPr>
              <w:t>违法事实</w:t>
            </w:r>
          </w:p>
        </w:tc>
        <w:tc>
          <w:tcPr>
            <w:tcW w:w="5500" w:type="dxa"/>
            <w:noWrap w:val="0"/>
            <w:vAlign w:val="top"/>
          </w:tcPr>
          <w:p w14:paraId="2120A82C">
            <w:pPr>
              <w:ind w:firstLine="420" w:firstLineChars="200"/>
              <w:jc w:val="both"/>
              <w:rPr>
                <w:rFonts w:hint="eastAsia" w:ascii="宋体" w:cs="宋体"/>
                <w:color w:val="auto"/>
                <w:szCs w:val="21"/>
              </w:rPr>
            </w:pPr>
            <w:r>
              <w:rPr>
                <w:rFonts w:hint="eastAsia" w:ascii="宋体" w:cs="宋体"/>
                <w:color w:val="auto"/>
                <w:szCs w:val="21"/>
              </w:rPr>
              <w:t>尚未造成在应急处置过程中产生的废水、废液直接排入水体</w:t>
            </w:r>
          </w:p>
        </w:tc>
        <w:tc>
          <w:tcPr>
            <w:tcW w:w="1624" w:type="dxa"/>
            <w:noWrap w:val="0"/>
            <w:vAlign w:val="center"/>
          </w:tcPr>
          <w:p w14:paraId="4AC68A95">
            <w:pPr>
              <w:jc w:val="center"/>
              <w:rPr>
                <w:rFonts w:hint="eastAsia" w:ascii="宋体" w:cs="宋体"/>
                <w:color w:val="auto"/>
                <w:szCs w:val="21"/>
              </w:rPr>
            </w:pPr>
            <w:r>
              <w:rPr>
                <w:rFonts w:hint="eastAsia" w:ascii="宋体" w:cs="宋体"/>
                <w:color w:val="auto"/>
                <w:szCs w:val="21"/>
              </w:rPr>
              <w:t>1</w:t>
            </w:r>
          </w:p>
        </w:tc>
      </w:tr>
      <w:tr w14:paraId="08B00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24" w:type="dxa"/>
            <w:vMerge w:val="continue"/>
            <w:noWrap w:val="0"/>
            <w:vAlign w:val="center"/>
          </w:tcPr>
          <w:p w14:paraId="0DEF6975">
            <w:pPr>
              <w:jc w:val="center"/>
              <w:rPr>
                <w:color w:val="auto"/>
              </w:rPr>
            </w:pPr>
          </w:p>
        </w:tc>
        <w:tc>
          <w:tcPr>
            <w:tcW w:w="5500" w:type="dxa"/>
            <w:noWrap w:val="0"/>
            <w:vAlign w:val="top"/>
          </w:tcPr>
          <w:p w14:paraId="3A93C736">
            <w:pPr>
              <w:ind w:firstLine="420" w:firstLineChars="200"/>
              <w:jc w:val="both"/>
              <w:rPr>
                <w:rFonts w:hint="eastAsia" w:ascii="宋体" w:cs="宋体"/>
                <w:color w:val="auto"/>
                <w:szCs w:val="21"/>
              </w:rPr>
            </w:pPr>
            <w:r>
              <w:rPr>
                <w:rFonts w:hint="eastAsia" w:ascii="宋体" w:cs="宋体"/>
                <w:color w:val="auto"/>
                <w:szCs w:val="21"/>
              </w:rPr>
              <w:t>已造成在应急处置过程中产生的废水、废液直接排入水体等事故的</w:t>
            </w:r>
          </w:p>
        </w:tc>
        <w:tc>
          <w:tcPr>
            <w:tcW w:w="1624" w:type="dxa"/>
            <w:noWrap w:val="0"/>
            <w:vAlign w:val="center"/>
          </w:tcPr>
          <w:p w14:paraId="154953D3">
            <w:pPr>
              <w:jc w:val="center"/>
              <w:rPr>
                <w:rFonts w:hint="eastAsia" w:ascii="宋体" w:cs="宋体"/>
                <w:color w:val="auto"/>
                <w:szCs w:val="21"/>
              </w:rPr>
            </w:pPr>
            <w:r>
              <w:rPr>
                <w:rFonts w:hint="eastAsia" w:ascii="宋体" w:cs="宋体"/>
                <w:color w:val="auto"/>
                <w:szCs w:val="21"/>
              </w:rPr>
              <w:t>5</w:t>
            </w:r>
          </w:p>
        </w:tc>
      </w:tr>
      <w:tr w14:paraId="4BFC5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24" w:type="dxa"/>
            <w:vMerge w:val="restart"/>
            <w:noWrap w:val="0"/>
            <w:vAlign w:val="center"/>
          </w:tcPr>
          <w:p w14:paraId="61F09958">
            <w:pPr>
              <w:jc w:val="center"/>
              <w:rPr>
                <w:rFonts w:hint="eastAsia" w:ascii="宋体" w:cs="宋体"/>
                <w:color w:val="auto"/>
                <w:szCs w:val="21"/>
              </w:rPr>
            </w:pPr>
            <w:r>
              <w:rPr>
                <w:rFonts w:hint="eastAsia" w:ascii="宋体" w:cs="宋体"/>
                <w:color w:val="auto"/>
                <w:szCs w:val="21"/>
              </w:rPr>
              <w:t>废水数量（仅适用于已造成事故的）</w:t>
            </w:r>
          </w:p>
        </w:tc>
        <w:tc>
          <w:tcPr>
            <w:tcW w:w="5500" w:type="dxa"/>
            <w:noWrap w:val="0"/>
            <w:vAlign w:val="top"/>
          </w:tcPr>
          <w:p w14:paraId="60B9D0B5">
            <w:pPr>
              <w:ind w:firstLine="420" w:firstLineChars="200"/>
              <w:jc w:val="both"/>
              <w:rPr>
                <w:rFonts w:hint="eastAsia" w:ascii="宋体" w:cs="宋体"/>
                <w:color w:val="auto"/>
                <w:szCs w:val="21"/>
              </w:rPr>
            </w:pPr>
            <w:r>
              <w:rPr>
                <w:rFonts w:hint="eastAsia" w:ascii="宋体" w:cs="宋体"/>
                <w:color w:val="auto"/>
                <w:szCs w:val="21"/>
              </w:rPr>
              <w:t>不足1吨的</w:t>
            </w:r>
          </w:p>
        </w:tc>
        <w:tc>
          <w:tcPr>
            <w:tcW w:w="1624" w:type="dxa"/>
            <w:noWrap w:val="0"/>
            <w:vAlign w:val="top"/>
          </w:tcPr>
          <w:p w14:paraId="67BAEA96">
            <w:pPr>
              <w:jc w:val="center"/>
              <w:rPr>
                <w:rFonts w:hint="eastAsia" w:ascii="宋体" w:cs="宋体"/>
                <w:color w:val="auto"/>
                <w:szCs w:val="21"/>
              </w:rPr>
            </w:pPr>
            <w:r>
              <w:rPr>
                <w:rFonts w:hint="eastAsia" w:ascii="宋体" w:cs="宋体"/>
                <w:color w:val="auto"/>
                <w:szCs w:val="21"/>
              </w:rPr>
              <w:t>1</w:t>
            </w:r>
          </w:p>
        </w:tc>
      </w:tr>
      <w:tr w14:paraId="3020B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24" w:type="dxa"/>
            <w:vMerge w:val="continue"/>
            <w:noWrap w:val="0"/>
            <w:vAlign w:val="center"/>
          </w:tcPr>
          <w:p w14:paraId="1D280D9E">
            <w:pPr>
              <w:jc w:val="center"/>
              <w:rPr>
                <w:color w:val="auto"/>
              </w:rPr>
            </w:pPr>
          </w:p>
        </w:tc>
        <w:tc>
          <w:tcPr>
            <w:tcW w:w="5500" w:type="dxa"/>
            <w:noWrap w:val="0"/>
            <w:vAlign w:val="top"/>
          </w:tcPr>
          <w:p w14:paraId="207C5B5C">
            <w:pPr>
              <w:ind w:firstLine="420" w:firstLineChars="200"/>
              <w:jc w:val="both"/>
              <w:rPr>
                <w:rFonts w:hint="eastAsia" w:ascii="宋体" w:cs="宋体"/>
                <w:color w:val="auto"/>
                <w:szCs w:val="21"/>
              </w:rPr>
            </w:pPr>
            <w:r>
              <w:rPr>
                <w:rFonts w:hint="eastAsia" w:ascii="宋体" w:cs="宋体"/>
                <w:color w:val="auto"/>
                <w:szCs w:val="21"/>
              </w:rPr>
              <w:t>1吨以上不足10吨的</w:t>
            </w:r>
          </w:p>
        </w:tc>
        <w:tc>
          <w:tcPr>
            <w:tcW w:w="1624" w:type="dxa"/>
            <w:noWrap w:val="0"/>
            <w:vAlign w:val="top"/>
          </w:tcPr>
          <w:p w14:paraId="1A50FF11">
            <w:pPr>
              <w:jc w:val="center"/>
              <w:rPr>
                <w:rFonts w:hint="eastAsia" w:ascii="宋体" w:cs="宋体"/>
                <w:color w:val="auto"/>
                <w:szCs w:val="21"/>
              </w:rPr>
            </w:pPr>
            <w:r>
              <w:rPr>
                <w:rFonts w:hint="eastAsia" w:ascii="宋体" w:cs="宋体"/>
                <w:color w:val="auto"/>
                <w:szCs w:val="21"/>
              </w:rPr>
              <w:t>3</w:t>
            </w:r>
          </w:p>
        </w:tc>
      </w:tr>
      <w:tr w14:paraId="04895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24" w:type="dxa"/>
            <w:vMerge w:val="continue"/>
            <w:noWrap w:val="0"/>
            <w:vAlign w:val="center"/>
          </w:tcPr>
          <w:p w14:paraId="409B2505">
            <w:pPr>
              <w:jc w:val="center"/>
              <w:rPr>
                <w:color w:val="auto"/>
              </w:rPr>
            </w:pPr>
          </w:p>
        </w:tc>
        <w:tc>
          <w:tcPr>
            <w:tcW w:w="5500" w:type="dxa"/>
            <w:noWrap w:val="0"/>
            <w:vAlign w:val="top"/>
          </w:tcPr>
          <w:p w14:paraId="362084A9">
            <w:pPr>
              <w:ind w:firstLine="420" w:firstLineChars="200"/>
              <w:jc w:val="both"/>
              <w:rPr>
                <w:rFonts w:hint="eastAsia" w:ascii="宋体" w:cs="宋体"/>
                <w:color w:val="auto"/>
                <w:szCs w:val="21"/>
              </w:rPr>
            </w:pPr>
            <w:r>
              <w:rPr>
                <w:rFonts w:hint="eastAsia" w:ascii="宋体" w:cs="宋体"/>
                <w:color w:val="auto"/>
                <w:szCs w:val="21"/>
              </w:rPr>
              <w:t>10吨以上的</w:t>
            </w:r>
          </w:p>
        </w:tc>
        <w:tc>
          <w:tcPr>
            <w:tcW w:w="1624" w:type="dxa"/>
            <w:noWrap w:val="0"/>
            <w:vAlign w:val="top"/>
          </w:tcPr>
          <w:p w14:paraId="555EA117">
            <w:pPr>
              <w:jc w:val="center"/>
              <w:rPr>
                <w:rFonts w:hint="eastAsia" w:ascii="宋体" w:cs="宋体"/>
                <w:color w:val="auto"/>
                <w:szCs w:val="21"/>
              </w:rPr>
            </w:pPr>
            <w:r>
              <w:rPr>
                <w:rFonts w:hint="eastAsia" w:ascii="宋体" w:cs="宋体"/>
                <w:color w:val="auto"/>
                <w:szCs w:val="21"/>
              </w:rPr>
              <w:t>5</w:t>
            </w:r>
          </w:p>
        </w:tc>
      </w:tr>
    </w:tbl>
    <w:p w14:paraId="1101A068">
      <w:pPr>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br w:type="page"/>
      </w:r>
    </w:p>
    <w:p w14:paraId="74F16BB8">
      <w:pPr>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楷体_GB2312" w:hAnsi="楷体_GB2312" w:eastAsia="楷体_GB2312" w:cs="楷体_GB2312"/>
          <w:b/>
          <w:bCs/>
          <w:color w:val="auto"/>
          <w:sz w:val="28"/>
          <w:szCs w:val="28"/>
          <w:highlight w:val="none"/>
          <w:lang w:val="en-US" w:eastAsia="zh-CN"/>
        </w:rPr>
      </w:pPr>
      <w:r>
        <w:rPr>
          <w:rFonts w:hint="eastAsia" w:ascii="楷体_GB2312" w:hAnsi="楷体_GB2312" w:eastAsia="楷体_GB2312" w:cs="楷体_GB2312"/>
          <w:b/>
          <w:bCs/>
          <w:color w:val="auto"/>
          <w:sz w:val="28"/>
          <w:szCs w:val="28"/>
          <w:highlight w:val="none"/>
          <w:lang w:val="en-US" w:eastAsia="zh-CN"/>
        </w:rPr>
        <w:t>（六）海洋污染防治类</w:t>
      </w:r>
    </w:p>
    <w:p w14:paraId="2A355302">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p>
    <w:p w14:paraId="1A3CD3D5">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1.</w:t>
      </w:r>
      <w:r>
        <w:rPr>
          <w:rFonts w:hint="eastAsia" w:ascii="宋体" w:hAnsi="Times New Roman" w:cs="Times New Roman"/>
          <w:color w:val="auto"/>
          <w:kern w:val="0"/>
          <w:sz w:val="24"/>
        </w:rPr>
        <w:t>向海域排放油类、酸液、碱液的</w:t>
      </w:r>
      <w:r>
        <w:rPr>
          <w:rFonts w:hint="eastAsia" w:ascii="宋体" w:hAnsi="Times New Roman" w:cs="Times New Roman"/>
          <w:color w:val="auto"/>
          <w:kern w:val="0"/>
          <w:sz w:val="24"/>
          <w:lang w:eastAsia="zh-CN"/>
        </w:rPr>
        <w:t>；</w:t>
      </w:r>
    </w:p>
    <w:p w14:paraId="35B3AF98">
      <w:pPr>
        <w:widowControl w:val="0"/>
        <w:adjustRightInd w:val="0"/>
        <w:snapToGrid w:val="0"/>
        <w:spacing w:line="360" w:lineRule="auto"/>
        <w:ind w:firstLine="480" w:firstLineChars="200"/>
        <w:jc w:val="both"/>
        <w:rPr>
          <w:rFonts w:hint="default"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2.向海域排放剧毒废液的；</w:t>
      </w:r>
    </w:p>
    <w:p w14:paraId="2007F1F9">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3.向海域排放未达标的含油污水和油性混合物的；</w:t>
      </w:r>
    </w:p>
    <w:p w14:paraId="0FC53531">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4.向海域处置含油的工业固体废物的；</w:t>
      </w:r>
    </w:p>
    <w:p w14:paraId="534761BC">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5.违反国家规定或者标准，向海域排放含热废水，含病原体的医疗污水、生活污水和工业废水，含不易降解的有机物、重金属的废水的；</w:t>
      </w:r>
    </w:p>
    <w:p w14:paraId="64D06429">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6.在岸滩弃置、堆放、处理固体废物的；</w:t>
      </w:r>
    </w:p>
    <w:p w14:paraId="091E457F">
      <w:pPr>
        <w:widowControl w:val="0"/>
        <w:adjustRightInd w:val="0"/>
        <w:snapToGrid w:val="0"/>
        <w:spacing w:line="360" w:lineRule="auto"/>
        <w:ind w:firstLine="480" w:firstLineChars="200"/>
        <w:jc w:val="both"/>
        <w:rPr>
          <w:rFonts w:hint="default"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7.使用含超标放射性物质或者易溶出有毒有害物质的材料的；</w:t>
      </w:r>
    </w:p>
    <w:p w14:paraId="293447CE">
      <w:pPr>
        <w:widowControl w:val="0"/>
        <w:adjustRightInd w:val="0"/>
        <w:snapToGrid w:val="0"/>
        <w:spacing w:line="360" w:lineRule="auto"/>
        <w:ind w:firstLine="480" w:firstLineChars="200"/>
        <w:jc w:val="both"/>
        <w:rPr>
          <w:rFonts w:hint="eastAsia" w:ascii="宋体" w:hAnsi="Times New Roman" w:cs="Times New Roman"/>
          <w:color w:val="auto"/>
          <w:kern w:val="0"/>
          <w:sz w:val="24"/>
        </w:rPr>
      </w:pPr>
    </w:p>
    <w:p w14:paraId="0B3A8033">
      <w:pPr>
        <w:rPr>
          <w:highlight w:val="none"/>
        </w:rPr>
      </w:pPr>
      <w:r>
        <w:rPr>
          <w:highlight w:val="none"/>
        </w:rPr>
        <w:br w:type="page"/>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99"/>
        <w:gridCol w:w="5817"/>
        <w:gridCol w:w="1332"/>
      </w:tblGrid>
      <w:tr w14:paraId="192CD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3"/>
            <w:noWrap w:val="0"/>
            <w:vAlign w:val="center"/>
          </w:tcPr>
          <w:p w14:paraId="671CAF6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六</w:t>
            </w:r>
            <w:r>
              <w:rPr>
                <w:rFonts w:hint="eastAsia" w:ascii="宋体" w:hAnsi="宋体" w:eastAsia="宋体" w:cs="宋体"/>
                <w:color w:val="auto"/>
                <w:sz w:val="21"/>
                <w:szCs w:val="21"/>
                <w:highlight w:val="none"/>
              </w:rPr>
              <w:t>）海洋污染防治类</w:t>
            </w:r>
          </w:p>
        </w:tc>
      </w:tr>
      <w:tr w14:paraId="6E7EB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3" w:type="dxa"/>
            <w:noWrap w:val="0"/>
            <w:vAlign w:val="center"/>
          </w:tcPr>
          <w:p w14:paraId="3B01AB0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809" w:type="dxa"/>
            <w:gridSpan w:val="2"/>
            <w:noWrap w:val="0"/>
            <w:vAlign w:val="center"/>
          </w:tcPr>
          <w:p w14:paraId="5012E319">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r>
      <w:tr w14:paraId="3B0B2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3" w:type="dxa"/>
            <w:noWrap w:val="0"/>
            <w:vAlign w:val="center"/>
          </w:tcPr>
          <w:p w14:paraId="0615804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6809" w:type="dxa"/>
            <w:gridSpan w:val="2"/>
            <w:noWrap w:val="0"/>
            <w:vAlign w:val="center"/>
          </w:tcPr>
          <w:p w14:paraId="5D8839E7">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向海域排放油类、酸液、碱液</w:t>
            </w:r>
            <w:r>
              <w:rPr>
                <w:rFonts w:hint="eastAsia" w:ascii="宋体" w:hAnsi="宋体" w:eastAsia="宋体" w:cs="宋体"/>
                <w:color w:val="auto"/>
                <w:sz w:val="21"/>
                <w:szCs w:val="21"/>
                <w:highlight w:val="none"/>
                <w:lang w:val="en-US" w:eastAsia="zh-CN"/>
              </w:rPr>
              <w:t>的</w:t>
            </w:r>
          </w:p>
        </w:tc>
      </w:tr>
      <w:tr w14:paraId="3445F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3" w:type="dxa"/>
            <w:noWrap w:val="0"/>
            <w:vAlign w:val="center"/>
          </w:tcPr>
          <w:p w14:paraId="632965F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6809" w:type="dxa"/>
            <w:gridSpan w:val="2"/>
            <w:noWrap w:val="0"/>
            <w:vAlign w:val="center"/>
          </w:tcPr>
          <w:p w14:paraId="52182DED">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《中华人民共和国生态环境法典》</w:t>
            </w:r>
            <w:r>
              <w:rPr>
                <w:rFonts w:hint="eastAsia" w:ascii="宋体" w:hAnsi="宋体" w:eastAsia="宋体" w:cs="宋体"/>
                <w:color w:val="auto"/>
                <w:sz w:val="21"/>
                <w:szCs w:val="21"/>
                <w:highlight w:val="none"/>
              </w:rPr>
              <w:t>第三百五十二条</w:t>
            </w:r>
            <w:r>
              <w:rPr>
                <w:rFonts w:hint="eastAsia" w:ascii="宋体" w:hAnsi="宋体" w:eastAsia="宋体" w:cs="宋体"/>
                <w:color w:val="auto"/>
                <w:sz w:val="21"/>
                <w:szCs w:val="21"/>
                <w:highlight w:val="none"/>
                <w:lang w:val="en-US" w:eastAsia="zh-CN"/>
              </w:rPr>
              <w:t xml:space="preserve">第一款 </w:t>
            </w:r>
            <w:r>
              <w:rPr>
                <w:rFonts w:hint="eastAsia" w:ascii="宋体" w:hAnsi="宋体" w:eastAsia="宋体" w:cs="宋体"/>
                <w:color w:val="auto"/>
                <w:sz w:val="21"/>
                <w:szCs w:val="21"/>
                <w:highlight w:val="none"/>
              </w:rPr>
              <w:t xml:space="preserve"> 禁止向海域排放油类、酸液、碱液、剧毒废液。</w:t>
            </w:r>
          </w:p>
        </w:tc>
      </w:tr>
      <w:tr w14:paraId="677DA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3" w:type="dxa"/>
            <w:noWrap w:val="0"/>
            <w:vAlign w:val="center"/>
          </w:tcPr>
          <w:p w14:paraId="708ED6B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6809" w:type="dxa"/>
            <w:gridSpan w:val="2"/>
            <w:noWrap w:val="0"/>
            <w:vAlign w:val="center"/>
          </w:tcPr>
          <w:p w14:paraId="0CA6F94B">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《中华人民共和国生态环境法典》</w:t>
            </w:r>
            <w:r>
              <w:rPr>
                <w:rFonts w:hint="eastAsia" w:ascii="宋体" w:hAnsi="宋体" w:eastAsia="宋体" w:cs="宋体"/>
                <w:color w:val="auto"/>
                <w:sz w:val="21"/>
                <w:szCs w:val="21"/>
                <w:highlight w:val="none"/>
              </w:rPr>
              <w:t>第一千一百四十七条</w:t>
            </w:r>
            <w:r>
              <w:rPr>
                <w:rFonts w:hint="eastAsia" w:ascii="宋体" w:hAnsi="宋体" w:eastAsia="宋体" w:cs="宋体"/>
                <w:color w:val="auto"/>
                <w:sz w:val="21"/>
                <w:szCs w:val="21"/>
                <w:highlight w:val="none"/>
                <w:lang w:val="en-US" w:eastAsia="zh-CN"/>
              </w:rPr>
              <w:t xml:space="preserve">第一款第一项、第二款 </w:t>
            </w:r>
            <w:r>
              <w:rPr>
                <w:rFonts w:hint="eastAsia" w:ascii="宋体" w:hAnsi="宋体" w:eastAsia="宋体" w:cs="宋体"/>
                <w:color w:val="auto"/>
                <w:sz w:val="21"/>
                <w:szCs w:val="21"/>
                <w:highlight w:val="none"/>
              </w:rPr>
              <w:t xml:space="preserve"> 违反本法规定，有下列情形之一的，由负有生态环境保护监督管理职责的部门、机构按照职责分工责令改正，处以罚款，可以责令采取限制生产、停产整治等措施</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w:t>
            </w:r>
          </w:p>
          <w:p w14:paraId="1683AF3B">
            <w:pPr>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一</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向海域排放油类、酸液、碱液；</w:t>
            </w:r>
          </w:p>
          <w:p w14:paraId="7E4940D7">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有前款除第三项以外情形之一的，处十万元以上一百万元以下的罚款 ；有前款第三项情形的，处二十万元以上二百万元以下的罚款。</w:t>
            </w:r>
          </w:p>
        </w:tc>
      </w:tr>
      <w:tr w14:paraId="512A3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3" w:type="dxa"/>
            <w:noWrap w:val="0"/>
            <w:vAlign w:val="center"/>
          </w:tcPr>
          <w:p w14:paraId="26BC17E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540" w:type="dxa"/>
            <w:noWrap w:val="0"/>
            <w:vAlign w:val="center"/>
          </w:tcPr>
          <w:p w14:paraId="7A8FAD6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269" w:type="dxa"/>
            <w:noWrap w:val="0"/>
            <w:vAlign w:val="center"/>
          </w:tcPr>
          <w:p w14:paraId="347869C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369E0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3" w:type="dxa"/>
            <w:vMerge w:val="restart"/>
            <w:noWrap w:val="0"/>
            <w:vAlign w:val="center"/>
          </w:tcPr>
          <w:p w14:paraId="04E1E3DC">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排放去向</w:t>
            </w:r>
          </w:p>
          <w:p w14:paraId="18433FD9">
            <w:pPr>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或区域</w:t>
            </w:r>
          </w:p>
        </w:tc>
        <w:tc>
          <w:tcPr>
            <w:tcW w:w="5540" w:type="dxa"/>
            <w:noWrap w:val="0"/>
            <w:vAlign w:val="top"/>
          </w:tcPr>
          <w:p w14:paraId="3E0804FC">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第四类海水水质的区域</w:t>
            </w:r>
          </w:p>
        </w:tc>
        <w:tc>
          <w:tcPr>
            <w:tcW w:w="1269" w:type="dxa"/>
            <w:noWrap w:val="0"/>
            <w:vAlign w:val="center"/>
          </w:tcPr>
          <w:p w14:paraId="1FDDE29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73F4C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3" w:type="dxa"/>
            <w:vMerge w:val="continue"/>
            <w:noWrap w:val="0"/>
            <w:vAlign w:val="center"/>
          </w:tcPr>
          <w:p w14:paraId="006179C7">
            <w:pPr>
              <w:rPr>
                <w:rFonts w:hint="eastAsia" w:ascii="宋体" w:hAnsi="宋体" w:eastAsia="宋体" w:cs="宋体"/>
                <w:color w:val="auto"/>
                <w:sz w:val="21"/>
                <w:szCs w:val="21"/>
                <w:highlight w:val="none"/>
              </w:rPr>
            </w:pPr>
          </w:p>
        </w:tc>
        <w:tc>
          <w:tcPr>
            <w:tcW w:w="5540" w:type="dxa"/>
            <w:noWrap w:val="0"/>
            <w:vAlign w:val="top"/>
          </w:tcPr>
          <w:p w14:paraId="0DB73BC3">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第三类海水水质的区域</w:t>
            </w:r>
          </w:p>
        </w:tc>
        <w:tc>
          <w:tcPr>
            <w:tcW w:w="1269" w:type="dxa"/>
            <w:noWrap w:val="0"/>
            <w:vAlign w:val="center"/>
          </w:tcPr>
          <w:p w14:paraId="62B3C9F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r>
      <w:tr w14:paraId="4E60C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3" w:type="dxa"/>
            <w:vMerge w:val="continue"/>
            <w:noWrap w:val="0"/>
            <w:vAlign w:val="center"/>
          </w:tcPr>
          <w:p w14:paraId="694505FF">
            <w:pPr>
              <w:rPr>
                <w:rFonts w:hint="eastAsia" w:ascii="宋体" w:hAnsi="宋体" w:eastAsia="宋体" w:cs="宋体"/>
                <w:color w:val="auto"/>
                <w:sz w:val="21"/>
                <w:szCs w:val="21"/>
                <w:highlight w:val="none"/>
              </w:rPr>
            </w:pPr>
          </w:p>
        </w:tc>
        <w:tc>
          <w:tcPr>
            <w:tcW w:w="5540" w:type="dxa"/>
            <w:noWrap w:val="0"/>
            <w:vAlign w:val="top"/>
          </w:tcPr>
          <w:p w14:paraId="521A1D73">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第二类海水水质的区域</w:t>
            </w:r>
          </w:p>
        </w:tc>
        <w:tc>
          <w:tcPr>
            <w:tcW w:w="1269" w:type="dxa"/>
            <w:noWrap w:val="0"/>
            <w:vAlign w:val="center"/>
          </w:tcPr>
          <w:p w14:paraId="07D203E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p>
        </w:tc>
      </w:tr>
      <w:tr w14:paraId="2DBAF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 w:hRule="atLeast"/>
          <w:jc w:val="center"/>
        </w:trPr>
        <w:tc>
          <w:tcPr>
            <w:tcW w:w="1713" w:type="dxa"/>
            <w:vMerge w:val="continue"/>
            <w:noWrap w:val="0"/>
            <w:vAlign w:val="center"/>
          </w:tcPr>
          <w:p w14:paraId="02869760">
            <w:pPr>
              <w:rPr>
                <w:rFonts w:hint="eastAsia" w:ascii="宋体" w:hAnsi="宋体" w:eastAsia="宋体" w:cs="宋体"/>
                <w:color w:val="auto"/>
                <w:sz w:val="21"/>
                <w:szCs w:val="21"/>
                <w:highlight w:val="none"/>
              </w:rPr>
            </w:pPr>
          </w:p>
        </w:tc>
        <w:tc>
          <w:tcPr>
            <w:tcW w:w="5540" w:type="dxa"/>
            <w:noWrap w:val="0"/>
            <w:vAlign w:val="top"/>
          </w:tcPr>
          <w:p w14:paraId="34325D52">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第一类海水水质的区域</w:t>
            </w:r>
          </w:p>
        </w:tc>
        <w:tc>
          <w:tcPr>
            <w:tcW w:w="1269" w:type="dxa"/>
            <w:noWrap w:val="0"/>
            <w:vAlign w:val="center"/>
          </w:tcPr>
          <w:p w14:paraId="53A7AC1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770EC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3" w:type="dxa"/>
            <w:vMerge w:val="restart"/>
            <w:noWrap w:val="0"/>
            <w:vAlign w:val="center"/>
          </w:tcPr>
          <w:p w14:paraId="4D222B7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污染物排放量</w:t>
            </w:r>
          </w:p>
        </w:tc>
        <w:tc>
          <w:tcPr>
            <w:tcW w:w="5540" w:type="dxa"/>
            <w:noWrap w:val="0"/>
            <w:vAlign w:val="center"/>
          </w:tcPr>
          <w:p w14:paraId="6D05FCB5">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不足0.5 吨</w:t>
            </w:r>
          </w:p>
        </w:tc>
        <w:tc>
          <w:tcPr>
            <w:tcW w:w="1269" w:type="dxa"/>
            <w:noWrap w:val="0"/>
            <w:vAlign w:val="center"/>
          </w:tcPr>
          <w:p w14:paraId="6FD3D0F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7A448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3" w:type="dxa"/>
            <w:vMerge w:val="continue"/>
            <w:noWrap w:val="0"/>
            <w:vAlign w:val="center"/>
          </w:tcPr>
          <w:p w14:paraId="25429439">
            <w:pPr>
              <w:rPr>
                <w:rFonts w:hint="eastAsia" w:ascii="宋体" w:hAnsi="宋体" w:eastAsia="宋体" w:cs="宋体"/>
                <w:color w:val="auto"/>
                <w:sz w:val="21"/>
                <w:szCs w:val="21"/>
                <w:highlight w:val="none"/>
              </w:rPr>
            </w:pPr>
          </w:p>
        </w:tc>
        <w:tc>
          <w:tcPr>
            <w:tcW w:w="5540" w:type="dxa"/>
            <w:noWrap w:val="0"/>
            <w:vAlign w:val="center"/>
          </w:tcPr>
          <w:p w14:paraId="720C7342">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0.5 吨以上不足 1吨</w:t>
            </w:r>
          </w:p>
        </w:tc>
        <w:tc>
          <w:tcPr>
            <w:tcW w:w="1269" w:type="dxa"/>
            <w:noWrap w:val="0"/>
            <w:vAlign w:val="center"/>
          </w:tcPr>
          <w:p w14:paraId="31F65A8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r>
      <w:tr w14:paraId="47E05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3" w:type="dxa"/>
            <w:vMerge w:val="continue"/>
            <w:noWrap w:val="0"/>
            <w:vAlign w:val="center"/>
          </w:tcPr>
          <w:p w14:paraId="5B378582">
            <w:pPr>
              <w:rPr>
                <w:rFonts w:hint="eastAsia" w:ascii="宋体" w:hAnsi="宋体" w:eastAsia="宋体" w:cs="宋体"/>
                <w:color w:val="auto"/>
                <w:sz w:val="21"/>
                <w:szCs w:val="21"/>
                <w:highlight w:val="none"/>
              </w:rPr>
            </w:pPr>
          </w:p>
        </w:tc>
        <w:tc>
          <w:tcPr>
            <w:tcW w:w="5540" w:type="dxa"/>
            <w:noWrap w:val="0"/>
            <w:vAlign w:val="center"/>
          </w:tcPr>
          <w:p w14:paraId="61AE6BFE">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1吨以上不足2 吨</w:t>
            </w:r>
          </w:p>
        </w:tc>
        <w:tc>
          <w:tcPr>
            <w:tcW w:w="1269" w:type="dxa"/>
            <w:noWrap w:val="0"/>
            <w:vAlign w:val="center"/>
          </w:tcPr>
          <w:p w14:paraId="39F5FAF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2E6C4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3" w:type="dxa"/>
            <w:vMerge w:val="continue"/>
            <w:noWrap w:val="0"/>
            <w:vAlign w:val="center"/>
          </w:tcPr>
          <w:p w14:paraId="6DB202E5">
            <w:pPr>
              <w:rPr>
                <w:rFonts w:hint="eastAsia" w:ascii="宋体" w:hAnsi="宋体" w:eastAsia="宋体" w:cs="宋体"/>
                <w:color w:val="auto"/>
                <w:sz w:val="21"/>
                <w:szCs w:val="21"/>
                <w:highlight w:val="none"/>
              </w:rPr>
            </w:pPr>
          </w:p>
        </w:tc>
        <w:tc>
          <w:tcPr>
            <w:tcW w:w="5540" w:type="dxa"/>
            <w:noWrap w:val="0"/>
            <w:vAlign w:val="center"/>
          </w:tcPr>
          <w:p w14:paraId="186CA95D">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吨以上不足</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 xml:space="preserve"> 吨</w:t>
            </w:r>
          </w:p>
        </w:tc>
        <w:tc>
          <w:tcPr>
            <w:tcW w:w="1269" w:type="dxa"/>
            <w:noWrap w:val="0"/>
            <w:vAlign w:val="center"/>
          </w:tcPr>
          <w:p w14:paraId="4C63BD0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r>
      <w:tr w14:paraId="026C8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3" w:type="dxa"/>
            <w:vMerge w:val="continue"/>
            <w:noWrap w:val="0"/>
            <w:vAlign w:val="center"/>
          </w:tcPr>
          <w:p w14:paraId="4CF8F608">
            <w:pPr>
              <w:rPr>
                <w:rFonts w:hint="eastAsia" w:ascii="宋体" w:hAnsi="宋体" w:eastAsia="宋体" w:cs="宋体"/>
                <w:color w:val="auto"/>
                <w:sz w:val="21"/>
                <w:szCs w:val="21"/>
                <w:highlight w:val="none"/>
              </w:rPr>
            </w:pPr>
          </w:p>
        </w:tc>
        <w:tc>
          <w:tcPr>
            <w:tcW w:w="5540" w:type="dxa"/>
            <w:noWrap w:val="0"/>
            <w:vAlign w:val="center"/>
          </w:tcPr>
          <w:p w14:paraId="45D95A0A">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 xml:space="preserve"> 吨以上</w:t>
            </w:r>
          </w:p>
        </w:tc>
        <w:tc>
          <w:tcPr>
            <w:tcW w:w="1269" w:type="dxa"/>
            <w:noWrap w:val="0"/>
            <w:vAlign w:val="center"/>
          </w:tcPr>
          <w:p w14:paraId="7BC070C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bl>
    <w:p w14:paraId="407B1D7B">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3"/>
        <w:gridCol w:w="5809"/>
        <w:gridCol w:w="1336"/>
      </w:tblGrid>
      <w:tr w14:paraId="3F19C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3"/>
            <w:noWrap w:val="0"/>
            <w:vAlign w:val="center"/>
          </w:tcPr>
          <w:p w14:paraId="750E1B6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六</w:t>
            </w:r>
            <w:r>
              <w:rPr>
                <w:rFonts w:hint="eastAsia" w:ascii="宋体" w:hAnsi="宋体" w:eastAsia="宋体" w:cs="宋体"/>
                <w:color w:val="auto"/>
                <w:sz w:val="21"/>
                <w:szCs w:val="21"/>
                <w:highlight w:val="none"/>
              </w:rPr>
              <w:t>）海洋污染防治类</w:t>
            </w:r>
          </w:p>
        </w:tc>
      </w:tr>
      <w:tr w14:paraId="026A3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8" w:type="dxa"/>
            <w:noWrap w:val="0"/>
            <w:vAlign w:val="center"/>
          </w:tcPr>
          <w:p w14:paraId="6B41289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804" w:type="dxa"/>
            <w:gridSpan w:val="2"/>
            <w:noWrap w:val="0"/>
            <w:vAlign w:val="center"/>
          </w:tcPr>
          <w:p w14:paraId="6B716AD4">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r>
      <w:tr w14:paraId="09E83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8" w:type="dxa"/>
            <w:noWrap w:val="0"/>
            <w:vAlign w:val="center"/>
          </w:tcPr>
          <w:p w14:paraId="48D8FD1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6804" w:type="dxa"/>
            <w:gridSpan w:val="2"/>
            <w:noWrap w:val="0"/>
            <w:vAlign w:val="center"/>
          </w:tcPr>
          <w:p w14:paraId="359549BD">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向海域排放剧毒废液</w:t>
            </w:r>
            <w:r>
              <w:rPr>
                <w:rFonts w:hint="eastAsia" w:ascii="宋体" w:hAnsi="宋体" w:eastAsia="宋体" w:cs="宋体"/>
                <w:color w:val="auto"/>
                <w:sz w:val="21"/>
                <w:szCs w:val="21"/>
                <w:highlight w:val="none"/>
                <w:lang w:eastAsia="zh-CN"/>
              </w:rPr>
              <w:t>的</w:t>
            </w:r>
          </w:p>
        </w:tc>
      </w:tr>
      <w:tr w14:paraId="658B5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8" w:type="dxa"/>
            <w:noWrap w:val="0"/>
            <w:vAlign w:val="center"/>
          </w:tcPr>
          <w:p w14:paraId="0E28AFA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6804" w:type="dxa"/>
            <w:gridSpan w:val="2"/>
            <w:noWrap w:val="0"/>
            <w:vAlign w:val="center"/>
          </w:tcPr>
          <w:p w14:paraId="6AC7682B">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《中华人民共和国生态环境法典》</w:t>
            </w:r>
            <w:r>
              <w:rPr>
                <w:rFonts w:hint="eastAsia" w:ascii="宋体" w:hAnsi="宋体" w:eastAsia="宋体" w:cs="宋体"/>
                <w:color w:val="auto"/>
                <w:sz w:val="21"/>
                <w:szCs w:val="21"/>
                <w:highlight w:val="none"/>
              </w:rPr>
              <w:t>第三百五十二条</w:t>
            </w:r>
            <w:r>
              <w:rPr>
                <w:rFonts w:hint="eastAsia" w:ascii="宋体" w:hAnsi="宋体" w:eastAsia="宋体" w:cs="宋体"/>
                <w:color w:val="auto"/>
                <w:sz w:val="21"/>
                <w:szCs w:val="21"/>
                <w:highlight w:val="none"/>
                <w:lang w:val="en-US" w:eastAsia="zh-CN"/>
              </w:rPr>
              <w:t xml:space="preserve">第一款 </w:t>
            </w:r>
            <w:r>
              <w:rPr>
                <w:rFonts w:hint="eastAsia" w:ascii="宋体" w:hAnsi="宋体" w:eastAsia="宋体" w:cs="宋体"/>
                <w:color w:val="auto"/>
                <w:sz w:val="21"/>
                <w:szCs w:val="21"/>
                <w:highlight w:val="none"/>
              </w:rPr>
              <w:t xml:space="preserve"> 禁止向海域排放油类、酸液、碱液、剧毒废液。</w:t>
            </w:r>
          </w:p>
        </w:tc>
      </w:tr>
      <w:tr w14:paraId="0D607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8" w:type="dxa"/>
            <w:noWrap w:val="0"/>
            <w:vAlign w:val="center"/>
          </w:tcPr>
          <w:p w14:paraId="47D729A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6804" w:type="dxa"/>
            <w:gridSpan w:val="2"/>
            <w:noWrap w:val="0"/>
            <w:vAlign w:val="center"/>
          </w:tcPr>
          <w:p w14:paraId="5D051513">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《中华人民共和国生态环境法典》</w:t>
            </w:r>
            <w:r>
              <w:rPr>
                <w:rFonts w:hint="eastAsia" w:ascii="宋体" w:hAnsi="宋体" w:eastAsia="宋体" w:cs="宋体"/>
                <w:color w:val="auto"/>
                <w:sz w:val="21"/>
                <w:szCs w:val="21"/>
                <w:highlight w:val="none"/>
              </w:rPr>
              <w:t>第一千一百四十七条</w:t>
            </w:r>
            <w:r>
              <w:rPr>
                <w:rFonts w:hint="eastAsia" w:ascii="宋体" w:hAnsi="宋体" w:eastAsia="宋体" w:cs="宋体"/>
                <w:color w:val="auto"/>
                <w:sz w:val="21"/>
                <w:szCs w:val="21"/>
                <w:highlight w:val="none"/>
                <w:lang w:val="en-US" w:eastAsia="zh-CN"/>
              </w:rPr>
              <w:t xml:space="preserve">第一款第三项、第二款 </w:t>
            </w:r>
            <w:r>
              <w:rPr>
                <w:rFonts w:hint="eastAsia" w:ascii="宋体" w:hAnsi="宋体" w:eastAsia="宋体" w:cs="宋体"/>
                <w:color w:val="auto"/>
                <w:sz w:val="21"/>
                <w:szCs w:val="21"/>
                <w:highlight w:val="none"/>
              </w:rPr>
              <w:t xml:space="preserve"> 违反本法规定，有下列情形之一的，由负有生态环境保护监督管理职责的部门、机构按照职责分工责令改正，处以罚款，可以责令采取限制生产、停产整治等措施</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w:t>
            </w:r>
          </w:p>
          <w:p w14:paraId="393F81B2">
            <w:pPr>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三</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向海域排放剧毒废液；</w:t>
            </w:r>
          </w:p>
          <w:p w14:paraId="2C116A29">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有前款除第三项以外情形之一的，处十万元以上一百万元以下的罚款 ；有前款第三项情形的，处二十万元以上二百万元以下的罚款。</w:t>
            </w:r>
          </w:p>
        </w:tc>
      </w:tr>
      <w:tr w14:paraId="0EA10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8" w:type="dxa"/>
            <w:noWrap w:val="0"/>
            <w:vAlign w:val="center"/>
          </w:tcPr>
          <w:p w14:paraId="17F2F5E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532" w:type="dxa"/>
            <w:noWrap w:val="0"/>
            <w:vAlign w:val="center"/>
          </w:tcPr>
          <w:p w14:paraId="35458E0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272" w:type="dxa"/>
            <w:noWrap w:val="0"/>
            <w:vAlign w:val="center"/>
          </w:tcPr>
          <w:p w14:paraId="3659D86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4018E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8" w:type="dxa"/>
            <w:vMerge w:val="restart"/>
            <w:noWrap w:val="0"/>
            <w:vAlign w:val="center"/>
          </w:tcPr>
          <w:p w14:paraId="64719000">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排放去向</w:t>
            </w:r>
          </w:p>
          <w:p w14:paraId="35A66939">
            <w:pPr>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或区域</w:t>
            </w:r>
          </w:p>
        </w:tc>
        <w:tc>
          <w:tcPr>
            <w:tcW w:w="5532" w:type="dxa"/>
            <w:noWrap w:val="0"/>
            <w:vAlign w:val="top"/>
          </w:tcPr>
          <w:p w14:paraId="52822B4F">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第四类海水水质的区域</w:t>
            </w:r>
          </w:p>
        </w:tc>
        <w:tc>
          <w:tcPr>
            <w:tcW w:w="1272" w:type="dxa"/>
            <w:noWrap w:val="0"/>
            <w:vAlign w:val="center"/>
          </w:tcPr>
          <w:p w14:paraId="406EAC8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1FEA2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8" w:type="dxa"/>
            <w:vMerge w:val="continue"/>
            <w:noWrap w:val="0"/>
            <w:vAlign w:val="center"/>
          </w:tcPr>
          <w:p w14:paraId="705DB07C">
            <w:pPr>
              <w:rPr>
                <w:rFonts w:hint="eastAsia" w:ascii="宋体" w:hAnsi="宋体" w:eastAsia="宋体" w:cs="宋体"/>
                <w:color w:val="auto"/>
                <w:sz w:val="21"/>
                <w:szCs w:val="21"/>
                <w:highlight w:val="none"/>
              </w:rPr>
            </w:pPr>
          </w:p>
        </w:tc>
        <w:tc>
          <w:tcPr>
            <w:tcW w:w="5532" w:type="dxa"/>
            <w:noWrap w:val="0"/>
            <w:vAlign w:val="top"/>
          </w:tcPr>
          <w:p w14:paraId="372C6BB7">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第三类海水水质的区域</w:t>
            </w:r>
          </w:p>
        </w:tc>
        <w:tc>
          <w:tcPr>
            <w:tcW w:w="1272" w:type="dxa"/>
            <w:noWrap w:val="0"/>
            <w:vAlign w:val="center"/>
          </w:tcPr>
          <w:p w14:paraId="1A7FF31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r>
      <w:tr w14:paraId="47B4B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8" w:type="dxa"/>
            <w:vMerge w:val="continue"/>
            <w:noWrap w:val="0"/>
            <w:vAlign w:val="center"/>
          </w:tcPr>
          <w:p w14:paraId="2989EB9B">
            <w:pPr>
              <w:rPr>
                <w:rFonts w:hint="eastAsia" w:ascii="宋体" w:hAnsi="宋体" w:eastAsia="宋体" w:cs="宋体"/>
                <w:color w:val="auto"/>
                <w:sz w:val="21"/>
                <w:szCs w:val="21"/>
                <w:highlight w:val="none"/>
              </w:rPr>
            </w:pPr>
          </w:p>
        </w:tc>
        <w:tc>
          <w:tcPr>
            <w:tcW w:w="5532" w:type="dxa"/>
            <w:noWrap w:val="0"/>
            <w:vAlign w:val="top"/>
          </w:tcPr>
          <w:p w14:paraId="5E0B25EA">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第二类海水水质的区域</w:t>
            </w:r>
          </w:p>
        </w:tc>
        <w:tc>
          <w:tcPr>
            <w:tcW w:w="1272" w:type="dxa"/>
            <w:noWrap w:val="0"/>
            <w:vAlign w:val="center"/>
          </w:tcPr>
          <w:p w14:paraId="22D5155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p>
        </w:tc>
      </w:tr>
      <w:tr w14:paraId="4EA79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718" w:type="dxa"/>
            <w:vMerge w:val="continue"/>
            <w:noWrap w:val="0"/>
            <w:vAlign w:val="center"/>
          </w:tcPr>
          <w:p w14:paraId="1B2764D0">
            <w:pPr>
              <w:rPr>
                <w:rFonts w:hint="eastAsia" w:ascii="宋体" w:hAnsi="宋体" w:eastAsia="宋体" w:cs="宋体"/>
                <w:color w:val="auto"/>
                <w:sz w:val="21"/>
                <w:szCs w:val="21"/>
                <w:highlight w:val="none"/>
              </w:rPr>
            </w:pPr>
          </w:p>
        </w:tc>
        <w:tc>
          <w:tcPr>
            <w:tcW w:w="5532" w:type="dxa"/>
            <w:noWrap w:val="0"/>
            <w:vAlign w:val="top"/>
          </w:tcPr>
          <w:p w14:paraId="5C3E2B57">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第一类海水水质的区域</w:t>
            </w:r>
          </w:p>
        </w:tc>
        <w:tc>
          <w:tcPr>
            <w:tcW w:w="1272" w:type="dxa"/>
            <w:noWrap w:val="0"/>
            <w:vAlign w:val="center"/>
          </w:tcPr>
          <w:p w14:paraId="3D715BE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7C261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8" w:type="dxa"/>
            <w:vMerge w:val="restart"/>
            <w:noWrap w:val="0"/>
            <w:vAlign w:val="center"/>
          </w:tcPr>
          <w:p w14:paraId="001D0C0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污染物排放量</w:t>
            </w:r>
          </w:p>
        </w:tc>
        <w:tc>
          <w:tcPr>
            <w:tcW w:w="5532" w:type="dxa"/>
            <w:noWrap w:val="0"/>
            <w:vAlign w:val="center"/>
          </w:tcPr>
          <w:p w14:paraId="2D6231EF">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不足0.5 吨</w:t>
            </w:r>
          </w:p>
        </w:tc>
        <w:tc>
          <w:tcPr>
            <w:tcW w:w="1272" w:type="dxa"/>
            <w:noWrap w:val="0"/>
            <w:vAlign w:val="center"/>
          </w:tcPr>
          <w:p w14:paraId="694E370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175E9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8" w:type="dxa"/>
            <w:vMerge w:val="continue"/>
            <w:noWrap w:val="0"/>
            <w:vAlign w:val="center"/>
          </w:tcPr>
          <w:p w14:paraId="068B5687">
            <w:pPr>
              <w:rPr>
                <w:rFonts w:hint="eastAsia" w:ascii="宋体" w:hAnsi="宋体" w:eastAsia="宋体" w:cs="宋体"/>
                <w:color w:val="auto"/>
                <w:sz w:val="21"/>
                <w:szCs w:val="21"/>
                <w:highlight w:val="none"/>
              </w:rPr>
            </w:pPr>
          </w:p>
        </w:tc>
        <w:tc>
          <w:tcPr>
            <w:tcW w:w="5532" w:type="dxa"/>
            <w:noWrap w:val="0"/>
            <w:vAlign w:val="center"/>
          </w:tcPr>
          <w:p w14:paraId="2528CCFB">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0.5 吨以上不足 1吨</w:t>
            </w:r>
          </w:p>
        </w:tc>
        <w:tc>
          <w:tcPr>
            <w:tcW w:w="1272" w:type="dxa"/>
            <w:noWrap w:val="0"/>
            <w:vAlign w:val="center"/>
          </w:tcPr>
          <w:p w14:paraId="5B7B188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r>
      <w:tr w14:paraId="53DBE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8" w:type="dxa"/>
            <w:vMerge w:val="continue"/>
            <w:noWrap w:val="0"/>
            <w:vAlign w:val="center"/>
          </w:tcPr>
          <w:p w14:paraId="67C30E3B">
            <w:pPr>
              <w:rPr>
                <w:rFonts w:hint="eastAsia" w:ascii="宋体" w:hAnsi="宋体" w:eastAsia="宋体" w:cs="宋体"/>
                <w:color w:val="auto"/>
                <w:sz w:val="21"/>
                <w:szCs w:val="21"/>
                <w:highlight w:val="none"/>
              </w:rPr>
            </w:pPr>
          </w:p>
        </w:tc>
        <w:tc>
          <w:tcPr>
            <w:tcW w:w="5532" w:type="dxa"/>
            <w:noWrap w:val="0"/>
            <w:vAlign w:val="center"/>
          </w:tcPr>
          <w:p w14:paraId="2E708DCE">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1吨以上不足2 吨</w:t>
            </w:r>
          </w:p>
        </w:tc>
        <w:tc>
          <w:tcPr>
            <w:tcW w:w="1272" w:type="dxa"/>
            <w:noWrap w:val="0"/>
            <w:vAlign w:val="center"/>
          </w:tcPr>
          <w:p w14:paraId="6FCEF02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35876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8" w:type="dxa"/>
            <w:vMerge w:val="continue"/>
            <w:noWrap w:val="0"/>
            <w:vAlign w:val="center"/>
          </w:tcPr>
          <w:p w14:paraId="1CEA0996">
            <w:pPr>
              <w:rPr>
                <w:rFonts w:hint="eastAsia" w:ascii="宋体" w:hAnsi="宋体" w:eastAsia="宋体" w:cs="宋体"/>
                <w:color w:val="auto"/>
                <w:sz w:val="21"/>
                <w:szCs w:val="21"/>
                <w:highlight w:val="none"/>
              </w:rPr>
            </w:pPr>
          </w:p>
        </w:tc>
        <w:tc>
          <w:tcPr>
            <w:tcW w:w="5532" w:type="dxa"/>
            <w:noWrap w:val="0"/>
            <w:vAlign w:val="center"/>
          </w:tcPr>
          <w:p w14:paraId="234F7CC0">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吨以上不足</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 xml:space="preserve"> 吨</w:t>
            </w:r>
          </w:p>
        </w:tc>
        <w:tc>
          <w:tcPr>
            <w:tcW w:w="1272" w:type="dxa"/>
            <w:noWrap w:val="0"/>
            <w:vAlign w:val="center"/>
          </w:tcPr>
          <w:p w14:paraId="389C438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r>
      <w:tr w14:paraId="1A966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8" w:type="dxa"/>
            <w:vMerge w:val="continue"/>
            <w:noWrap w:val="0"/>
            <w:vAlign w:val="center"/>
          </w:tcPr>
          <w:p w14:paraId="2DFD4F21">
            <w:pPr>
              <w:rPr>
                <w:rFonts w:hint="eastAsia" w:ascii="宋体" w:hAnsi="宋体" w:eastAsia="宋体" w:cs="宋体"/>
                <w:color w:val="auto"/>
                <w:sz w:val="21"/>
                <w:szCs w:val="21"/>
                <w:highlight w:val="none"/>
              </w:rPr>
            </w:pPr>
          </w:p>
        </w:tc>
        <w:tc>
          <w:tcPr>
            <w:tcW w:w="5532" w:type="dxa"/>
            <w:noWrap w:val="0"/>
            <w:vAlign w:val="center"/>
          </w:tcPr>
          <w:p w14:paraId="742674AE">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 xml:space="preserve"> 吨以上</w:t>
            </w:r>
          </w:p>
        </w:tc>
        <w:tc>
          <w:tcPr>
            <w:tcW w:w="1272" w:type="dxa"/>
            <w:noWrap w:val="0"/>
            <w:vAlign w:val="center"/>
          </w:tcPr>
          <w:p w14:paraId="15EB929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bl>
    <w:p w14:paraId="2CDA9675">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3"/>
        <w:gridCol w:w="5809"/>
        <w:gridCol w:w="1336"/>
      </w:tblGrid>
      <w:tr w14:paraId="49C54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3"/>
            <w:noWrap w:val="0"/>
            <w:vAlign w:val="center"/>
          </w:tcPr>
          <w:p w14:paraId="550B293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六</w:t>
            </w:r>
            <w:r>
              <w:rPr>
                <w:rFonts w:hint="eastAsia" w:ascii="宋体" w:hAnsi="宋体" w:eastAsia="宋体" w:cs="宋体"/>
                <w:color w:val="auto"/>
                <w:sz w:val="21"/>
                <w:szCs w:val="21"/>
                <w:highlight w:val="none"/>
              </w:rPr>
              <w:t>）海洋污染防治类</w:t>
            </w:r>
          </w:p>
        </w:tc>
      </w:tr>
      <w:tr w14:paraId="17E8D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8" w:type="dxa"/>
            <w:noWrap w:val="0"/>
            <w:vAlign w:val="center"/>
          </w:tcPr>
          <w:p w14:paraId="5F2A884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804" w:type="dxa"/>
            <w:gridSpan w:val="2"/>
            <w:noWrap w:val="0"/>
            <w:vAlign w:val="center"/>
          </w:tcPr>
          <w:p w14:paraId="596F9294">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r>
      <w:tr w14:paraId="11D5C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8" w:type="dxa"/>
            <w:noWrap w:val="0"/>
            <w:vAlign w:val="center"/>
          </w:tcPr>
          <w:p w14:paraId="4FA5045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6804" w:type="dxa"/>
            <w:gridSpan w:val="2"/>
            <w:noWrap w:val="0"/>
            <w:vAlign w:val="center"/>
          </w:tcPr>
          <w:p w14:paraId="22959ED4">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向海域排放未达标的含油污水和油性混合物</w:t>
            </w:r>
            <w:r>
              <w:rPr>
                <w:rFonts w:hint="eastAsia" w:ascii="宋体" w:hAnsi="宋体" w:eastAsia="宋体" w:cs="宋体"/>
                <w:color w:val="auto"/>
                <w:sz w:val="21"/>
                <w:szCs w:val="21"/>
                <w:highlight w:val="none"/>
                <w:lang w:eastAsia="zh-CN"/>
              </w:rPr>
              <w:t>的</w:t>
            </w:r>
          </w:p>
        </w:tc>
      </w:tr>
      <w:tr w14:paraId="2C383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8" w:type="dxa"/>
            <w:noWrap w:val="0"/>
            <w:vAlign w:val="center"/>
          </w:tcPr>
          <w:p w14:paraId="546A0C0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6804" w:type="dxa"/>
            <w:gridSpan w:val="2"/>
            <w:noWrap w:val="0"/>
            <w:vAlign w:val="center"/>
          </w:tcPr>
          <w:p w14:paraId="089E8A50">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《中华人民共和国生态环境法典》</w:t>
            </w:r>
            <w:r>
              <w:rPr>
                <w:rFonts w:hint="eastAsia" w:ascii="宋体" w:hAnsi="宋体" w:eastAsia="宋体" w:cs="宋体"/>
                <w:color w:val="auto"/>
                <w:sz w:val="21"/>
                <w:szCs w:val="21"/>
                <w:highlight w:val="none"/>
              </w:rPr>
              <w:t>第三百六十七条</w:t>
            </w:r>
            <w:r>
              <w:rPr>
                <w:rFonts w:hint="eastAsia" w:ascii="宋体" w:hAnsi="宋体" w:eastAsia="宋体" w:cs="宋体"/>
                <w:color w:val="auto"/>
                <w:sz w:val="21"/>
                <w:szCs w:val="21"/>
                <w:highlight w:val="none"/>
                <w:lang w:val="en-US" w:eastAsia="zh-CN"/>
              </w:rPr>
              <w:t xml:space="preserve">第二款 </w:t>
            </w:r>
            <w:r>
              <w:rPr>
                <w:rFonts w:hint="eastAsia" w:ascii="宋体" w:hAnsi="宋体" w:eastAsia="宋体" w:cs="宋体"/>
                <w:color w:val="auto"/>
                <w:sz w:val="21"/>
                <w:szCs w:val="21"/>
                <w:highlight w:val="none"/>
              </w:rPr>
              <w:t xml:space="preserve"> 海洋油气钻井平台（船）、生产生活平台、生产储卸装置等海洋油气装备的含油污水和油性混合物，应当经过处理达标后排放；残油、废油应当予以回收，不得排放入海。</w:t>
            </w:r>
          </w:p>
        </w:tc>
      </w:tr>
      <w:tr w14:paraId="6F792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8" w:type="dxa"/>
            <w:noWrap w:val="0"/>
            <w:vAlign w:val="center"/>
          </w:tcPr>
          <w:p w14:paraId="0DEA417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6804" w:type="dxa"/>
            <w:gridSpan w:val="2"/>
            <w:noWrap w:val="0"/>
            <w:vAlign w:val="center"/>
          </w:tcPr>
          <w:p w14:paraId="33470960">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《中华人民共和国生态环境法典》</w:t>
            </w:r>
            <w:r>
              <w:rPr>
                <w:rFonts w:hint="eastAsia" w:ascii="宋体" w:hAnsi="宋体" w:eastAsia="宋体" w:cs="宋体"/>
                <w:color w:val="auto"/>
                <w:sz w:val="21"/>
                <w:szCs w:val="21"/>
                <w:highlight w:val="none"/>
              </w:rPr>
              <w:t>第一千一百四十七条</w:t>
            </w:r>
            <w:r>
              <w:rPr>
                <w:rFonts w:hint="eastAsia" w:ascii="宋体" w:hAnsi="宋体" w:eastAsia="宋体" w:cs="宋体"/>
                <w:color w:val="auto"/>
                <w:sz w:val="21"/>
                <w:szCs w:val="21"/>
                <w:highlight w:val="none"/>
                <w:lang w:val="en-US" w:eastAsia="zh-CN"/>
              </w:rPr>
              <w:t>第一款第五项、第二款</w:t>
            </w:r>
            <w:r>
              <w:rPr>
                <w:rFonts w:hint="eastAsia" w:ascii="宋体" w:hAnsi="宋体" w:eastAsia="宋体" w:cs="宋体"/>
                <w:color w:val="auto"/>
                <w:sz w:val="21"/>
                <w:szCs w:val="21"/>
                <w:highlight w:val="none"/>
              </w:rPr>
              <w:t xml:space="preserve"> 违反本法规定，有下列情形之一的，由负有生态环境保护监督管理职责的部门、机构按照职责分工责令改正，处以罚款，可以责令采取限制生产、停产整治等措施</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w:t>
            </w:r>
          </w:p>
          <w:p w14:paraId="20871852">
            <w:pPr>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五</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向海域排放未达标的含油污水和油性混合物；</w:t>
            </w:r>
          </w:p>
          <w:p w14:paraId="28301D1E">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有前款除第三项以外情形之一的，处十万元以上一百万元以下的罚款 ；有前款第三项情形的，处二十万元以上二百万元以下的罚款。</w:t>
            </w:r>
          </w:p>
        </w:tc>
      </w:tr>
      <w:tr w14:paraId="77859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8" w:type="dxa"/>
            <w:noWrap w:val="0"/>
            <w:vAlign w:val="center"/>
          </w:tcPr>
          <w:p w14:paraId="683B09F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532" w:type="dxa"/>
            <w:noWrap w:val="0"/>
            <w:vAlign w:val="center"/>
          </w:tcPr>
          <w:p w14:paraId="7A704BE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272" w:type="dxa"/>
            <w:noWrap w:val="0"/>
            <w:vAlign w:val="center"/>
          </w:tcPr>
          <w:p w14:paraId="5749DA8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62D23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8" w:type="dxa"/>
            <w:vMerge w:val="restart"/>
            <w:noWrap w:val="0"/>
            <w:vAlign w:val="center"/>
          </w:tcPr>
          <w:p w14:paraId="2663790C">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超标状况</w:t>
            </w:r>
          </w:p>
        </w:tc>
        <w:tc>
          <w:tcPr>
            <w:tcW w:w="5532" w:type="dxa"/>
            <w:noWrap w:val="0"/>
            <w:vAlign w:val="center"/>
          </w:tcPr>
          <w:p w14:paraId="333711D8">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超标不足1倍</w:t>
            </w:r>
          </w:p>
        </w:tc>
        <w:tc>
          <w:tcPr>
            <w:tcW w:w="1272" w:type="dxa"/>
            <w:noWrap w:val="0"/>
            <w:vAlign w:val="center"/>
          </w:tcPr>
          <w:p w14:paraId="43118884">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r>
      <w:tr w14:paraId="081CF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8" w:type="dxa"/>
            <w:vMerge w:val="continue"/>
            <w:noWrap w:val="0"/>
            <w:vAlign w:val="center"/>
          </w:tcPr>
          <w:p w14:paraId="467E1F9F">
            <w:pPr>
              <w:jc w:val="center"/>
              <w:rPr>
                <w:rFonts w:hint="eastAsia" w:ascii="宋体" w:hAnsi="宋体" w:eastAsia="宋体" w:cs="宋体"/>
                <w:color w:val="auto"/>
                <w:sz w:val="21"/>
                <w:szCs w:val="21"/>
                <w:highlight w:val="none"/>
              </w:rPr>
            </w:pPr>
          </w:p>
        </w:tc>
        <w:tc>
          <w:tcPr>
            <w:tcW w:w="5532" w:type="dxa"/>
            <w:noWrap w:val="0"/>
            <w:vAlign w:val="center"/>
          </w:tcPr>
          <w:p w14:paraId="03FBB065">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超标1倍以上不足3倍</w:t>
            </w:r>
          </w:p>
        </w:tc>
        <w:tc>
          <w:tcPr>
            <w:tcW w:w="1272" w:type="dxa"/>
            <w:noWrap w:val="0"/>
            <w:vAlign w:val="center"/>
          </w:tcPr>
          <w:p w14:paraId="5EE240E1">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r>
      <w:tr w14:paraId="4FBD0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8" w:type="dxa"/>
            <w:vMerge w:val="continue"/>
            <w:noWrap w:val="0"/>
            <w:vAlign w:val="center"/>
          </w:tcPr>
          <w:p w14:paraId="48CC9709">
            <w:pPr>
              <w:jc w:val="center"/>
              <w:rPr>
                <w:rFonts w:hint="eastAsia" w:ascii="宋体" w:hAnsi="宋体" w:eastAsia="宋体" w:cs="宋体"/>
                <w:color w:val="auto"/>
                <w:sz w:val="21"/>
                <w:szCs w:val="21"/>
                <w:highlight w:val="none"/>
              </w:rPr>
            </w:pPr>
          </w:p>
        </w:tc>
        <w:tc>
          <w:tcPr>
            <w:tcW w:w="5532" w:type="dxa"/>
            <w:noWrap w:val="0"/>
            <w:vAlign w:val="center"/>
          </w:tcPr>
          <w:p w14:paraId="3F56121F">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超标</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倍以上不足</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倍</w:t>
            </w:r>
          </w:p>
        </w:tc>
        <w:tc>
          <w:tcPr>
            <w:tcW w:w="1272" w:type="dxa"/>
            <w:noWrap w:val="0"/>
            <w:vAlign w:val="center"/>
          </w:tcPr>
          <w:p w14:paraId="35B76F2C">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r>
      <w:tr w14:paraId="15E66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8" w:type="dxa"/>
            <w:vMerge w:val="continue"/>
            <w:noWrap w:val="0"/>
            <w:vAlign w:val="center"/>
          </w:tcPr>
          <w:p w14:paraId="216BC0B2">
            <w:pPr>
              <w:jc w:val="center"/>
              <w:rPr>
                <w:rFonts w:hint="eastAsia" w:ascii="宋体" w:hAnsi="宋体" w:eastAsia="宋体" w:cs="宋体"/>
                <w:color w:val="auto"/>
                <w:sz w:val="21"/>
                <w:szCs w:val="21"/>
                <w:highlight w:val="none"/>
              </w:rPr>
            </w:pPr>
          </w:p>
        </w:tc>
        <w:tc>
          <w:tcPr>
            <w:tcW w:w="5532" w:type="dxa"/>
            <w:noWrap w:val="0"/>
            <w:vAlign w:val="center"/>
          </w:tcPr>
          <w:p w14:paraId="290A3070">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超标</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倍以</w:t>
            </w:r>
            <w:r>
              <w:rPr>
                <w:rFonts w:hint="eastAsia" w:ascii="宋体" w:hAnsi="宋体" w:eastAsia="宋体" w:cs="宋体"/>
                <w:color w:val="auto"/>
                <w:sz w:val="21"/>
                <w:szCs w:val="21"/>
                <w:highlight w:val="none"/>
                <w:lang w:val="en-US" w:eastAsia="zh-CN"/>
              </w:rPr>
              <w:t>上</w:t>
            </w:r>
          </w:p>
        </w:tc>
        <w:tc>
          <w:tcPr>
            <w:tcW w:w="1272" w:type="dxa"/>
            <w:noWrap w:val="0"/>
            <w:vAlign w:val="center"/>
          </w:tcPr>
          <w:p w14:paraId="6647F76E">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r>
      <w:tr w14:paraId="7F10B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8" w:type="dxa"/>
            <w:vMerge w:val="restart"/>
            <w:noWrap w:val="0"/>
            <w:vAlign w:val="center"/>
          </w:tcPr>
          <w:p w14:paraId="073F3026">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排放去向</w:t>
            </w:r>
          </w:p>
          <w:p w14:paraId="472AE61F">
            <w:pPr>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或区域</w:t>
            </w:r>
          </w:p>
        </w:tc>
        <w:tc>
          <w:tcPr>
            <w:tcW w:w="5532" w:type="dxa"/>
            <w:noWrap w:val="0"/>
            <w:vAlign w:val="top"/>
          </w:tcPr>
          <w:p w14:paraId="5815CC0F">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第四类海水水质的区域</w:t>
            </w:r>
          </w:p>
        </w:tc>
        <w:tc>
          <w:tcPr>
            <w:tcW w:w="1272" w:type="dxa"/>
            <w:noWrap w:val="0"/>
            <w:vAlign w:val="center"/>
          </w:tcPr>
          <w:p w14:paraId="4F6D8B3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56BF6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8" w:type="dxa"/>
            <w:vMerge w:val="continue"/>
            <w:noWrap w:val="0"/>
            <w:vAlign w:val="center"/>
          </w:tcPr>
          <w:p w14:paraId="34661FEF">
            <w:pPr>
              <w:rPr>
                <w:rFonts w:hint="eastAsia" w:ascii="宋体" w:hAnsi="宋体" w:eastAsia="宋体" w:cs="宋体"/>
                <w:color w:val="auto"/>
                <w:sz w:val="21"/>
                <w:szCs w:val="21"/>
                <w:highlight w:val="none"/>
              </w:rPr>
            </w:pPr>
          </w:p>
        </w:tc>
        <w:tc>
          <w:tcPr>
            <w:tcW w:w="5532" w:type="dxa"/>
            <w:noWrap w:val="0"/>
            <w:vAlign w:val="top"/>
          </w:tcPr>
          <w:p w14:paraId="2F9C7193">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第三类海水水质的区域</w:t>
            </w:r>
          </w:p>
        </w:tc>
        <w:tc>
          <w:tcPr>
            <w:tcW w:w="1272" w:type="dxa"/>
            <w:noWrap w:val="0"/>
            <w:vAlign w:val="center"/>
          </w:tcPr>
          <w:p w14:paraId="34FCC42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r>
      <w:tr w14:paraId="61BB3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8" w:type="dxa"/>
            <w:vMerge w:val="continue"/>
            <w:noWrap w:val="0"/>
            <w:vAlign w:val="center"/>
          </w:tcPr>
          <w:p w14:paraId="0F2072B0">
            <w:pPr>
              <w:rPr>
                <w:rFonts w:hint="eastAsia" w:ascii="宋体" w:hAnsi="宋体" w:eastAsia="宋体" w:cs="宋体"/>
                <w:color w:val="auto"/>
                <w:sz w:val="21"/>
                <w:szCs w:val="21"/>
                <w:highlight w:val="none"/>
              </w:rPr>
            </w:pPr>
          </w:p>
        </w:tc>
        <w:tc>
          <w:tcPr>
            <w:tcW w:w="5532" w:type="dxa"/>
            <w:noWrap w:val="0"/>
            <w:vAlign w:val="top"/>
          </w:tcPr>
          <w:p w14:paraId="291E3029">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第二类海水水质的区域</w:t>
            </w:r>
          </w:p>
        </w:tc>
        <w:tc>
          <w:tcPr>
            <w:tcW w:w="1272" w:type="dxa"/>
            <w:noWrap w:val="0"/>
            <w:vAlign w:val="center"/>
          </w:tcPr>
          <w:p w14:paraId="1AA3702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p>
        </w:tc>
      </w:tr>
      <w:tr w14:paraId="2CE63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 w:hRule="atLeast"/>
          <w:jc w:val="center"/>
        </w:trPr>
        <w:tc>
          <w:tcPr>
            <w:tcW w:w="1718" w:type="dxa"/>
            <w:vMerge w:val="continue"/>
            <w:noWrap w:val="0"/>
            <w:vAlign w:val="center"/>
          </w:tcPr>
          <w:p w14:paraId="121D4C1F">
            <w:pPr>
              <w:rPr>
                <w:rFonts w:hint="eastAsia" w:ascii="宋体" w:hAnsi="宋体" w:eastAsia="宋体" w:cs="宋体"/>
                <w:color w:val="auto"/>
                <w:sz w:val="21"/>
                <w:szCs w:val="21"/>
                <w:highlight w:val="none"/>
              </w:rPr>
            </w:pPr>
          </w:p>
        </w:tc>
        <w:tc>
          <w:tcPr>
            <w:tcW w:w="5532" w:type="dxa"/>
            <w:noWrap w:val="0"/>
            <w:vAlign w:val="top"/>
          </w:tcPr>
          <w:p w14:paraId="41F135B1">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第一类海水水质的区域</w:t>
            </w:r>
          </w:p>
        </w:tc>
        <w:tc>
          <w:tcPr>
            <w:tcW w:w="1272" w:type="dxa"/>
            <w:noWrap w:val="0"/>
            <w:vAlign w:val="center"/>
          </w:tcPr>
          <w:p w14:paraId="41A257D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6BF13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8" w:type="dxa"/>
            <w:vMerge w:val="restart"/>
            <w:noWrap w:val="0"/>
            <w:vAlign w:val="center"/>
          </w:tcPr>
          <w:p w14:paraId="11B75FF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污染物排放量</w:t>
            </w:r>
          </w:p>
        </w:tc>
        <w:tc>
          <w:tcPr>
            <w:tcW w:w="5532" w:type="dxa"/>
            <w:noWrap w:val="0"/>
            <w:vAlign w:val="center"/>
          </w:tcPr>
          <w:p w14:paraId="7D1FE9A0">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不足0.5 吨</w:t>
            </w:r>
          </w:p>
        </w:tc>
        <w:tc>
          <w:tcPr>
            <w:tcW w:w="1272" w:type="dxa"/>
            <w:noWrap w:val="0"/>
            <w:vAlign w:val="center"/>
          </w:tcPr>
          <w:p w14:paraId="10C2732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1C304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8" w:type="dxa"/>
            <w:vMerge w:val="continue"/>
            <w:noWrap w:val="0"/>
            <w:vAlign w:val="center"/>
          </w:tcPr>
          <w:p w14:paraId="618C9E13">
            <w:pPr>
              <w:rPr>
                <w:rFonts w:hint="eastAsia" w:ascii="宋体" w:hAnsi="宋体" w:eastAsia="宋体" w:cs="宋体"/>
                <w:color w:val="auto"/>
                <w:sz w:val="21"/>
                <w:szCs w:val="21"/>
                <w:highlight w:val="none"/>
              </w:rPr>
            </w:pPr>
          </w:p>
        </w:tc>
        <w:tc>
          <w:tcPr>
            <w:tcW w:w="5532" w:type="dxa"/>
            <w:noWrap w:val="0"/>
            <w:vAlign w:val="center"/>
          </w:tcPr>
          <w:p w14:paraId="35F6E794">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0.5 吨以上不足 1吨</w:t>
            </w:r>
          </w:p>
        </w:tc>
        <w:tc>
          <w:tcPr>
            <w:tcW w:w="1272" w:type="dxa"/>
            <w:noWrap w:val="0"/>
            <w:vAlign w:val="center"/>
          </w:tcPr>
          <w:p w14:paraId="115907E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r>
      <w:tr w14:paraId="40520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8" w:type="dxa"/>
            <w:vMerge w:val="continue"/>
            <w:noWrap w:val="0"/>
            <w:vAlign w:val="center"/>
          </w:tcPr>
          <w:p w14:paraId="6E1DF1A7">
            <w:pPr>
              <w:rPr>
                <w:rFonts w:hint="eastAsia" w:ascii="宋体" w:hAnsi="宋体" w:eastAsia="宋体" w:cs="宋体"/>
                <w:color w:val="auto"/>
                <w:sz w:val="21"/>
                <w:szCs w:val="21"/>
                <w:highlight w:val="none"/>
              </w:rPr>
            </w:pPr>
          </w:p>
        </w:tc>
        <w:tc>
          <w:tcPr>
            <w:tcW w:w="5532" w:type="dxa"/>
            <w:noWrap w:val="0"/>
            <w:vAlign w:val="center"/>
          </w:tcPr>
          <w:p w14:paraId="7A72926C">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1吨以上不足2 吨</w:t>
            </w:r>
          </w:p>
        </w:tc>
        <w:tc>
          <w:tcPr>
            <w:tcW w:w="1272" w:type="dxa"/>
            <w:noWrap w:val="0"/>
            <w:vAlign w:val="center"/>
          </w:tcPr>
          <w:p w14:paraId="5D74290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5A861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8" w:type="dxa"/>
            <w:vMerge w:val="continue"/>
            <w:noWrap w:val="0"/>
            <w:vAlign w:val="center"/>
          </w:tcPr>
          <w:p w14:paraId="7B4EBD92">
            <w:pPr>
              <w:rPr>
                <w:rFonts w:hint="eastAsia" w:ascii="宋体" w:hAnsi="宋体" w:eastAsia="宋体" w:cs="宋体"/>
                <w:color w:val="auto"/>
                <w:sz w:val="21"/>
                <w:szCs w:val="21"/>
                <w:highlight w:val="none"/>
              </w:rPr>
            </w:pPr>
          </w:p>
        </w:tc>
        <w:tc>
          <w:tcPr>
            <w:tcW w:w="5532" w:type="dxa"/>
            <w:noWrap w:val="0"/>
            <w:vAlign w:val="center"/>
          </w:tcPr>
          <w:p w14:paraId="4225A36E">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吨以上不足</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 xml:space="preserve"> 吨</w:t>
            </w:r>
          </w:p>
        </w:tc>
        <w:tc>
          <w:tcPr>
            <w:tcW w:w="1272" w:type="dxa"/>
            <w:noWrap w:val="0"/>
            <w:vAlign w:val="center"/>
          </w:tcPr>
          <w:p w14:paraId="1662F46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r>
      <w:tr w14:paraId="17090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8" w:type="dxa"/>
            <w:vMerge w:val="continue"/>
            <w:noWrap w:val="0"/>
            <w:vAlign w:val="center"/>
          </w:tcPr>
          <w:p w14:paraId="00723114">
            <w:pPr>
              <w:rPr>
                <w:rFonts w:hint="eastAsia" w:ascii="宋体" w:hAnsi="宋体" w:eastAsia="宋体" w:cs="宋体"/>
                <w:color w:val="auto"/>
                <w:sz w:val="21"/>
                <w:szCs w:val="21"/>
                <w:highlight w:val="none"/>
              </w:rPr>
            </w:pPr>
          </w:p>
        </w:tc>
        <w:tc>
          <w:tcPr>
            <w:tcW w:w="5532" w:type="dxa"/>
            <w:noWrap w:val="0"/>
            <w:vAlign w:val="center"/>
          </w:tcPr>
          <w:p w14:paraId="5EC5529E">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 xml:space="preserve"> 吨以上</w:t>
            </w:r>
          </w:p>
        </w:tc>
        <w:tc>
          <w:tcPr>
            <w:tcW w:w="1272" w:type="dxa"/>
            <w:noWrap w:val="0"/>
            <w:vAlign w:val="center"/>
          </w:tcPr>
          <w:p w14:paraId="4ACFD72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bl>
    <w:p w14:paraId="7B5395A4">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3"/>
        <w:gridCol w:w="5809"/>
        <w:gridCol w:w="1336"/>
      </w:tblGrid>
      <w:tr w14:paraId="50A82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3"/>
            <w:noWrap w:val="0"/>
            <w:vAlign w:val="center"/>
          </w:tcPr>
          <w:p w14:paraId="0BFB075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六</w:t>
            </w:r>
            <w:r>
              <w:rPr>
                <w:rFonts w:hint="eastAsia" w:ascii="宋体" w:hAnsi="宋体" w:eastAsia="宋体" w:cs="宋体"/>
                <w:color w:val="auto"/>
                <w:sz w:val="21"/>
                <w:szCs w:val="21"/>
                <w:highlight w:val="none"/>
              </w:rPr>
              <w:t>）海洋污染防治类</w:t>
            </w:r>
          </w:p>
        </w:tc>
      </w:tr>
      <w:tr w14:paraId="6F324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8" w:type="dxa"/>
            <w:noWrap w:val="0"/>
            <w:vAlign w:val="center"/>
          </w:tcPr>
          <w:p w14:paraId="5B92EBE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804" w:type="dxa"/>
            <w:gridSpan w:val="2"/>
            <w:noWrap w:val="0"/>
            <w:vAlign w:val="center"/>
          </w:tcPr>
          <w:p w14:paraId="2982E6E8">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r>
      <w:tr w14:paraId="5494E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8" w:type="dxa"/>
            <w:noWrap w:val="0"/>
            <w:vAlign w:val="center"/>
          </w:tcPr>
          <w:p w14:paraId="68DBF23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6804" w:type="dxa"/>
            <w:gridSpan w:val="2"/>
            <w:noWrap w:val="0"/>
            <w:vAlign w:val="center"/>
          </w:tcPr>
          <w:p w14:paraId="541F3751">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向海域处置含油的工业固体废物</w:t>
            </w:r>
            <w:r>
              <w:rPr>
                <w:rFonts w:hint="eastAsia" w:ascii="宋体" w:hAnsi="宋体" w:eastAsia="宋体" w:cs="宋体"/>
                <w:color w:val="auto"/>
                <w:sz w:val="21"/>
                <w:szCs w:val="21"/>
                <w:highlight w:val="none"/>
                <w:lang w:eastAsia="zh-CN"/>
              </w:rPr>
              <w:t>的</w:t>
            </w:r>
          </w:p>
        </w:tc>
      </w:tr>
      <w:tr w14:paraId="34693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8" w:type="dxa"/>
            <w:noWrap w:val="0"/>
            <w:vAlign w:val="center"/>
          </w:tcPr>
          <w:p w14:paraId="06EB12E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6804" w:type="dxa"/>
            <w:gridSpan w:val="2"/>
            <w:noWrap w:val="0"/>
            <w:vAlign w:val="center"/>
          </w:tcPr>
          <w:p w14:paraId="4F055AC0">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《中华人民共和国生态环境法典》</w:t>
            </w:r>
            <w:r>
              <w:rPr>
                <w:rFonts w:hint="eastAsia" w:ascii="宋体" w:hAnsi="宋体" w:eastAsia="宋体" w:cs="宋体"/>
                <w:color w:val="auto"/>
                <w:sz w:val="21"/>
                <w:szCs w:val="21"/>
                <w:highlight w:val="none"/>
              </w:rPr>
              <w:t xml:space="preserve">第三百六十八条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海洋油气钻井平台（船）、生产生活平台、生产储卸装置等海洋油气装备及其有关海上设施，不得向海域处置含油的工业固体废物。处置其他固体废物，不得造成海洋环境污染。</w:t>
            </w:r>
          </w:p>
        </w:tc>
      </w:tr>
      <w:tr w14:paraId="2857B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8" w:type="dxa"/>
            <w:noWrap w:val="0"/>
            <w:vAlign w:val="center"/>
          </w:tcPr>
          <w:p w14:paraId="5CDD56D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6804" w:type="dxa"/>
            <w:gridSpan w:val="2"/>
            <w:noWrap w:val="0"/>
            <w:vAlign w:val="center"/>
          </w:tcPr>
          <w:p w14:paraId="32B6A074">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《中华人民共和国生态环境法典》</w:t>
            </w:r>
            <w:r>
              <w:rPr>
                <w:rFonts w:hint="eastAsia" w:ascii="宋体" w:hAnsi="宋体" w:eastAsia="宋体" w:cs="宋体"/>
                <w:color w:val="auto"/>
                <w:sz w:val="21"/>
                <w:szCs w:val="21"/>
                <w:highlight w:val="none"/>
              </w:rPr>
              <w:t>第一千一百四十七条</w:t>
            </w:r>
            <w:r>
              <w:rPr>
                <w:rFonts w:hint="eastAsia" w:ascii="宋体" w:hAnsi="宋体" w:eastAsia="宋体" w:cs="宋体"/>
                <w:color w:val="auto"/>
                <w:sz w:val="21"/>
                <w:szCs w:val="21"/>
                <w:highlight w:val="none"/>
                <w:lang w:val="en-US" w:eastAsia="zh-CN"/>
              </w:rPr>
              <w:t>第一款第六项、第二款</w:t>
            </w:r>
            <w:r>
              <w:rPr>
                <w:rFonts w:hint="eastAsia" w:ascii="宋体" w:hAnsi="宋体" w:eastAsia="宋体" w:cs="宋体"/>
                <w:color w:val="auto"/>
                <w:sz w:val="21"/>
                <w:szCs w:val="21"/>
                <w:highlight w:val="none"/>
              </w:rPr>
              <w:t xml:space="preserve"> 违反本法规定，有下列情形之一的，由负有生态环境保护监督管理职责的部门、机构按照职责分工责令改正，处以罚款，可以责令采取限制生产、停产整治等措施</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w:t>
            </w:r>
          </w:p>
          <w:p w14:paraId="47BA0FC5">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（六</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向海域处置含油的工业固体废物；</w:t>
            </w:r>
          </w:p>
          <w:p w14:paraId="4023ADB6">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有前款除第三项以外情形之一的，处十万元以上一百万元以下的罚款 ；有前款第三项情形的，处二十万元以上二百万元以下的罚款。</w:t>
            </w:r>
          </w:p>
        </w:tc>
      </w:tr>
      <w:tr w14:paraId="18526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8" w:type="dxa"/>
            <w:noWrap w:val="0"/>
            <w:vAlign w:val="center"/>
          </w:tcPr>
          <w:p w14:paraId="2407AFC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532" w:type="dxa"/>
            <w:noWrap w:val="0"/>
            <w:vAlign w:val="center"/>
          </w:tcPr>
          <w:p w14:paraId="7DF1079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272" w:type="dxa"/>
            <w:noWrap w:val="0"/>
            <w:vAlign w:val="center"/>
          </w:tcPr>
          <w:p w14:paraId="44D8B7F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22785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8" w:type="dxa"/>
            <w:vMerge w:val="restart"/>
            <w:noWrap w:val="0"/>
            <w:vAlign w:val="center"/>
          </w:tcPr>
          <w:p w14:paraId="6E94FCC3">
            <w:pPr>
              <w:jc w:val="center"/>
              <w:rPr>
                <w:rFonts w:hint="default" w:ascii="宋体" w:hAnsi="宋体" w:eastAsia="宋体" w:cs="宋体"/>
                <w:color w:val="auto"/>
                <w:sz w:val="21"/>
                <w:szCs w:val="21"/>
                <w:highlight w:val="none"/>
                <w:lang w:val="en-US"/>
              </w:rPr>
            </w:pPr>
            <w:r>
              <w:rPr>
                <w:rFonts w:hint="eastAsia" w:ascii="宋体" w:hAnsi="宋体" w:cs="宋体"/>
                <w:color w:val="auto"/>
                <w:sz w:val="21"/>
                <w:szCs w:val="21"/>
                <w:highlight w:val="none"/>
                <w:lang w:val="en-US" w:eastAsia="zh-CN"/>
              </w:rPr>
              <w:t>违法行为发生地</w:t>
            </w:r>
          </w:p>
        </w:tc>
        <w:tc>
          <w:tcPr>
            <w:tcW w:w="5532" w:type="dxa"/>
            <w:noWrap w:val="0"/>
            <w:vAlign w:val="top"/>
          </w:tcPr>
          <w:p w14:paraId="49FCC3AB">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第四类海水水质的区域</w:t>
            </w:r>
          </w:p>
        </w:tc>
        <w:tc>
          <w:tcPr>
            <w:tcW w:w="1272" w:type="dxa"/>
            <w:noWrap w:val="0"/>
            <w:vAlign w:val="center"/>
          </w:tcPr>
          <w:p w14:paraId="4C7BF7D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1029F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8" w:type="dxa"/>
            <w:vMerge w:val="continue"/>
            <w:noWrap w:val="0"/>
            <w:vAlign w:val="center"/>
          </w:tcPr>
          <w:p w14:paraId="3880AA34">
            <w:pPr>
              <w:rPr>
                <w:rFonts w:hint="eastAsia" w:ascii="宋体" w:hAnsi="宋体" w:eastAsia="宋体" w:cs="宋体"/>
                <w:color w:val="auto"/>
                <w:sz w:val="21"/>
                <w:szCs w:val="21"/>
                <w:highlight w:val="none"/>
              </w:rPr>
            </w:pPr>
          </w:p>
        </w:tc>
        <w:tc>
          <w:tcPr>
            <w:tcW w:w="5532" w:type="dxa"/>
            <w:noWrap w:val="0"/>
            <w:vAlign w:val="top"/>
          </w:tcPr>
          <w:p w14:paraId="21D03066">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第三类海水水质的区域</w:t>
            </w:r>
          </w:p>
        </w:tc>
        <w:tc>
          <w:tcPr>
            <w:tcW w:w="1272" w:type="dxa"/>
            <w:noWrap w:val="0"/>
            <w:vAlign w:val="center"/>
          </w:tcPr>
          <w:p w14:paraId="5357380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r>
      <w:tr w14:paraId="282DA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8" w:type="dxa"/>
            <w:vMerge w:val="continue"/>
            <w:noWrap w:val="0"/>
            <w:vAlign w:val="center"/>
          </w:tcPr>
          <w:p w14:paraId="47112910">
            <w:pPr>
              <w:rPr>
                <w:rFonts w:hint="eastAsia" w:ascii="宋体" w:hAnsi="宋体" w:eastAsia="宋体" w:cs="宋体"/>
                <w:color w:val="auto"/>
                <w:sz w:val="21"/>
                <w:szCs w:val="21"/>
                <w:highlight w:val="none"/>
              </w:rPr>
            </w:pPr>
          </w:p>
        </w:tc>
        <w:tc>
          <w:tcPr>
            <w:tcW w:w="5532" w:type="dxa"/>
            <w:noWrap w:val="0"/>
            <w:vAlign w:val="top"/>
          </w:tcPr>
          <w:p w14:paraId="791657F8">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第二类海水水质的区域</w:t>
            </w:r>
          </w:p>
        </w:tc>
        <w:tc>
          <w:tcPr>
            <w:tcW w:w="1272" w:type="dxa"/>
            <w:noWrap w:val="0"/>
            <w:vAlign w:val="center"/>
          </w:tcPr>
          <w:p w14:paraId="6BE90C9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p>
        </w:tc>
      </w:tr>
      <w:tr w14:paraId="490C8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 w:hRule="atLeast"/>
          <w:jc w:val="center"/>
        </w:trPr>
        <w:tc>
          <w:tcPr>
            <w:tcW w:w="1718" w:type="dxa"/>
            <w:vMerge w:val="continue"/>
            <w:noWrap w:val="0"/>
            <w:vAlign w:val="center"/>
          </w:tcPr>
          <w:p w14:paraId="2DA3A572">
            <w:pPr>
              <w:rPr>
                <w:rFonts w:hint="eastAsia" w:ascii="宋体" w:hAnsi="宋体" w:eastAsia="宋体" w:cs="宋体"/>
                <w:color w:val="auto"/>
                <w:sz w:val="21"/>
                <w:szCs w:val="21"/>
                <w:highlight w:val="none"/>
              </w:rPr>
            </w:pPr>
          </w:p>
        </w:tc>
        <w:tc>
          <w:tcPr>
            <w:tcW w:w="5532" w:type="dxa"/>
            <w:noWrap w:val="0"/>
            <w:vAlign w:val="top"/>
          </w:tcPr>
          <w:p w14:paraId="3860D53F">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第一类海水水质的区域</w:t>
            </w:r>
          </w:p>
        </w:tc>
        <w:tc>
          <w:tcPr>
            <w:tcW w:w="1272" w:type="dxa"/>
            <w:noWrap w:val="0"/>
            <w:vAlign w:val="center"/>
          </w:tcPr>
          <w:p w14:paraId="22C5272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14A52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8" w:type="dxa"/>
            <w:vMerge w:val="restart"/>
            <w:noWrap w:val="0"/>
            <w:vAlign w:val="center"/>
          </w:tcPr>
          <w:p w14:paraId="71B7E27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污染物排放量</w:t>
            </w:r>
          </w:p>
        </w:tc>
        <w:tc>
          <w:tcPr>
            <w:tcW w:w="5532" w:type="dxa"/>
            <w:noWrap w:val="0"/>
            <w:vAlign w:val="center"/>
          </w:tcPr>
          <w:p w14:paraId="25F2F641">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不足0.5 吨</w:t>
            </w:r>
          </w:p>
        </w:tc>
        <w:tc>
          <w:tcPr>
            <w:tcW w:w="1272" w:type="dxa"/>
            <w:noWrap w:val="0"/>
            <w:vAlign w:val="center"/>
          </w:tcPr>
          <w:p w14:paraId="34C01D0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36E48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8" w:type="dxa"/>
            <w:vMerge w:val="continue"/>
            <w:noWrap w:val="0"/>
            <w:vAlign w:val="center"/>
          </w:tcPr>
          <w:p w14:paraId="5B05BC12">
            <w:pPr>
              <w:rPr>
                <w:rFonts w:hint="eastAsia" w:ascii="宋体" w:hAnsi="宋体" w:eastAsia="宋体" w:cs="宋体"/>
                <w:color w:val="auto"/>
                <w:sz w:val="21"/>
                <w:szCs w:val="21"/>
                <w:highlight w:val="none"/>
              </w:rPr>
            </w:pPr>
          </w:p>
        </w:tc>
        <w:tc>
          <w:tcPr>
            <w:tcW w:w="5532" w:type="dxa"/>
            <w:noWrap w:val="0"/>
            <w:vAlign w:val="center"/>
          </w:tcPr>
          <w:p w14:paraId="549548C7">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0.5 吨以上不足 1吨</w:t>
            </w:r>
          </w:p>
        </w:tc>
        <w:tc>
          <w:tcPr>
            <w:tcW w:w="1272" w:type="dxa"/>
            <w:noWrap w:val="0"/>
            <w:vAlign w:val="center"/>
          </w:tcPr>
          <w:p w14:paraId="7377329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r>
      <w:tr w14:paraId="69FB9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8" w:type="dxa"/>
            <w:vMerge w:val="continue"/>
            <w:noWrap w:val="0"/>
            <w:vAlign w:val="center"/>
          </w:tcPr>
          <w:p w14:paraId="1F1A5E64">
            <w:pPr>
              <w:rPr>
                <w:rFonts w:hint="eastAsia" w:ascii="宋体" w:hAnsi="宋体" w:eastAsia="宋体" w:cs="宋体"/>
                <w:color w:val="auto"/>
                <w:sz w:val="21"/>
                <w:szCs w:val="21"/>
                <w:highlight w:val="none"/>
              </w:rPr>
            </w:pPr>
          </w:p>
        </w:tc>
        <w:tc>
          <w:tcPr>
            <w:tcW w:w="5532" w:type="dxa"/>
            <w:noWrap w:val="0"/>
            <w:vAlign w:val="center"/>
          </w:tcPr>
          <w:p w14:paraId="3B58F30D">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1吨以上不足2 吨</w:t>
            </w:r>
          </w:p>
        </w:tc>
        <w:tc>
          <w:tcPr>
            <w:tcW w:w="1272" w:type="dxa"/>
            <w:noWrap w:val="0"/>
            <w:vAlign w:val="center"/>
          </w:tcPr>
          <w:p w14:paraId="27317B7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37B54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8" w:type="dxa"/>
            <w:vMerge w:val="continue"/>
            <w:noWrap w:val="0"/>
            <w:vAlign w:val="center"/>
          </w:tcPr>
          <w:p w14:paraId="30A93038">
            <w:pPr>
              <w:rPr>
                <w:rFonts w:hint="eastAsia" w:ascii="宋体" w:hAnsi="宋体" w:eastAsia="宋体" w:cs="宋体"/>
                <w:color w:val="auto"/>
                <w:sz w:val="21"/>
                <w:szCs w:val="21"/>
                <w:highlight w:val="none"/>
              </w:rPr>
            </w:pPr>
          </w:p>
        </w:tc>
        <w:tc>
          <w:tcPr>
            <w:tcW w:w="5532" w:type="dxa"/>
            <w:noWrap w:val="0"/>
            <w:vAlign w:val="center"/>
          </w:tcPr>
          <w:p w14:paraId="70CDF319">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吨以上不足</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 xml:space="preserve"> 吨</w:t>
            </w:r>
          </w:p>
        </w:tc>
        <w:tc>
          <w:tcPr>
            <w:tcW w:w="1272" w:type="dxa"/>
            <w:noWrap w:val="0"/>
            <w:vAlign w:val="center"/>
          </w:tcPr>
          <w:p w14:paraId="6116B09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r>
      <w:tr w14:paraId="42CA0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8" w:type="dxa"/>
            <w:vMerge w:val="continue"/>
            <w:noWrap w:val="0"/>
            <w:vAlign w:val="center"/>
          </w:tcPr>
          <w:p w14:paraId="4413756C">
            <w:pPr>
              <w:rPr>
                <w:rFonts w:hint="eastAsia" w:ascii="宋体" w:hAnsi="宋体" w:eastAsia="宋体" w:cs="宋体"/>
                <w:color w:val="auto"/>
                <w:sz w:val="21"/>
                <w:szCs w:val="21"/>
                <w:highlight w:val="none"/>
              </w:rPr>
            </w:pPr>
          </w:p>
        </w:tc>
        <w:tc>
          <w:tcPr>
            <w:tcW w:w="5532" w:type="dxa"/>
            <w:noWrap w:val="0"/>
            <w:vAlign w:val="center"/>
          </w:tcPr>
          <w:p w14:paraId="1A32705B">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 xml:space="preserve"> 吨以上</w:t>
            </w:r>
          </w:p>
        </w:tc>
        <w:tc>
          <w:tcPr>
            <w:tcW w:w="1272" w:type="dxa"/>
            <w:noWrap w:val="0"/>
            <w:vAlign w:val="center"/>
          </w:tcPr>
          <w:p w14:paraId="194EBD4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bl>
    <w:p w14:paraId="12134A6C">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p w14:paraId="1FE5E3B2">
      <w:pPr>
        <w:rPr>
          <w:rFonts w:hint="eastAsia" w:ascii="宋体" w:hAnsi="宋体" w:eastAsia="宋体" w:cs="宋体"/>
          <w:sz w:val="21"/>
          <w:szCs w:val="21"/>
          <w:highlight w:val="none"/>
        </w:rPr>
      </w:pP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3"/>
        <w:gridCol w:w="5809"/>
        <w:gridCol w:w="1336"/>
      </w:tblGrid>
      <w:tr w14:paraId="08C5A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8522" w:type="dxa"/>
            <w:gridSpan w:val="3"/>
            <w:noWrap w:val="0"/>
            <w:vAlign w:val="center"/>
          </w:tcPr>
          <w:p w14:paraId="34DBFAFF">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六</w:t>
            </w:r>
            <w:r>
              <w:rPr>
                <w:rFonts w:hint="eastAsia" w:ascii="宋体" w:hAnsi="宋体" w:eastAsia="宋体" w:cs="宋体"/>
                <w:color w:val="auto"/>
                <w:sz w:val="21"/>
                <w:szCs w:val="21"/>
                <w:highlight w:val="none"/>
              </w:rPr>
              <w:t>）海洋污染防治类</w:t>
            </w:r>
          </w:p>
        </w:tc>
      </w:tr>
      <w:tr w14:paraId="6346C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8" w:type="dxa"/>
            <w:noWrap w:val="0"/>
            <w:vAlign w:val="center"/>
          </w:tcPr>
          <w:p w14:paraId="446178F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804" w:type="dxa"/>
            <w:gridSpan w:val="2"/>
            <w:noWrap w:val="0"/>
            <w:vAlign w:val="center"/>
          </w:tcPr>
          <w:p w14:paraId="762CA08E">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r>
      <w:tr w14:paraId="11002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8" w:type="dxa"/>
            <w:noWrap w:val="0"/>
            <w:vAlign w:val="center"/>
          </w:tcPr>
          <w:p w14:paraId="0A96ACB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6804" w:type="dxa"/>
            <w:gridSpan w:val="2"/>
            <w:noWrap w:val="0"/>
            <w:vAlign w:val="center"/>
          </w:tcPr>
          <w:p w14:paraId="3A73BF69">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违反国家规定或者标准，向海域排放含热废水，含病原体的医疗污水、生活污水和工业废水，含不易降解的有机物、重金属的废水</w:t>
            </w:r>
            <w:r>
              <w:rPr>
                <w:rFonts w:hint="eastAsia" w:ascii="宋体" w:hAnsi="宋体" w:eastAsia="宋体" w:cs="宋体"/>
                <w:color w:val="auto"/>
                <w:sz w:val="21"/>
                <w:szCs w:val="21"/>
                <w:highlight w:val="none"/>
                <w:lang w:eastAsia="zh-CN"/>
              </w:rPr>
              <w:t>的</w:t>
            </w:r>
          </w:p>
        </w:tc>
      </w:tr>
      <w:tr w14:paraId="234AF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8" w:type="dxa"/>
            <w:noWrap w:val="0"/>
            <w:vAlign w:val="center"/>
          </w:tcPr>
          <w:p w14:paraId="45916B9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6804" w:type="dxa"/>
            <w:gridSpan w:val="2"/>
            <w:noWrap w:val="0"/>
            <w:vAlign w:val="center"/>
          </w:tcPr>
          <w:p w14:paraId="46F45E01">
            <w:pPr>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《中华人民共和国生态环境法典》第三百五十二条第三款  严格控制向海域排放含有不易降解的有机物和重金属的废水。</w:t>
            </w:r>
          </w:p>
          <w:p w14:paraId="7727ABCC">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《中华人民共和国生态环境法典》</w:t>
            </w:r>
            <w:r>
              <w:rPr>
                <w:rFonts w:hint="eastAsia" w:ascii="宋体" w:hAnsi="宋体" w:eastAsia="宋体" w:cs="宋体"/>
                <w:color w:val="auto"/>
                <w:sz w:val="21"/>
                <w:szCs w:val="21"/>
                <w:highlight w:val="none"/>
              </w:rPr>
              <w:t>第三百五十三条　含病原体的医疗污水、生活污水和工业废水应当经过处理，符合有关排放标准后，方可排入海域。</w:t>
            </w:r>
          </w:p>
          <w:p w14:paraId="62EB6E6D">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《中华人民共和国生态环境法典》</w:t>
            </w:r>
            <w:r>
              <w:rPr>
                <w:rFonts w:hint="eastAsia" w:ascii="宋体" w:hAnsi="宋体" w:eastAsia="宋体" w:cs="宋体"/>
                <w:color w:val="auto"/>
                <w:sz w:val="21"/>
                <w:szCs w:val="21"/>
                <w:highlight w:val="none"/>
              </w:rPr>
              <w:t>第三百五十五条　向海域排放含热废水，应当采取有效措施，保证邻近自然保护地、渔业水域的水温符合海洋生态环境质量标准，避免对珍稀濒危海洋生物、海洋水产资源造成危害。</w:t>
            </w:r>
          </w:p>
        </w:tc>
      </w:tr>
      <w:tr w14:paraId="0F48E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8" w:type="dxa"/>
            <w:noWrap w:val="0"/>
            <w:vAlign w:val="center"/>
          </w:tcPr>
          <w:p w14:paraId="154FB17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6804" w:type="dxa"/>
            <w:gridSpan w:val="2"/>
            <w:noWrap w:val="0"/>
            <w:vAlign w:val="center"/>
          </w:tcPr>
          <w:p w14:paraId="68424DDB">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《中华人民共和国生态环境法典》</w:t>
            </w:r>
            <w:r>
              <w:rPr>
                <w:rFonts w:hint="eastAsia" w:ascii="宋体" w:hAnsi="宋体" w:eastAsia="宋体" w:cs="宋体"/>
                <w:color w:val="auto"/>
                <w:sz w:val="21"/>
                <w:szCs w:val="21"/>
                <w:highlight w:val="none"/>
              </w:rPr>
              <w:t>第一千一百四十七条</w:t>
            </w:r>
            <w:r>
              <w:rPr>
                <w:rFonts w:hint="eastAsia" w:ascii="宋体" w:hAnsi="宋体" w:eastAsia="宋体" w:cs="宋体"/>
                <w:color w:val="auto"/>
                <w:sz w:val="21"/>
                <w:szCs w:val="21"/>
                <w:highlight w:val="none"/>
                <w:lang w:val="en-US" w:eastAsia="zh-CN"/>
              </w:rPr>
              <w:t>第一款第七项、第二款</w:t>
            </w:r>
            <w:r>
              <w:rPr>
                <w:rFonts w:hint="eastAsia" w:ascii="宋体" w:hAnsi="宋体" w:eastAsia="宋体" w:cs="宋体"/>
                <w:color w:val="auto"/>
                <w:sz w:val="21"/>
                <w:szCs w:val="21"/>
                <w:highlight w:val="none"/>
              </w:rPr>
              <w:t xml:space="preserve"> 违反本法规定，有下列情形之一的，由负有生态环境保护监督管理职责的部门、机构按照职责分工责令改正，处以罚款，可以责令采取限制生产、停产整治等措施</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w:t>
            </w:r>
          </w:p>
          <w:p w14:paraId="2AD085F5">
            <w:pPr>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七</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违反国家规定或者标准，向海域排放含热废水，含病原体的医疗污水、生活污水和工业废水，含不易降解的有机物、重金属的废水；</w:t>
            </w:r>
          </w:p>
          <w:p w14:paraId="44ADC0B3">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有前款除第三项以外情形之一的，处十万元以上一百万元以下的罚款 ；有前款第三项情形的，处二十万元以上二百万元以下的罚款。</w:t>
            </w:r>
          </w:p>
        </w:tc>
      </w:tr>
      <w:tr w14:paraId="75BA6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8" w:type="dxa"/>
            <w:noWrap w:val="0"/>
            <w:vAlign w:val="center"/>
          </w:tcPr>
          <w:p w14:paraId="51C9CDC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532" w:type="dxa"/>
            <w:noWrap w:val="0"/>
            <w:vAlign w:val="center"/>
          </w:tcPr>
          <w:p w14:paraId="0F43E4A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272" w:type="dxa"/>
            <w:noWrap w:val="0"/>
            <w:vAlign w:val="center"/>
          </w:tcPr>
          <w:p w14:paraId="60DCBC6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59E7C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8" w:type="dxa"/>
            <w:vMerge w:val="restart"/>
            <w:noWrap w:val="0"/>
            <w:vAlign w:val="center"/>
          </w:tcPr>
          <w:p w14:paraId="213B138D">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排放去向</w:t>
            </w:r>
          </w:p>
          <w:p w14:paraId="6CE491E9">
            <w:pPr>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或区域</w:t>
            </w:r>
          </w:p>
        </w:tc>
        <w:tc>
          <w:tcPr>
            <w:tcW w:w="5532" w:type="dxa"/>
            <w:noWrap w:val="0"/>
            <w:vAlign w:val="top"/>
          </w:tcPr>
          <w:p w14:paraId="0452BB05">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第四类海水水质的区域</w:t>
            </w:r>
          </w:p>
        </w:tc>
        <w:tc>
          <w:tcPr>
            <w:tcW w:w="1272" w:type="dxa"/>
            <w:noWrap w:val="0"/>
            <w:vAlign w:val="center"/>
          </w:tcPr>
          <w:p w14:paraId="33DABF1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740B8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8" w:type="dxa"/>
            <w:vMerge w:val="continue"/>
            <w:noWrap w:val="0"/>
            <w:vAlign w:val="center"/>
          </w:tcPr>
          <w:p w14:paraId="2A5BB54B">
            <w:pPr>
              <w:rPr>
                <w:rFonts w:hint="eastAsia" w:ascii="宋体" w:hAnsi="宋体" w:eastAsia="宋体" w:cs="宋体"/>
                <w:color w:val="auto"/>
                <w:sz w:val="21"/>
                <w:szCs w:val="21"/>
                <w:highlight w:val="none"/>
              </w:rPr>
            </w:pPr>
          </w:p>
        </w:tc>
        <w:tc>
          <w:tcPr>
            <w:tcW w:w="5532" w:type="dxa"/>
            <w:noWrap w:val="0"/>
            <w:vAlign w:val="top"/>
          </w:tcPr>
          <w:p w14:paraId="164F3A19">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第三类海水水质的区域</w:t>
            </w:r>
          </w:p>
        </w:tc>
        <w:tc>
          <w:tcPr>
            <w:tcW w:w="1272" w:type="dxa"/>
            <w:noWrap w:val="0"/>
            <w:vAlign w:val="center"/>
          </w:tcPr>
          <w:p w14:paraId="246CC07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r>
      <w:tr w14:paraId="58D2A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8" w:type="dxa"/>
            <w:vMerge w:val="continue"/>
            <w:noWrap w:val="0"/>
            <w:vAlign w:val="center"/>
          </w:tcPr>
          <w:p w14:paraId="4521A62A">
            <w:pPr>
              <w:rPr>
                <w:rFonts w:hint="eastAsia" w:ascii="宋体" w:hAnsi="宋体" w:eastAsia="宋体" w:cs="宋体"/>
                <w:color w:val="auto"/>
                <w:sz w:val="21"/>
                <w:szCs w:val="21"/>
                <w:highlight w:val="none"/>
              </w:rPr>
            </w:pPr>
          </w:p>
        </w:tc>
        <w:tc>
          <w:tcPr>
            <w:tcW w:w="5532" w:type="dxa"/>
            <w:noWrap w:val="0"/>
            <w:vAlign w:val="top"/>
          </w:tcPr>
          <w:p w14:paraId="187E914E">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第二类海水水质的区域</w:t>
            </w:r>
          </w:p>
        </w:tc>
        <w:tc>
          <w:tcPr>
            <w:tcW w:w="1272" w:type="dxa"/>
            <w:noWrap w:val="0"/>
            <w:vAlign w:val="center"/>
          </w:tcPr>
          <w:p w14:paraId="7C67612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p>
        </w:tc>
      </w:tr>
      <w:tr w14:paraId="02F7A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 w:hRule="atLeast"/>
          <w:jc w:val="center"/>
        </w:trPr>
        <w:tc>
          <w:tcPr>
            <w:tcW w:w="1718" w:type="dxa"/>
            <w:vMerge w:val="continue"/>
            <w:noWrap w:val="0"/>
            <w:vAlign w:val="center"/>
          </w:tcPr>
          <w:p w14:paraId="26CB4155">
            <w:pPr>
              <w:rPr>
                <w:rFonts w:hint="eastAsia" w:ascii="宋体" w:hAnsi="宋体" w:eastAsia="宋体" w:cs="宋体"/>
                <w:color w:val="auto"/>
                <w:sz w:val="21"/>
                <w:szCs w:val="21"/>
                <w:highlight w:val="none"/>
              </w:rPr>
            </w:pPr>
          </w:p>
        </w:tc>
        <w:tc>
          <w:tcPr>
            <w:tcW w:w="5532" w:type="dxa"/>
            <w:noWrap w:val="0"/>
            <w:vAlign w:val="top"/>
          </w:tcPr>
          <w:p w14:paraId="1C58C8BC">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第一类海水水质的区域</w:t>
            </w:r>
          </w:p>
        </w:tc>
        <w:tc>
          <w:tcPr>
            <w:tcW w:w="1272" w:type="dxa"/>
            <w:noWrap w:val="0"/>
            <w:vAlign w:val="center"/>
          </w:tcPr>
          <w:p w14:paraId="08B5F63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2E86E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 w:hRule="atLeast"/>
          <w:jc w:val="center"/>
        </w:trPr>
        <w:tc>
          <w:tcPr>
            <w:tcW w:w="1718" w:type="dxa"/>
            <w:vMerge w:val="restart"/>
            <w:noWrap w:val="0"/>
            <w:vAlign w:val="center"/>
          </w:tcPr>
          <w:p w14:paraId="7345C16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排放物质</w:t>
            </w:r>
          </w:p>
        </w:tc>
        <w:tc>
          <w:tcPr>
            <w:tcW w:w="5532" w:type="dxa"/>
            <w:noWrap w:val="0"/>
            <w:vAlign w:val="top"/>
          </w:tcPr>
          <w:p w14:paraId="7E136821">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含热废水</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生活污水</w:t>
            </w:r>
          </w:p>
        </w:tc>
        <w:tc>
          <w:tcPr>
            <w:tcW w:w="1272" w:type="dxa"/>
            <w:noWrap w:val="0"/>
            <w:vAlign w:val="center"/>
          </w:tcPr>
          <w:p w14:paraId="6B02E2D7">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r>
      <w:tr w14:paraId="69021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 w:hRule="atLeast"/>
          <w:jc w:val="center"/>
        </w:trPr>
        <w:tc>
          <w:tcPr>
            <w:tcW w:w="1718" w:type="dxa"/>
            <w:vMerge w:val="continue"/>
            <w:noWrap w:val="0"/>
            <w:vAlign w:val="center"/>
          </w:tcPr>
          <w:p w14:paraId="6C47DF46">
            <w:pPr>
              <w:rPr>
                <w:rFonts w:hint="eastAsia" w:ascii="宋体" w:hAnsi="宋体" w:eastAsia="宋体" w:cs="宋体"/>
                <w:color w:val="auto"/>
                <w:sz w:val="21"/>
                <w:szCs w:val="21"/>
                <w:highlight w:val="none"/>
              </w:rPr>
            </w:pPr>
          </w:p>
        </w:tc>
        <w:tc>
          <w:tcPr>
            <w:tcW w:w="5532" w:type="dxa"/>
            <w:noWrap w:val="0"/>
            <w:vAlign w:val="top"/>
          </w:tcPr>
          <w:p w14:paraId="74D40506">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含病原体的医疗污水</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工业废水</w:t>
            </w:r>
          </w:p>
        </w:tc>
        <w:tc>
          <w:tcPr>
            <w:tcW w:w="1272" w:type="dxa"/>
            <w:noWrap w:val="0"/>
            <w:vAlign w:val="center"/>
          </w:tcPr>
          <w:p w14:paraId="3981C3A1">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r>
      <w:tr w14:paraId="4D41E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 w:hRule="atLeast"/>
          <w:jc w:val="center"/>
        </w:trPr>
        <w:tc>
          <w:tcPr>
            <w:tcW w:w="1718" w:type="dxa"/>
            <w:vMerge w:val="continue"/>
            <w:noWrap w:val="0"/>
            <w:vAlign w:val="center"/>
          </w:tcPr>
          <w:p w14:paraId="2153048D">
            <w:pPr>
              <w:rPr>
                <w:rFonts w:hint="eastAsia" w:ascii="宋体" w:hAnsi="宋体" w:eastAsia="宋体" w:cs="宋体"/>
                <w:color w:val="auto"/>
                <w:sz w:val="21"/>
                <w:szCs w:val="21"/>
                <w:highlight w:val="none"/>
              </w:rPr>
            </w:pPr>
          </w:p>
        </w:tc>
        <w:tc>
          <w:tcPr>
            <w:tcW w:w="5532" w:type="dxa"/>
            <w:noWrap w:val="0"/>
            <w:vAlign w:val="top"/>
          </w:tcPr>
          <w:p w14:paraId="03502FDF">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含不易降解的有机物、重金属的废水</w:t>
            </w:r>
          </w:p>
        </w:tc>
        <w:tc>
          <w:tcPr>
            <w:tcW w:w="1272" w:type="dxa"/>
            <w:noWrap w:val="0"/>
            <w:vAlign w:val="center"/>
          </w:tcPr>
          <w:p w14:paraId="31B1F748">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r>
      <w:tr w14:paraId="01B6E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8" w:type="dxa"/>
            <w:vMerge w:val="restart"/>
            <w:noWrap w:val="0"/>
            <w:vAlign w:val="center"/>
          </w:tcPr>
          <w:p w14:paraId="12D0F02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污染物排放量</w:t>
            </w:r>
          </w:p>
        </w:tc>
        <w:tc>
          <w:tcPr>
            <w:tcW w:w="5532" w:type="dxa"/>
            <w:noWrap w:val="0"/>
            <w:vAlign w:val="center"/>
          </w:tcPr>
          <w:p w14:paraId="4A99CE8A">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不足0.5 吨</w:t>
            </w:r>
          </w:p>
        </w:tc>
        <w:tc>
          <w:tcPr>
            <w:tcW w:w="1272" w:type="dxa"/>
            <w:noWrap w:val="0"/>
            <w:vAlign w:val="center"/>
          </w:tcPr>
          <w:p w14:paraId="49BE4DC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02B4A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8" w:type="dxa"/>
            <w:vMerge w:val="continue"/>
            <w:noWrap w:val="0"/>
            <w:vAlign w:val="center"/>
          </w:tcPr>
          <w:p w14:paraId="606B7722">
            <w:pPr>
              <w:rPr>
                <w:rFonts w:hint="eastAsia" w:ascii="宋体" w:hAnsi="宋体" w:eastAsia="宋体" w:cs="宋体"/>
                <w:color w:val="auto"/>
                <w:sz w:val="21"/>
                <w:szCs w:val="21"/>
                <w:highlight w:val="none"/>
              </w:rPr>
            </w:pPr>
          </w:p>
        </w:tc>
        <w:tc>
          <w:tcPr>
            <w:tcW w:w="5532" w:type="dxa"/>
            <w:noWrap w:val="0"/>
            <w:vAlign w:val="center"/>
          </w:tcPr>
          <w:p w14:paraId="34163E83">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0.5 吨以上不足 1吨</w:t>
            </w:r>
          </w:p>
        </w:tc>
        <w:tc>
          <w:tcPr>
            <w:tcW w:w="1272" w:type="dxa"/>
            <w:noWrap w:val="0"/>
            <w:vAlign w:val="center"/>
          </w:tcPr>
          <w:p w14:paraId="1F02D94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r>
      <w:tr w14:paraId="699B3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8" w:type="dxa"/>
            <w:vMerge w:val="continue"/>
            <w:noWrap w:val="0"/>
            <w:vAlign w:val="center"/>
          </w:tcPr>
          <w:p w14:paraId="10320536">
            <w:pPr>
              <w:rPr>
                <w:rFonts w:hint="eastAsia" w:ascii="宋体" w:hAnsi="宋体" w:eastAsia="宋体" w:cs="宋体"/>
                <w:color w:val="auto"/>
                <w:sz w:val="21"/>
                <w:szCs w:val="21"/>
                <w:highlight w:val="none"/>
              </w:rPr>
            </w:pPr>
          </w:p>
        </w:tc>
        <w:tc>
          <w:tcPr>
            <w:tcW w:w="5532" w:type="dxa"/>
            <w:noWrap w:val="0"/>
            <w:vAlign w:val="center"/>
          </w:tcPr>
          <w:p w14:paraId="3A210805">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1吨以上不足2 吨</w:t>
            </w:r>
          </w:p>
        </w:tc>
        <w:tc>
          <w:tcPr>
            <w:tcW w:w="1272" w:type="dxa"/>
            <w:noWrap w:val="0"/>
            <w:vAlign w:val="center"/>
          </w:tcPr>
          <w:p w14:paraId="5BC88AA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642DB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8" w:type="dxa"/>
            <w:vMerge w:val="continue"/>
            <w:noWrap w:val="0"/>
            <w:vAlign w:val="center"/>
          </w:tcPr>
          <w:p w14:paraId="42658ED2">
            <w:pPr>
              <w:rPr>
                <w:rFonts w:hint="eastAsia" w:ascii="宋体" w:hAnsi="宋体" w:eastAsia="宋体" w:cs="宋体"/>
                <w:color w:val="auto"/>
                <w:sz w:val="21"/>
                <w:szCs w:val="21"/>
                <w:highlight w:val="none"/>
              </w:rPr>
            </w:pPr>
          </w:p>
        </w:tc>
        <w:tc>
          <w:tcPr>
            <w:tcW w:w="5532" w:type="dxa"/>
            <w:noWrap w:val="0"/>
            <w:vAlign w:val="center"/>
          </w:tcPr>
          <w:p w14:paraId="2F6454EA">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吨以上不足</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 xml:space="preserve"> 吨</w:t>
            </w:r>
          </w:p>
        </w:tc>
        <w:tc>
          <w:tcPr>
            <w:tcW w:w="1272" w:type="dxa"/>
            <w:noWrap w:val="0"/>
            <w:vAlign w:val="center"/>
          </w:tcPr>
          <w:p w14:paraId="04BCBD9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r>
      <w:tr w14:paraId="05DCC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8" w:type="dxa"/>
            <w:vMerge w:val="continue"/>
            <w:noWrap w:val="0"/>
            <w:vAlign w:val="center"/>
          </w:tcPr>
          <w:p w14:paraId="6AA7E9B6">
            <w:pPr>
              <w:rPr>
                <w:rFonts w:hint="eastAsia" w:ascii="宋体" w:hAnsi="宋体" w:eastAsia="宋体" w:cs="宋体"/>
                <w:color w:val="auto"/>
                <w:sz w:val="21"/>
                <w:szCs w:val="21"/>
                <w:highlight w:val="none"/>
              </w:rPr>
            </w:pPr>
          </w:p>
        </w:tc>
        <w:tc>
          <w:tcPr>
            <w:tcW w:w="5532" w:type="dxa"/>
            <w:noWrap w:val="0"/>
            <w:vAlign w:val="center"/>
          </w:tcPr>
          <w:p w14:paraId="41AD5957">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 xml:space="preserve"> 吨以上</w:t>
            </w:r>
          </w:p>
        </w:tc>
        <w:tc>
          <w:tcPr>
            <w:tcW w:w="1272" w:type="dxa"/>
            <w:noWrap w:val="0"/>
            <w:vAlign w:val="center"/>
          </w:tcPr>
          <w:p w14:paraId="5547F67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bl>
    <w:p w14:paraId="523E140F">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3"/>
        <w:gridCol w:w="5809"/>
        <w:gridCol w:w="1336"/>
      </w:tblGrid>
      <w:tr w14:paraId="4E576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3"/>
            <w:noWrap w:val="0"/>
            <w:vAlign w:val="center"/>
          </w:tcPr>
          <w:p w14:paraId="6ED2D3D6">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六</w:t>
            </w:r>
            <w:r>
              <w:rPr>
                <w:rFonts w:hint="eastAsia" w:ascii="宋体" w:hAnsi="宋体" w:eastAsia="宋体" w:cs="宋体"/>
                <w:color w:val="auto"/>
                <w:sz w:val="21"/>
                <w:szCs w:val="21"/>
                <w:highlight w:val="none"/>
              </w:rPr>
              <w:t>）海洋污染防治类</w:t>
            </w:r>
          </w:p>
        </w:tc>
      </w:tr>
      <w:tr w14:paraId="6EC98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8" w:type="dxa"/>
            <w:noWrap w:val="0"/>
            <w:vAlign w:val="center"/>
          </w:tcPr>
          <w:p w14:paraId="2B5FB90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804" w:type="dxa"/>
            <w:gridSpan w:val="2"/>
            <w:noWrap w:val="0"/>
            <w:vAlign w:val="center"/>
          </w:tcPr>
          <w:p w14:paraId="5266D2E4">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w:t>
            </w:r>
          </w:p>
        </w:tc>
      </w:tr>
      <w:tr w14:paraId="0E1CE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8" w:type="dxa"/>
            <w:noWrap w:val="0"/>
            <w:vAlign w:val="center"/>
          </w:tcPr>
          <w:p w14:paraId="6F64A94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6804" w:type="dxa"/>
            <w:gridSpan w:val="2"/>
            <w:noWrap w:val="0"/>
            <w:vAlign w:val="center"/>
          </w:tcPr>
          <w:p w14:paraId="4DE2DAFA">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在岸滩弃置、堆放、处理固体废物</w:t>
            </w:r>
            <w:r>
              <w:rPr>
                <w:rFonts w:hint="eastAsia" w:ascii="宋体" w:hAnsi="宋体" w:eastAsia="宋体" w:cs="宋体"/>
                <w:color w:val="auto"/>
                <w:sz w:val="21"/>
                <w:szCs w:val="21"/>
                <w:highlight w:val="none"/>
                <w:lang w:eastAsia="zh-CN"/>
              </w:rPr>
              <w:t>的</w:t>
            </w:r>
          </w:p>
        </w:tc>
      </w:tr>
      <w:tr w14:paraId="4D9F8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8" w:type="dxa"/>
            <w:noWrap w:val="0"/>
            <w:vAlign w:val="center"/>
          </w:tcPr>
          <w:p w14:paraId="5980928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6804" w:type="dxa"/>
            <w:gridSpan w:val="2"/>
            <w:noWrap w:val="0"/>
            <w:vAlign w:val="center"/>
          </w:tcPr>
          <w:p w14:paraId="54551076">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《中华人民共和国生态环境法典》</w:t>
            </w:r>
            <w:r>
              <w:rPr>
                <w:rFonts w:hint="eastAsia" w:ascii="宋体" w:hAnsi="宋体" w:eastAsia="宋体" w:cs="宋体"/>
                <w:color w:val="auto"/>
                <w:sz w:val="21"/>
                <w:szCs w:val="21"/>
                <w:highlight w:val="none"/>
              </w:rPr>
              <w:t>第三百五十七条</w:t>
            </w:r>
            <w:r>
              <w:rPr>
                <w:rFonts w:hint="eastAsia" w:ascii="宋体" w:hAnsi="宋体" w:eastAsia="宋体" w:cs="宋体"/>
                <w:color w:val="auto"/>
                <w:sz w:val="21"/>
                <w:szCs w:val="21"/>
                <w:highlight w:val="none"/>
                <w:lang w:val="en-US" w:eastAsia="zh-CN"/>
              </w:rPr>
              <w:t>第二款</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禁止在岸滩弃置、堆放或者处理固体废物；法律、行政法规另有规定的除外。</w:t>
            </w:r>
          </w:p>
        </w:tc>
      </w:tr>
      <w:tr w14:paraId="346FD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8" w:type="dxa"/>
            <w:noWrap w:val="0"/>
            <w:vAlign w:val="center"/>
          </w:tcPr>
          <w:p w14:paraId="76C02E7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6804" w:type="dxa"/>
            <w:gridSpan w:val="2"/>
            <w:noWrap w:val="0"/>
            <w:vAlign w:val="center"/>
          </w:tcPr>
          <w:p w14:paraId="4CF98C55">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《中华人民共和国生态环境法典》</w:t>
            </w:r>
            <w:r>
              <w:rPr>
                <w:rFonts w:hint="eastAsia" w:ascii="宋体" w:hAnsi="宋体" w:eastAsia="宋体" w:cs="宋体"/>
                <w:color w:val="auto"/>
                <w:sz w:val="21"/>
                <w:szCs w:val="21"/>
                <w:highlight w:val="none"/>
              </w:rPr>
              <w:t>第一千一百四十七条</w:t>
            </w:r>
            <w:r>
              <w:rPr>
                <w:rFonts w:hint="eastAsia" w:ascii="宋体" w:hAnsi="宋体" w:eastAsia="宋体" w:cs="宋体"/>
                <w:color w:val="auto"/>
                <w:sz w:val="21"/>
                <w:szCs w:val="21"/>
                <w:highlight w:val="none"/>
                <w:lang w:val="en-US" w:eastAsia="zh-CN"/>
              </w:rPr>
              <w:t>第一款第八项、第二款</w:t>
            </w:r>
            <w:r>
              <w:rPr>
                <w:rFonts w:hint="eastAsia" w:ascii="宋体" w:hAnsi="宋体" w:eastAsia="宋体" w:cs="宋体"/>
                <w:color w:val="auto"/>
                <w:sz w:val="21"/>
                <w:szCs w:val="21"/>
                <w:highlight w:val="none"/>
              </w:rPr>
              <w:t xml:space="preserve"> 违反本法规定，有下列情形之一的，由负有生态环境保护监督管理职责的部门、机构按照职责分工责令改正，处以罚款，可以责令采取限制生产、停产整治等措施</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w:t>
            </w:r>
          </w:p>
          <w:p w14:paraId="71807A95">
            <w:pPr>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八</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在岸滩弃置、堆放、处理固体废物。</w:t>
            </w:r>
          </w:p>
          <w:p w14:paraId="61B1EE51">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有前款除第三项以外情形之一的，处十万元以上一百万元以下的罚款 ；有前款第三项情形的，处二十万元以上二百万元以下的罚款。</w:t>
            </w:r>
          </w:p>
        </w:tc>
      </w:tr>
      <w:tr w14:paraId="2018A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8" w:type="dxa"/>
            <w:noWrap w:val="0"/>
            <w:vAlign w:val="center"/>
          </w:tcPr>
          <w:p w14:paraId="47299A5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532" w:type="dxa"/>
            <w:noWrap w:val="0"/>
            <w:vAlign w:val="center"/>
          </w:tcPr>
          <w:p w14:paraId="3D8064A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272" w:type="dxa"/>
            <w:noWrap w:val="0"/>
            <w:vAlign w:val="center"/>
          </w:tcPr>
          <w:p w14:paraId="3E6840E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6CCDA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8" w:type="dxa"/>
            <w:vMerge w:val="restart"/>
            <w:noWrap w:val="0"/>
            <w:vAlign w:val="center"/>
          </w:tcPr>
          <w:p w14:paraId="290D66F8">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固体废物</w:t>
            </w:r>
            <w:r>
              <w:rPr>
                <w:rFonts w:hint="eastAsia" w:ascii="宋体" w:hAnsi="宋体" w:eastAsia="宋体" w:cs="宋体"/>
                <w:color w:val="auto"/>
                <w:sz w:val="21"/>
                <w:szCs w:val="21"/>
                <w:highlight w:val="none"/>
                <w:lang w:val="en-US" w:eastAsia="zh-CN"/>
              </w:rPr>
              <w:t>类别</w:t>
            </w:r>
          </w:p>
        </w:tc>
        <w:tc>
          <w:tcPr>
            <w:tcW w:w="5532" w:type="dxa"/>
            <w:noWrap w:val="0"/>
            <w:vAlign w:val="center"/>
          </w:tcPr>
          <w:p w14:paraId="4E079298">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第Ⅰ类一般工业固体废物</w:t>
            </w:r>
          </w:p>
        </w:tc>
        <w:tc>
          <w:tcPr>
            <w:tcW w:w="1272" w:type="dxa"/>
            <w:noWrap w:val="0"/>
            <w:vAlign w:val="center"/>
          </w:tcPr>
          <w:p w14:paraId="78426C7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27313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8" w:type="dxa"/>
            <w:vMerge w:val="continue"/>
            <w:noWrap w:val="0"/>
            <w:vAlign w:val="center"/>
          </w:tcPr>
          <w:p w14:paraId="0A34C65A">
            <w:pPr>
              <w:rPr>
                <w:rFonts w:hint="eastAsia" w:ascii="宋体" w:hAnsi="宋体" w:eastAsia="宋体" w:cs="宋体"/>
                <w:color w:val="auto"/>
                <w:sz w:val="21"/>
                <w:szCs w:val="21"/>
                <w:highlight w:val="none"/>
              </w:rPr>
            </w:pPr>
          </w:p>
        </w:tc>
        <w:tc>
          <w:tcPr>
            <w:tcW w:w="5532" w:type="dxa"/>
            <w:noWrap w:val="0"/>
            <w:vAlign w:val="center"/>
          </w:tcPr>
          <w:p w14:paraId="29044C16">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第Ⅱ类一般工业固体废物</w:t>
            </w:r>
          </w:p>
        </w:tc>
        <w:tc>
          <w:tcPr>
            <w:tcW w:w="1272" w:type="dxa"/>
            <w:noWrap w:val="0"/>
            <w:vAlign w:val="center"/>
          </w:tcPr>
          <w:p w14:paraId="543CCA58">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3</w:t>
            </w:r>
          </w:p>
        </w:tc>
      </w:tr>
      <w:tr w14:paraId="64527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8" w:type="dxa"/>
            <w:vMerge w:val="continue"/>
            <w:noWrap w:val="0"/>
            <w:vAlign w:val="center"/>
          </w:tcPr>
          <w:p w14:paraId="05191113">
            <w:pPr>
              <w:rPr>
                <w:rFonts w:hint="eastAsia" w:ascii="宋体" w:hAnsi="宋体" w:eastAsia="宋体" w:cs="宋体"/>
                <w:color w:val="auto"/>
                <w:sz w:val="21"/>
                <w:szCs w:val="21"/>
                <w:highlight w:val="none"/>
              </w:rPr>
            </w:pPr>
          </w:p>
        </w:tc>
        <w:tc>
          <w:tcPr>
            <w:tcW w:w="5532" w:type="dxa"/>
            <w:noWrap w:val="0"/>
            <w:vAlign w:val="center"/>
          </w:tcPr>
          <w:p w14:paraId="5D893765">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危险废物</w:t>
            </w:r>
          </w:p>
        </w:tc>
        <w:tc>
          <w:tcPr>
            <w:tcW w:w="1272" w:type="dxa"/>
            <w:noWrap w:val="0"/>
            <w:vAlign w:val="center"/>
          </w:tcPr>
          <w:p w14:paraId="03D1A68C">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r>
      <w:tr w14:paraId="1465B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8" w:type="dxa"/>
            <w:vMerge w:val="restart"/>
            <w:noWrap w:val="0"/>
            <w:vAlign w:val="center"/>
          </w:tcPr>
          <w:p w14:paraId="59D9230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固体废物数量</w:t>
            </w:r>
          </w:p>
        </w:tc>
        <w:tc>
          <w:tcPr>
            <w:tcW w:w="5532" w:type="dxa"/>
            <w:noWrap w:val="0"/>
            <w:vAlign w:val="center"/>
          </w:tcPr>
          <w:p w14:paraId="20F47EDE">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不足0.5 吨</w:t>
            </w:r>
          </w:p>
        </w:tc>
        <w:tc>
          <w:tcPr>
            <w:tcW w:w="1272" w:type="dxa"/>
            <w:noWrap w:val="0"/>
            <w:vAlign w:val="center"/>
          </w:tcPr>
          <w:p w14:paraId="12DD968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6D297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8" w:type="dxa"/>
            <w:vMerge w:val="continue"/>
            <w:noWrap w:val="0"/>
            <w:vAlign w:val="center"/>
          </w:tcPr>
          <w:p w14:paraId="322D285A">
            <w:pPr>
              <w:rPr>
                <w:rFonts w:hint="eastAsia" w:ascii="宋体" w:hAnsi="宋体" w:eastAsia="宋体" w:cs="宋体"/>
                <w:color w:val="auto"/>
                <w:sz w:val="21"/>
                <w:szCs w:val="21"/>
                <w:highlight w:val="none"/>
              </w:rPr>
            </w:pPr>
          </w:p>
        </w:tc>
        <w:tc>
          <w:tcPr>
            <w:tcW w:w="5532" w:type="dxa"/>
            <w:noWrap w:val="0"/>
            <w:vAlign w:val="center"/>
          </w:tcPr>
          <w:p w14:paraId="1212F6A1">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0.5 吨以上不足 1吨</w:t>
            </w:r>
          </w:p>
        </w:tc>
        <w:tc>
          <w:tcPr>
            <w:tcW w:w="1272" w:type="dxa"/>
            <w:noWrap w:val="0"/>
            <w:vAlign w:val="center"/>
          </w:tcPr>
          <w:p w14:paraId="4B02385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r>
      <w:tr w14:paraId="27860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8" w:type="dxa"/>
            <w:vMerge w:val="continue"/>
            <w:noWrap w:val="0"/>
            <w:vAlign w:val="center"/>
          </w:tcPr>
          <w:p w14:paraId="747D07DE">
            <w:pPr>
              <w:rPr>
                <w:rFonts w:hint="eastAsia" w:ascii="宋体" w:hAnsi="宋体" w:eastAsia="宋体" w:cs="宋体"/>
                <w:color w:val="auto"/>
                <w:sz w:val="21"/>
                <w:szCs w:val="21"/>
                <w:highlight w:val="none"/>
              </w:rPr>
            </w:pPr>
          </w:p>
        </w:tc>
        <w:tc>
          <w:tcPr>
            <w:tcW w:w="5532" w:type="dxa"/>
            <w:noWrap w:val="0"/>
            <w:vAlign w:val="center"/>
          </w:tcPr>
          <w:p w14:paraId="5D3A8837">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1吨以上不足2 吨</w:t>
            </w:r>
          </w:p>
        </w:tc>
        <w:tc>
          <w:tcPr>
            <w:tcW w:w="1272" w:type="dxa"/>
            <w:noWrap w:val="0"/>
            <w:vAlign w:val="center"/>
          </w:tcPr>
          <w:p w14:paraId="4CE5A7C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6B2AB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8" w:type="dxa"/>
            <w:vMerge w:val="continue"/>
            <w:noWrap w:val="0"/>
            <w:vAlign w:val="center"/>
          </w:tcPr>
          <w:p w14:paraId="6307333A">
            <w:pPr>
              <w:rPr>
                <w:rFonts w:hint="eastAsia" w:ascii="宋体" w:hAnsi="宋体" w:eastAsia="宋体" w:cs="宋体"/>
                <w:color w:val="auto"/>
                <w:sz w:val="21"/>
                <w:szCs w:val="21"/>
                <w:highlight w:val="none"/>
              </w:rPr>
            </w:pPr>
          </w:p>
        </w:tc>
        <w:tc>
          <w:tcPr>
            <w:tcW w:w="5532" w:type="dxa"/>
            <w:noWrap w:val="0"/>
            <w:vAlign w:val="center"/>
          </w:tcPr>
          <w:p w14:paraId="1691A75B">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吨以上不足</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 xml:space="preserve"> 吨</w:t>
            </w:r>
          </w:p>
        </w:tc>
        <w:tc>
          <w:tcPr>
            <w:tcW w:w="1272" w:type="dxa"/>
            <w:noWrap w:val="0"/>
            <w:vAlign w:val="center"/>
          </w:tcPr>
          <w:p w14:paraId="2091EE4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r>
      <w:tr w14:paraId="54A7C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8" w:type="dxa"/>
            <w:vMerge w:val="continue"/>
            <w:noWrap w:val="0"/>
            <w:vAlign w:val="center"/>
          </w:tcPr>
          <w:p w14:paraId="639BB484">
            <w:pPr>
              <w:rPr>
                <w:rFonts w:hint="eastAsia" w:ascii="宋体" w:hAnsi="宋体" w:eastAsia="宋体" w:cs="宋体"/>
                <w:color w:val="auto"/>
                <w:sz w:val="21"/>
                <w:szCs w:val="21"/>
                <w:highlight w:val="none"/>
              </w:rPr>
            </w:pPr>
          </w:p>
        </w:tc>
        <w:tc>
          <w:tcPr>
            <w:tcW w:w="5532" w:type="dxa"/>
            <w:noWrap w:val="0"/>
            <w:vAlign w:val="center"/>
          </w:tcPr>
          <w:p w14:paraId="607698DB">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 xml:space="preserve"> 吨以上</w:t>
            </w:r>
          </w:p>
        </w:tc>
        <w:tc>
          <w:tcPr>
            <w:tcW w:w="1272" w:type="dxa"/>
            <w:noWrap w:val="0"/>
            <w:vAlign w:val="center"/>
          </w:tcPr>
          <w:p w14:paraId="0C275F6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586A9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8" w:type="dxa"/>
            <w:vMerge w:val="restart"/>
            <w:noWrap w:val="0"/>
            <w:vAlign w:val="center"/>
          </w:tcPr>
          <w:p w14:paraId="77C20936">
            <w:pPr>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eastAsia="zh-CN"/>
              </w:rPr>
              <w:t>违法行为地点</w:t>
            </w:r>
          </w:p>
        </w:tc>
        <w:tc>
          <w:tcPr>
            <w:tcW w:w="5532" w:type="dxa"/>
            <w:noWrap w:val="0"/>
            <w:vAlign w:val="top"/>
          </w:tcPr>
          <w:p w14:paraId="191F0368">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第四类海水水质的区域</w:t>
            </w:r>
          </w:p>
        </w:tc>
        <w:tc>
          <w:tcPr>
            <w:tcW w:w="1272" w:type="dxa"/>
            <w:noWrap w:val="0"/>
            <w:vAlign w:val="center"/>
          </w:tcPr>
          <w:p w14:paraId="044576A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2313F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8" w:type="dxa"/>
            <w:vMerge w:val="continue"/>
            <w:noWrap w:val="0"/>
            <w:vAlign w:val="center"/>
          </w:tcPr>
          <w:p w14:paraId="60AD3ABB">
            <w:pPr>
              <w:rPr>
                <w:rFonts w:hint="eastAsia" w:ascii="宋体" w:hAnsi="宋体" w:eastAsia="宋体" w:cs="宋体"/>
                <w:color w:val="auto"/>
                <w:sz w:val="21"/>
                <w:szCs w:val="21"/>
                <w:highlight w:val="none"/>
                <w:lang w:val="en-US" w:eastAsia="zh-CN"/>
              </w:rPr>
            </w:pPr>
          </w:p>
        </w:tc>
        <w:tc>
          <w:tcPr>
            <w:tcW w:w="5532" w:type="dxa"/>
            <w:noWrap w:val="0"/>
            <w:vAlign w:val="top"/>
          </w:tcPr>
          <w:p w14:paraId="65020FDE">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第三类海水水质的区域</w:t>
            </w:r>
          </w:p>
        </w:tc>
        <w:tc>
          <w:tcPr>
            <w:tcW w:w="1272" w:type="dxa"/>
            <w:noWrap w:val="0"/>
            <w:vAlign w:val="center"/>
          </w:tcPr>
          <w:p w14:paraId="003C05C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r>
      <w:tr w14:paraId="2160D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8" w:type="dxa"/>
            <w:vMerge w:val="continue"/>
            <w:noWrap w:val="0"/>
            <w:vAlign w:val="center"/>
          </w:tcPr>
          <w:p w14:paraId="41CECF03">
            <w:pPr>
              <w:rPr>
                <w:rFonts w:hint="eastAsia" w:ascii="宋体" w:hAnsi="宋体" w:eastAsia="宋体" w:cs="宋体"/>
                <w:color w:val="auto"/>
                <w:sz w:val="21"/>
                <w:szCs w:val="21"/>
                <w:highlight w:val="none"/>
                <w:lang w:val="en-US" w:eastAsia="zh-CN"/>
              </w:rPr>
            </w:pPr>
          </w:p>
        </w:tc>
        <w:tc>
          <w:tcPr>
            <w:tcW w:w="5532" w:type="dxa"/>
            <w:noWrap w:val="0"/>
            <w:vAlign w:val="top"/>
          </w:tcPr>
          <w:p w14:paraId="4F994976">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第二类海水水质的区域</w:t>
            </w:r>
          </w:p>
        </w:tc>
        <w:tc>
          <w:tcPr>
            <w:tcW w:w="1272" w:type="dxa"/>
            <w:noWrap w:val="0"/>
            <w:vAlign w:val="center"/>
          </w:tcPr>
          <w:p w14:paraId="30D9B24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p>
        </w:tc>
      </w:tr>
      <w:tr w14:paraId="40C64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8" w:type="dxa"/>
            <w:vMerge w:val="continue"/>
            <w:noWrap w:val="0"/>
            <w:vAlign w:val="center"/>
          </w:tcPr>
          <w:p w14:paraId="540B7C53">
            <w:pPr>
              <w:rPr>
                <w:rFonts w:hint="eastAsia" w:ascii="宋体" w:hAnsi="宋体" w:eastAsia="宋体" w:cs="宋体"/>
                <w:color w:val="auto"/>
                <w:sz w:val="21"/>
                <w:szCs w:val="21"/>
                <w:highlight w:val="none"/>
                <w:lang w:val="en-US" w:eastAsia="zh-CN"/>
              </w:rPr>
            </w:pPr>
          </w:p>
        </w:tc>
        <w:tc>
          <w:tcPr>
            <w:tcW w:w="5532" w:type="dxa"/>
            <w:noWrap w:val="0"/>
            <w:vAlign w:val="top"/>
          </w:tcPr>
          <w:p w14:paraId="4C10F065">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第一类海水水质的区域</w:t>
            </w:r>
          </w:p>
        </w:tc>
        <w:tc>
          <w:tcPr>
            <w:tcW w:w="1272" w:type="dxa"/>
            <w:noWrap w:val="0"/>
            <w:vAlign w:val="center"/>
          </w:tcPr>
          <w:p w14:paraId="51D9F37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bl>
    <w:p w14:paraId="3BA066B5">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3"/>
        <w:gridCol w:w="5652"/>
        <w:gridCol w:w="1493"/>
      </w:tblGrid>
      <w:tr w14:paraId="37AAC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3"/>
            <w:noWrap w:val="0"/>
            <w:vAlign w:val="center"/>
          </w:tcPr>
          <w:p w14:paraId="5A3A531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六</w:t>
            </w:r>
            <w:r>
              <w:rPr>
                <w:rFonts w:hint="eastAsia" w:ascii="宋体" w:hAnsi="宋体" w:eastAsia="宋体" w:cs="宋体"/>
                <w:color w:val="auto"/>
                <w:sz w:val="21"/>
                <w:szCs w:val="21"/>
                <w:highlight w:val="none"/>
              </w:rPr>
              <w:t>）海洋污染防治类</w:t>
            </w:r>
          </w:p>
        </w:tc>
      </w:tr>
      <w:tr w14:paraId="1463E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7" w:type="dxa"/>
            <w:noWrap w:val="0"/>
            <w:vAlign w:val="center"/>
          </w:tcPr>
          <w:p w14:paraId="423CC5D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805" w:type="dxa"/>
            <w:gridSpan w:val="2"/>
            <w:noWrap w:val="0"/>
            <w:vAlign w:val="center"/>
          </w:tcPr>
          <w:p w14:paraId="31A81F47">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w:t>
            </w:r>
          </w:p>
        </w:tc>
      </w:tr>
      <w:tr w14:paraId="4251B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7" w:type="dxa"/>
            <w:noWrap w:val="0"/>
            <w:vAlign w:val="center"/>
          </w:tcPr>
          <w:p w14:paraId="0B5B464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6805" w:type="dxa"/>
            <w:gridSpan w:val="2"/>
            <w:noWrap w:val="0"/>
            <w:vAlign w:val="center"/>
          </w:tcPr>
          <w:p w14:paraId="7685742F">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使用含超标放射性物质或者易溶出有毒有害物质的材料</w:t>
            </w:r>
            <w:r>
              <w:rPr>
                <w:rFonts w:hint="eastAsia" w:ascii="宋体" w:hAnsi="宋体" w:eastAsia="宋体" w:cs="宋体"/>
                <w:color w:val="auto"/>
                <w:sz w:val="21"/>
                <w:szCs w:val="21"/>
                <w:highlight w:val="none"/>
                <w:lang w:val="en-US" w:eastAsia="zh-CN"/>
              </w:rPr>
              <w:t>的</w:t>
            </w:r>
          </w:p>
        </w:tc>
      </w:tr>
      <w:tr w14:paraId="61886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7" w:type="dxa"/>
            <w:noWrap w:val="0"/>
            <w:vAlign w:val="center"/>
          </w:tcPr>
          <w:p w14:paraId="47F5DD1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6805" w:type="dxa"/>
            <w:gridSpan w:val="2"/>
            <w:noWrap w:val="0"/>
            <w:vAlign w:val="center"/>
          </w:tcPr>
          <w:p w14:paraId="4E0CBFB3">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《中华人民共和国生态环境法典》</w:t>
            </w:r>
            <w:r>
              <w:rPr>
                <w:rFonts w:hint="eastAsia" w:ascii="宋体" w:hAnsi="宋体" w:eastAsia="宋体" w:cs="宋体"/>
                <w:color w:val="auto"/>
                <w:sz w:val="21"/>
                <w:szCs w:val="21"/>
                <w:highlight w:val="none"/>
              </w:rPr>
              <w:t>第三百六十五条　海岸工程和海洋工程建设项目不得使用含超标放射性物质或者易溶出有毒有害物质的材料；不得造成领海基点及其周边环境的侵蚀、淤积、损害，不得危及领海基点的稳定</w:t>
            </w:r>
          </w:p>
        </w:tc>
      </w:tr>
      <w:tr w14:paraId="243E6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7" w:type="dxa"/>
            <w:noWrap w:val="0"/>
            <w:vAlign w:val="center"/>
          </w:tcPr>
          <w:p w14:paraId="0B0B078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6805" w:type="dxa"/>
            <w:gridSpan w:val="2"/>
            <w:noWrap w:val="0"/>
            <w:vAlign w:val="center"/>
          </w:tcPr>
          <w:p w14:paraId="5F842435">
            <w:pPr>
              <w:ind w:firstLine="420" w:firstLineChars="200"/>
              <w:rPr>
                <w:rFonts w:hint="eastAsia" w:ascii="宋体" w:hAnsi="宋体" w:eastAsia="宋体" w:cs="宋体"/>
                <w:strike/>
                <w:dstrike w:val="0"/>
                <w:color w:val="C00000"/>
                <w:sz w:val="21"/>
                <w:szCs w:val="21"/>
                <w:highlight w:val="none"/>
              </w:rPr>
            </w:pPr>
          </w:p>
          <w:p w14:paraId="60608632">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《中华人民共和国生态环境法典》</w:t>
            </w:r>
            <w:r>
              <w:rPr>
                <w:rFonts w:hint="eastAsia" w:ascii="宋体" w:hAnsi="宋体" w:eastAsia="宋体" w:cs="宋体"/>
                <w:color w:val="auto"/>
                <w:sz w:val="21"/>
                <w:szCs w:val="21"/>
                <w:highlight w:val="none"/>
              </w:rPr>
              <w:t>第一千一百五十条</w:t>
            </w:r>
            <w:r>
              <w:rPr>
                <w:rFonts w:hint="eastAsia" w:ascii="宋体" w:hAnsi="宋体" w:eastAsia="宋体" w:cs="宋体"/>
                <w:color w:val="auto"/>
                <w:sz w:val="21"/>
                <w:szCs w:val="21"/>
                <w:highlight w:val="none"/>
                <w:lang w:val="en-US" w:eastAsia="zh-CN"/>
              </w:rPr>
              <w:t>第一项</w:t>
            </w:r>
            <w:r>
              <w:rPr>
                <w:rFonts w:hint="eastAsia" w:ascii="宋体" w:hAnsi="宋体" w:eastAsia="宋体" w:cs="宋体"/>
                <w:color w:val="auto"/>
                <w:sz w:val="21"/>
                <w:szCs w:val="21"/>
                <w:highlight w:val="none"/>
              </w:rPr>
              <w:t xml:space="preserve"> 违反本法规定，海岸工程和海洋工程建设项目有下列情形之一的，由负有生态环境保护监督管理职责的部门、机构按照职责分工责令停止违法行为、消除危害，处二十万元以上一百万元以下的罚款</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w:t>
            </w:r>
          </w:p>
          <w:p w14:paraId="6212A2BE">
            <w:pPr>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一</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使用含超标放射性物质或者易溶出有毒有害物质的材料；</w:t>
            </w:r>
          </w:p>
        </w:tc>
      </w:tr>
      <w:tr w14:paraId="07E42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7" w:type="dxa"/>
            <w:noWrap w:val="0"/>
            <w:vAlign w:val="center"/>
          </w:tcPr>
          <w:p w14:paraId="0A18FFA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383" w:type="dxa"/>
            <w:noWrap w:val="0"/>
            <w:vAlign w:val="center"/>
          </w:tcPr>
          <w:p w14:paraId="305B9E3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422" w:type="dxa"/>
            <w:noWrap w:val="0"/>
            <w:vAlign w:val="center"/>
          </w:tcPr>
          <w:p w14:paraId="1E3E10B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46B7D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7" w:type="dxa"/>
            <w:vMerge w:val="restart"/>
            <w:noWrap w:val="0"/>
            <w:vAlign w:val="center"/>
          </w:tcPr>
          <w:p w14:paraId="184FF455">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材料使用量</w:t>
            </w:r>
          </w:p>
        </w:tc>
        <w:tc>
          <w:tcPr>
            <w:tcW w:w="5383" w:type="dxa"/>
            <w:noWrap w:val="0"/>
            <w:vAlign w:val="center"/>
          </w:tcPr>
          <w:p w14:paraId="27C74FFB">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不足5吨</w:t>
            </w:r>
          </w:p>
        </w:tc>
        <w:tc>
          <w:tcPr>
            <w:tcW w:w="1422" w:type="dxa"/>
            <w:noWrap w:val="0"/>
            <w:vAlign w:val="center"/>
          </w:tcPr>
          <w:p w14:paraId="4F2C1AF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5321E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7" w:type="dxa"/>
            <w:vMerge w:val="continue"/>
            <w:noWrap w:val="0"/>
            <w:vAlign w:val="center"/>
          </w:tcPr>
          <w:p w14:paraId="46C80B01">
            <w:pPr>
              <w:rPr>
                <w:rFonts w:hint="eastAsia" w:ascii="宋体" w:hAnsi="宋体" w:eastAsia="宋体" w:cs="宋体"/>
                <w:color w:val="auto"/>
                <w:sz w:val="21"/>
                <w:szCs w:val="21"/>
                <w:highlight w:val="none"/>
              </w:rPr>
            </w:pPr>
          </w:p>
        </w:tc>
        <w:tc>
          <w:tcPr>
            <w:tcW w:w="5383" w:type="dxa"/>
            <w:noWrap w:val="0"/>
            <w:vAlign w:val="center"/>
          </w:tcPr>
          <w:p w14:paraId="4670BD99">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 吨以上不足</w:t>
            </w: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吨</w:t>
            </w:r>
          </w:p>
        </w:tc>
        <w:tc>
          <w:tcPr>
            <w:tcW w:w="1422" w:type="dxa"/>
            <w:noWrap w:val="0"/>
            <w:vAlign w:val="center"/>
          </w:tcPr>
          <w:p w14:paraId="5DF3A19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r>
      <w:tr w14:paraId="08CBD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7" w:type="dxa"/>
            <w:vMerge w:val="continue"/>
            <w:noWrap w:val="0"/>
            <w:vAlign w:val="center"/>
          </w:tcPr>
          <w:p w14:paraId="71E8639C">
            <w:pPr>
              <w:rPr>
                <w:rFonts w:hint="eastAsia" w:ascii="宋体" w:hAnsi="宋体" w:eastAsia="宋体" w:cs="宋体"/>
                <w:color w:val="auto"/>
                <w:sz w:val="21"/>
                <w:szCs w:val="21"/>
                <w:highlight w:val="none"/>
              </w:rPr>
            </w:pPr>
          </w:p>
        </w:tc>
        <w:tc>
          <w:tcPr>
            <w:tcW w:w="5383" w:type="dxa"/>
            <w:noWrap w:val="0"/>
            <w:vAlign w:val="center"/>
          </w:tcPr>
          <w:p w14:paraId="77520614">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rPr>
              <w:t>吨以上不足</w:t>
            </w:r>
            <w:r>
              <w:rPr>
                <w:rFonts w:hint="eastAsia" w:ascii="宋体" w:hAnsi="宋体" w:eastAsia="宋体" w:cs="宋体"/>
                <w:color w:val="auto"/>
                <w:sz w:val="21"/>
                <w:szCs w:val="21"/>
                <w:highlight w:val="none"/>
                <w:lang w:val="en-US" w:eastAsia="zh-CN"/>
              </w:rPr>
              <w:t>20</w:t>
            </w:r>
            <w:r>
              <w:rPr>
                <w:rFonts w:hint="eastAsia" w:ascii="宋体" w:hAnsi="宋体" w:eastAsia="宋体" w:cs="宋体"/>
                <w:color w:val="auto"/>
                <w:sz w:val="21"/>
                <w:szCs w:val="21"/>
                <w:highlight w:val="none"/>
              </w:rPr>
              <w:t>吨</w:t>
            </w:r>
          </w:p>
        </w:tc>
        <w:tc>
          <w:tcPr>
            <w:tcW w:w="1422" w:type="dxa"/>
            <w:noWrap w:val="0"/>
            <w:vAlign w:val="center"/>
          </w:tcPr>
          <w:p w14:paraId="651D874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1F5CA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7" w:type="dxa"/>
            <w:vMerge w:val="continue"/>
            <w:noWrap w:val="0"/>
            <w:vAlign w:val="center"/>
          </w:tcPr>
          <w:p w14:paraId="2CE0F75C">
            <w:pPr>
              <w:rPr>
                <w:rFonts w:hint="eastAsia" w:ascii="宋体" w:hAnsi="宋体" w:eastAsia="宋体" w:cs="宋体"/>
                <w:color w:val="auto"/>
                <w:sz w:val="21"/>
                <w:szCs w:val="21"/>
                <w:highlight w:val="none"/>
              </w:rPr>
            </w:pPr>
          </w:p>
        </w:tc>
        <w:tc>
          <w:tcPr>
            <w:tcW w:w="5383" w:type="dxa"/>
            <w:noWrap w:val="0"/>
            <w:vAlign w:val="center"/>
          </w:tcPr>
          <w:p w14:paraId="40458476">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rPr>
              <w:t>吨以上不足</w:t>
            </w:r>
            <w:r>
              <w:rPr>
                <w:rFonts w:hint="eastAsia" w:ascii="宋体" w:hAnsi="宋体" w:eastAsia="宋体" w:cs="宋体"/>
                <w:color w:val="auto"/>
                <w:sz w:val="21"/>
                <w:szCs w:val="21"/>
                <w:highlight w:val="none"/>
                <w:lang w:val="en-US" w:eastAsia="zh-CN"/>
              </w:rPr>
              <w:t>50</w:t>
            </w:r>
            <w:r>
              <w:rPr>
                <w:rFonts w:hint="eastAsia" w:ascii="宋体" w:hAnsi="宋体" w:eastAsia="宋体" w:cs="宋体"/>
                <w:color w:val="auto"/>
                <w:sz w:val="21"/>
                <w:szCs w:val="21"/>
                <w:highlight w:val="none"/>
              </w:rPr>
              <w:t>吨</w:t>
            </w:r>
          </w:p>
        </w:tc>
        <w:tc>
          <w:tcPr>
            <w:tcW w:w="1422" w:type="dxa"/>
            <w:noWrap w:val="0"/>
            <w:vAlign w:val="center"/>
          </w:tcPr>
          <w:p w14:paraId="623C721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r>
      <w:tr w14:paraId="1B4D7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7" w:type="dxa"/>
            <w:vMerge w:val="continue"/>
            <w:noWrap w:val="0"/>
            <w:vAlign w:val="center"/>
          </w:tcPr>
          <w:p w14:paraId="508DF2B9">
            <w:pPr>
              <w:rPr>
                <w:rFonts w:hint="eastAsia" w:ascii="宋体" w:hAnsi="宋体" w:eastAsia="宋体" w:cs="宋体"/>
                <w:color w:val="auto"/>
                <w:sz w:val="21"/>
                <w:szCs w:val="21"/>
                <w:highlight w:val="none"/>
              </w:rPr>
            </w:pPr>
          </w:p>
        </w:tc>
        <w:tc>
          <w:tcPr>
            <w:tcW w:w="5383" w:type="dxa"/>
            <w:noWrap w:val="0"/>
            <w:vAlign w:val="center"/>
          </w:tcPr>
          <w:p w14:paraId="07268D10">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rPr>
              <w:t>吨以上</w:t>
            </w:r>
          </w:p>
        </w:tc>
        <w:tc>
          <w:tcPr>
            <w:tcW w:w="1422" w:type="dxa"/>
            <w:noWrap w:val="0"/>
            <w:vAlign w:val="center"/>
          </w:tcPr>
          <w:p w14:paraId="0F8E9DAE">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r>
      <w:tr w14:paraId="251D6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7" w:type="dxa"/>
            <w:vMerge w:val="restart"/>
            <w:noWrap w:val="0"/>
            <w:vAlign w:val="center"/>
          </w:tcPr>
          <w:p w14:paraId="1C85AB74">
            <w:pPr>
              <w:jc w:val="center"/>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违法行为地点</w:t>
            </w:r>
          </w:p>
        </w:tc>
        <w:tc>
          <w:tcPr>
            <w:tcW w:w="5383" w:type="dxa"/>
            <w:noWrap w:val="0"/>
            <w:vAlign w:val="top"/>
          </w:tcPr>
          <w:p w14:paraId="1F1DF231">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第四类海水水质的区域</w:t>
            </w:r>
          </w:p>
        </w:tc>
        <w:tc>
          <w:tcPr>
            <w:tcW w:w="1422" w:type="dxa"/>
            <w:noWrap w:val="0"/>
            <w:vAlign w:val="center"/>
          </w:tcPr>
          <w:p w14:paraId="3A56C63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06F49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7" w:type="dxa"/>
            <w:vMerge w:val="continue"/>
            <w:noWrap w:val="0"/>
            <w:vAlign w:val="center"/>
          </w:tcPr>
          <w:p w14:paraId="57570189">
            <w:pPr>
              <w:rPr>
                <w:rFonts w:hint="eastAsia" w:ascii="宋体" w:hAnsi="宋体" w:eastAsia="宋体" w:cs="宋体"/>
                <w:color w:val="auto"/>
                <w:sz w:val="21"/>
                <w:szCs w:val="21"/>
                <w:highlight w:val="none"/>
              </w:rPr>
            </w:pPr>
          </w:p>
        </w:tc>
        <w:tc>
          <w:tcPr>
            <w:tcW w:w="5383" w:type="dxa"/>
            <w:noWrap w:val="0"/>
            <w:vAlign w:val="top"/>
          </w:tcPr>
          <w:p w14:paraId="2CFC4844">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第三类海水水质的区域</w:t>
            </w:r>
          </w:p>
        </w:tc>
        <w:tc>
          <w:tcPr>
            <w:tcW w:w="1422" w:type="dxa"/>
            <w:noWrap w:val="0"/>
            <w:vAlign w:val="center"/>
          </w:tcPr>
          <w:p w14:paraId="260CB32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r>
      <w:tr w14:paraId="4AD2E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7" w:type="dxa"/>
            <w:vMerge w:val="continue"/>
            <w:noWrap w:val="0"/>
            <w:vAlign w:val="center"/>
          </w:tcPr>
          <w:p w14:paraId="01B3CA4D">
            <w:pPr>
              <w:rPr>
                <w:rFonts w:hint="eastAsia" w:ascii="宋体" w:hAnsi="宋体" w:eastAsia="宋体" w:cs="宋体"/>
                <w:color w:val="auto"/>
                <w:sz w:val="21"/>
                <w:szCs w:val="21"/>
                <w:highlight w:val="none"/>
              </w:rPr>
            </w:pPr>
          </w:p>
        </w:tc>
        <w:tc>
          <w:tcPr>
            <w:tcW w:w="5383" w:type="dxa"/>
            <w:noWrap w:val="0"/>
            <w:vAlign w:val="top"/>
          </w:tcPr>
          <w:p w14:paraId="23216040">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第二类海水水质的区域</w:t>
            </w:r>
          </w:p>
        </w:tc>
        <w:tc>
          <w:tcPr>
            <w:tcW w:w="1422" w:type="dxa"/>
            <w:noWrap w:val="0"/>
            <w:vAlign w:val="center"/>
          </w:tcPr>
          <w:p w14:paraId="2B11E6A8">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4</w:t>
            </w:r>
          </w:p>
        </w:tc>
      </w:tr>
      <w:tr w14:paraId="39425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7" w:type="dxa"/>
            <w:vMerge w:val="continue"/>
            <w:noWrap w:val="0"/>
            <w:vAlign w:val="center"/>
          </w:tcPr>
          <w:p w14:paraId="6EE5DF7E">
            <w:pPr>
              <w:rPr>
                <w:rFonts w:hint="eastAsia" w:ascii="宋体" w:hAnsi="宋体" w:eastAsia="宋体" w:cs="宋体"/>
                <w:color w:val="auto"/>
                <w:sz w:val="21"/>
                <w:szCs w:val="21"/>
                <w:highlight w:val="none"/>
              </w:rPr>
            </w:pPr>
          </w:p>
        </w:tc>
        <w:tc>
          <w:tcPr>
            <w:tcW w:w="5383" w:type="dxa"/>
            <w:noWrap w:val="0"/>
            <w:vAlign w:val="top"/>
          </w:tcPr>
          <w:p w14:paraId="3A6FFEDD">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第一类海水水质的区域</w:t>
            </w:r>
          </w:p>
        </w:tc>
        <w:tc>
          <w:tcPr>
            <w:tcW w:w="1422" w:type="dxa"/>
            <w:noWrap w:val="0"/>
            <w:vAlign w:val="center"/>
          </w:tcPr>
          <w:p w14:paraId="40A2213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bl>
    <w:p w14:paraId="6D157057">
      <w:pPr>
        <w:rPr>
          <w:rFonts w:hint="eastAsia" w:ascii="宋体" w:hAnsi="宋体" w:eastAsia="宋体" w:cs="宋体"/>
          <w:sz w:val="21"/>
          <w:szCs w:val="21"/>
          <w:highlight w:val="none"/>
        </w:rPr>
      </w:pPr>
    </w:p>
    <w:p w14:paraId="3EC0D241">
      <w:pPr>
        <w:rPr>
          <w:highlight w:val="none"/>
        </w:rPr>
      </w:pPr>
    </w:p>
    <w:p w14:paraId="174A9D49">
      <w:pPr>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br w:type="page"/>
      </w:r>
    </w:p>
    <w:p w14:paraId="367159B0">
      <w:pPr>
        <w:pStyle w:val="3"/>
        <w:keepNext/>
        <w:keepLines/>
        <w:pageBreakBefore w:val="0"/>
        <w:widowControl w:val="0"/>
        <w:kinsoku/>
        <w:wordWrap/>
        <w:overflowPunct/>
        <w:topLinePunct w:val="0"/>
        <w:autoSpaceDE/>
        <w:autoSpaceDN/>
        <w:bidi w:val="0"/>
        <w:adjustRightInd w:val="0"/>
        <w:snapToGrid w:val="0"/>
        <w:spacing w:after="0" w:afterLines="0" w:line="360" w:lineRule="auto"/>
        <w:textAlignment w:val="auto"/>
        <w:rPr>
          <w:rFonts w:hint="eastAsia" w:ascii="楷体_GB2312" w:hAnsi="楷体_GB2312" w:eastAsia="楷体_GB2312" w:cs="楷体_GB2312"/>
          <w:color w:val="auto"/>
          <w:sz w:val="28"/>
          <w:szCs w:val="28"/>
          <w:highlight w:val="none"/>
          <w:lang w:val="en-US" w:eastAsia="zh-CN"/>
        </w:rPr>
      </w:pPr>
      <w:r>
        <w:rPr>
          <w:rFonts w:hint="eastAsia" w:ascii="楷体_GB2312" w:hAnsi="楷体_GB2312" w:eastAsia="楷体_GB2312" w:cs="楷体_GB2312"/>
          <w:color w:val="auto"/>
          <w:sz w:val="28"/>
          <w:szCs w:val="28"/>
          <w:highlight w:val="none"/>
          <w:lang w:val="en-US" w:eastAsia="zh-CN"/>
        </w:rPr>
        <w:t>（七）土壤污染防治类</w:t>
      </w:r>
    </w:p>
    <w:p w14:paraId="79442DD0">
      <w:pPr>
        <w:rPr>
          <w:rFonts w:hint="eastAsia"/>
          <w:lang w:val="en-US" w:eastAsia="zh-CN"/>
        </w:rPr>
      </w:pPr>
    </w:p>
    <w:p w14:paraId="6B41CD1C">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1.</w:t>
      </w:r>
      <w:r>
        <w:rPr>
          <w:rFonts w:hint="eastAsia" w:ascii="宋体" w:hAnsi="Times New Roman" w:cs="Times New Roman"/>
          <w:color w:val="auto"/>
          <w:kern w:val="0"/>
          <w:sz w:val="24"/>
        </w:rPr>
        <w:t>土壤污染重点监管单位未建立并实施土壤、地下水污染隐患排查整治制度的</w:t>
      </w:r>
      <w:r>
        <w:rPr>
          <w:rFonts w:hint="eastAsia" w:ascii="宋体" w:hAnsi="Times New Roman" w:cs="Times New Roman"/>
          <w:color w:val="auto"/>
          <w:kern w:val="0"/>
          <w:sz w:val="24"/>
          <w:lang w:eastAsia="zh-CN"/>
        </w:rPr>
        <w:t>；</w:t>
      </w:r>
    </w:p>
    <w:p w14:paraId="1AE11272">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2.土壤污染重点监管单位拆除设施、设备或者建筑物、构筑物未制定并实施土壤污染防治工作方案的；</w:t>
      </w:r>
    </w:p>
    <w:p w14:paraId="161CFB50">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3.拆除设施、设备或者建筑物、构筑物未采取土壤污染防治措施的；</w:t>
      </w:r>
    </w:p>
    <w:p w14:paraId="502564D9">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4-1.尾矿库运营、管理单位未按照规定采取有效措施防止土壤污染，未针对风险隐患采取相应措施的；</w:t>
      </w:r>
    </w:p>
    <w:p w14:paraId="2297B200">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4-2.需要重点监管的尾矿库的运营、管理单位未进行土壤污染状况监测或者定期评估的；</w:t>
      </w:r>
    </w:p>
    <w:p w14:paraId="2D390FBE">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5.向农用地排放重金属或者其他有毒有害物质含量超标的污水、污泥，以及可能造成土壤污染的清淤底泥、尾矿、矿渣等的；</w:t>
      </w:r>
    </w:p>
    <w:p w14:paraId="77765D8E">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6.在土壤中使用重金属含量超标的降阻产品的；</w:t>
      </w:r>
    </w:p>
    <w:p w14:paraId="7AC8968F">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7.未单独收集、存放开发建设过程中剥离的表土的；</w:t>
      </w:r>
    </w:p>
    <w:p w14:paraId="60EC77A6">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8.实施风险管控、修复活动未对产生的污染物采取处理、处置措施，或者对土壤、周边环境造成新的污染的；</w:t>
      </w:r>
    </w:p>
    <w:p w14:paraId="3EC1D27E">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9.转运的污染土壤属于危险废物的，修复施工单位未依法进行处置的；</w:t>
      </w:r>
    </w:p>
    <w:p w14:paraId="6F22BC10">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10.转运污染土壤，未将运输时间、方式、线路和污染土壤数量、去向、最终处置措施等提前报所在地和接受地生态环境主管部门的；</w:t>
      </w:r>
    </w:p>
    <w:p w14:paraId="7AA0F4B3">
      <w:pPr>
        <w:widowControl w:val="0"/>
        <w:adjustRightInd w:val="0"/>
        <w:snapToGrid w:val="0"/>
        <w:spacing w:line="360" w:lineRule="auto"/>
        <w:ind w:firstLine="480" w:firstLineChars="200"/>
        <w:jc w:val="both"/>
        <w:rPr>
          <w:rFonts w:hint="default"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11.在永久基本农田集中区域新建可能造成土壤污染的建设项目的；</w:t>
      </w:r>
    </w:p>
    <w:p w14:paraId="3B86BA7C">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12.将重金属或者其他有毒有害物质含量超标的工业固体废物、生活垃圾或者污染土壤用于土地复垦的；</w:t>
      </w:r>
    </w:p>
    <w:p w14:paraId="54669109">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13.土壤污染责任人或者土地使用权人未按照要求实施后期管理的；</w:t>
      </w:r>
    </w:p>
    <w:p w14:paraId="78F57F13">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14.对土壤污染状况普查、详查和监测、现场检查表明有土壤污染风险的建设用地地块，用途变更为居住、公共管理与公共服务用地的地块等，未进行土壤污染状况调查的；</w:t>
      </w:r>
    </w:p>
    <w:p w14:paraId="39C966EE">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15.土壤污染重点监管单位生产经营用地的用途变更或者在土地使用权收回、转让前，未进行土壤污染状况调查的；</w:t>
      </w:r>
    </w:p>
    <w:p w14:paraId="6725D1AC">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16.对土壤污染状况调查报告评审表明污染物含量超过土壤污染风险管控标准的建设用地地块等，未进行土壤污染风险评估的；</w:t>
      </w:r>
    </w:p>
    <w:p w14:paraId="6B5F5FE0">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17.对建设用地土壤污染风险管控和修复名录中的地块等，未采取相应风险管控措施的；</w:t>
      </w:r>
    </w:p>
    <w:p w14:paraId="112D9157">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18.未按照规定实施修复的；</w:t>
      </w:r>
    </w:p>
    <w:p w14:paraId="0462D6A5">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19.风险管控、修复活动完成后，未另行委托有关单位对风险管控效果、修复效果进行评估的；</w:t>
      </w:r>
    </w:p>
    <w:p w14:paraId="05A5FA1C">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20.土壤污染重点监管单位未按年度报告有毒有害物质排放情况，拒不改正的；</w:t>
      </w:r>
    </w:p>
    <w:p w14:paraId="5DBD1F85">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21.土壤污染重点监管单位未将贮存有毒有害物质的地下储罐信息报生态环境主管部门，拒不改正的；</w:t>
      </w:r>
    </w:p>
    <w:p w14:paraId="6365CB21">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22.土地使用权人未依法报送土壤污染调查报告，拒不改正的；</w:t>
      </w:r>
    </w:p>
    <w:p w14:paraId="46451FE4">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23.土壤污染责任人、土地使用权人未依法报送土壤污染风险评估报告，拒不改正的；</w:t>
      </w:r>
    </w:p>
    <w:p w14:paraId="3774A837">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24.土壤污染责任人未依法报告风险管控措施，拒不改正的；</w:t>
      </w:r>
    </w:p>
    <w:p w14:paraId="2F8C5D66">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25.土壤污染责任人、土地使用权人未依法将修复方案、效果评估报告备案，拒不改正的；</w:t>
      </w:r>
    </w:p>
    <w:p w14:paraId="63136834">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26.土壤污染重点监管单位未将土壤污染防治工作方案备案，拒不改正的；</w:t>
      </w:r>
    </w:p>
    <w:p w14:paraId="2AC92B15">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27.土地使用权人未将土壤污染状况调查报告备案，拒不改正的；</w:t>
      </w:r>
    </w:p>
    <w:p w14:paraId="5595D53E">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28.拒不配合有关部门开展土壤污染状况普查、详查、监测的；破坏或者阻挠土壤污染状况调查、风险评估、风险管控和修复等活动的；损毁、移动、侵占土壤污染状况监测设施、设备、标志、标识的；</w:t>
      </w:r>
    </w:p>
    <w:p w14:paraId="1C169960">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29.土壤污染责任人拒不配合土地使用权人开展土壤污染状况调查，或者不如实提供相关资料的；</w:t>
      </w:r>
    </w:p>
    <w:p w14:paraId="7BD8480E">
      <w:pPr>
        <w:adjustRightInd w:val="0"/>
        <w:snapToGrid w:val="0"/>
        <w:spacing w:line="360" w:lineRule="auto"/>
        <w:ind w:firstLine="480" w:firstLineChars="200"/>
        <w:rPr>
          <w:rFonts w:hint="eastAsia" w:ascii="仿宋_GB2312" w:hAnsi="仿宋_GB2312" w:eastAsia="仿宋_GB2312" w:cs="仿宋_GB2312"/>
          <w:sz w:val="32"/>
          <w:szCs w:val="32"/>
          <w:highlight w:val="none"/>
          <w:lang w:val="en-US" w:eastAsia="zh-CN"/>
        </w:rPr>
      </w:pPr>
      <w:r>
        <w:rPr>
          <w:rFonts w:hint="eastAsia" w:ascii="宋体" w:hAnsi="Times New Roman" w:cs="Times New Roman"/>
          <w:color w:val="auto"/>
          <w:kern w:val="0"/>
          <w:sz w:val="24"/>
          <w:lang w:val="en-US" w:eastAsia="zh-CN"/>
        </w:rPr>
        <w:t>30.土壤污染重点监管单位未按照要求开展土壤污染隐患排查的；</w:t>
      </w:r>
    </w:p>
    <w:p w14:paraId="0C3475CB">
      <w:pPr>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br w:type="page"/>
      </w:r>
    </w:p>
    <w:tbl>
      <w:tblPr>
        <w:tblStyle w:val="8"/>
        <w:tblW w:w="513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2"/>
        <w:gridCol w:w="5970"/>
        <w:gridCol w:w="1375"/>
      </w:tblGrid>
      <w:tr w14:paraId="6970D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8759" w:type="dxa"/>
            <w:gridSpan w:val="3"/>
            <w:noWrap w:val="0"/>
            <w:vAlign w:val="center"/>
          </w:tcPr>
          <w:p w14:paraId="7705C8B7">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（七）土壤污染防治类</w:t>
            </w:r>
          </w:p>
        </w:tc>
      </w:tr>
      <w:tr w14:paraId="22534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764" w:type="dxa"/>
            <w:noWrap w:val="0"/>
            <w:vAlign w:val="center"/>
          </w:tcPr>
          <w:p w14:paraId="30EDB6B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995" w:type="dxa"/>
            <w:gridSpan w:val="2"/>
            <w:noWrap w:val="0"/>
            <w:vAlign w:val="center"/>
          </w:tcPr>
          <w:p w14:paraId="55DA5C77">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r>
      <w:tr w14:paraId="73150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1764" w:type="dxa"/>
            <w:noWrap w:val="0"/>
            <w:vAlign w:val="center"/>
          </w:tcPr>
          <w:p w14:paraId="72DC4E4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6995" w:type="dxa"/>
            <w:gridSpan w:val="2"/>
            <w:noWrap w:val="0"/>
            <w:vAlign w:val="center"/>
          </w:tcPr>
          <w:p w14:paraId="44279327">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土壤污染重点监管单位未建立并实施土壤、地下水污染隐患排查整治制度的</w:t>
            </w:r>
          </w:p>
        </w:tc>
      </w:tr>
      <w:tr w14:paraId="5DDD9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 w:hRule="atLeast"/>
          <w:jc w:val="center"/>
        </w:trPr>
        <w:tc>
          <w:tcPr>
            <w:tcW w:w="1764" w:type="dxa"/>
            <w:noWrap w:val="0"/>
            <w:vAlign w:val="center"/>
          </w:tcPr>
          <w:p w14:paraId="4A60F4E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6995" w:type="dxa"/>
            <w:gridSpan w:val="2"/>
            <w:noWrap w:val="0"/>
            <w:vAlign w:val="center"/>
          </w:tcPr>
          <w:p w14:paraId="1516C74F">
            <w:pPr>
              <w:ind w:firstLine="428" w:firstLineChars="200"/>
              <w:jc w:val="both"/>
              <w:rPr>
                <w:rFonts w:hint="eastAsia" w:ascii="宋体" w:hAnsi="宋体" w:eastAsia="宋体" w:cs="宋体"/>
                <w:color w:val="auto"/>
                <w:sz w:val="21"/>
                <w:szCs w:val="21"/>
                <w:highlight w:val="none"/>
              </w:rPr>
            </w:pPr>
            <w:r>
              <w:rPr>
                <w:rFonts w:hint="eastAsia" w:ascii="宋体" w:hAnsi="宋体" w:eastAsia="宋体" w:cs="宋体"/>
                <w:b w:val="0"/>
                <w:bCs/>
                <w:color w:val="auto"/>
                <w:spacing w:val="2"/>
                <w:sz w:val="21"/>
                <w:szCs w:val="21"/>
                <w:highlight w:val="none"/>
              </w:rPr>
              <w:t>《</w:t>
            </w:r>
            <w:r>
              <w:rPr>
                <w:rFonts w:hint="eastAsia" w:ascii="宋体" w:hAnsi="宋体" w:eastAsia="宋体" w:cs="宋体"/>
                <w:b w:val="0"/>
                <w:bCs/>
                <w:color w:val="auto"/>
                <w:spacing w:val="2"/>
                <w:sz w:val="21"/>
                <w:szCs w:val="21"/>
                <w:highlight w:val="none"/>
                <w:lang w:val="en-US" w:eastAsia="zh-CN"/>
              </w:rPr>
              <w:t>中华人民共和国生态环境法典</w:t>
            </w:r>
            <w:r>
              <w:rPr>
                <w:rFonts w:hint="eastAsia" w:ascii="宋体" w:hAnsi="宋体" w:eastAsia="宋体" w:cs="宋体"/>
                <w:b w:val="0"/>
                <w:bCs/>
                <w:color w:val="auto"/>
                <w:spacing w:val="2"/>
                <w:sz w:val="21"/>
                <w:szCs w:val="21"/>
                <w:highlight w:val="none"/>
                <w:lang w:eastAsia="zh-CN"/>
              </w:rPr>
              <w:t>》</w:t>
            </w:r>
            <w:r>
              <w:rPr>
                <w:rFonts w:hint="eastAsia" w:ascii="宋体" w:hAnsi="宋体" w:eastAsia="宋体" w:cs="宋体"/>
                <w:color w:val="auto"/>
                <w:sz w:val="21"/>
                <w:szCs w:val="21"/>
                <w:highlight w:val="none"/>
              </w:rPr>
              <w:t>第四百一十四条第二款第二项　土壤污染重点监管单位应当履行下列义务：</w:t>
            </w:r>
          </w:p>
          <w:p w14:paraId="6901257D">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（二）建立土壤、地下水污染隐患排查整治制度，保证持续有效防止有毒有害物质渗漏、流失、扬散；</w:t>
            </w:r>
          </w:p>
        </w:tc>
      </w:tr>
      <w:tr w14:paraId="01DFA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7" w:hRule="atLeast"/>
          <w:jc w:val="center"/>
        </w:trPr>
        <w:tc>
          <w:tcPr>
            <w:tcW w:w="1764" w:type="dxa"/>
            <w:noWrap w:val="0"/>
            <w:vAlign w:val="center"/>
          </w:tcPr>
          <w:p w14:paraId="5DB8B81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6995" w:type="dxa"/>
            <w:gridSpan w:val="2"/>
            <w:noWrap w:val="0"/>
            <w:vAlign w:val="center"/>
          </w:tcPr>
          <w:p w14:paraId="6850C754">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《中华人民共和国生态环境法典》第一千一百五十九条</w:t>
            </w:r>
            <w:r>
              <w:rPr>
                <w:rFonts w:hint="eastAsia" w:ascii="宋体" w:hAnsi="宋体" w:eastAsia="宋体" w:cs="宋体"/>
                <w:color w:val="auto"/>
                <w:sz w:val="21"/>
                <w:szCs w:val="21"/>
                <w:highlight w:val="none"/>
                <w:lang w:val="en-US" w:eastAsia="zh-CN"/>
              </w:rPr>
              <w:t xml:space="preserve">第一款第一项、第二款  </w:t>
            </w:r>
            <w:r>
              <w:rPr>
                <w:rFonts w:hint="eastAsia" w:ascii="宋体" w:hAnsi="宋体" w:eastAsia="宋体" w:cs="宋体"/>
                <w:color w:val="auto"/>
                <w:sz w:val="21"/>
                <w:szCs w:val="21"/>
                <w:highlight w:val="none"/>
              </w:rPr>
              <w:t>违反本法规定，有下列情形之一的，由地方人民政府负有生态环境保护监督管理职责的部门按照职责分工责令改正，处以罚款；拒不改正的，责令限制生产、停产整治：</w:t>
            </w:r>
          </w:p>
          <w:p w14:paraId="4370170C">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（一）土壤污染重点监管单位未建立并实施土壤、地下水污染隐患排查整治制度；</w:t>
            </w:r>
          </w:p>
          <w:p w14:paraId="65F33C6B">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有前款情形之一的，处二万元以上二十万元以下的罚款；有前款第二项至第五项情形之一。</w:t>
            </w:r>
          </w:p>
        </w:tc>
      </w:tr>
      <w:tr w14:paraId="71351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764" w:type="dxa"/>
            <w:noWrap w:val="0"/>
            <w:vAlign w:val="center"/>
          </w:tcPr>
          <w:p w14:paraId="6F25EF0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686" w:type="dxa"/>
            <w:noWrap w:val="0"/>
            <w:vAlign w:val="center"/>
          </w:tcPr>
          <w:p w14:paraId="7A5AED5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309" w:type="dxa"/>
            <w:noWrap w:val="0"/>
            <w:vAlign w:val="center"/>
          </w:tcPr>
          <w:p w14:paraId="1B8ACD2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6AED0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764" w:type="dxa"/>
            <w:vMerge w:val="restart"/>
            <w:noWrap w:val="0"/>
            <w:vAlign w:val="center"/>
          </w:tcPr>
          <w:p w14:paraId="27C78558">
            <w:pPr>
              <w:ind w:left="0" w:leftChars="0" w:right="0" w:rightChars="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违法事实</w:t>
            </w:r>
          </w:p>
        </w:tc>
        <w:tc>
          <w:tcPr>
            <w:tcW w:w="5686" w:type="dxa"/>
            <w:noWrap w:val="0"/>
            <w:vAlign w:val="center"/>
          </w:tcPr>
          <w:p w14:paraId="1EC248BB">
            <w:pPr>
              <w:keepNext w:val="0"/>
              <w:keepLines w:val="0"/>
              <w:pageBreakBefore w:val="0"/>
              <w:widowControl w:val="0"/>
              <w:kinsoku/>
              <w:wordWrap/>
              <w:overflowPunct/>
              <w:topLinePunct w:val="0"/>
              <w:bidi w:val="0"/>
              <w:adjustRightInd/>
              <w:snapToGrid/>
              <w:ind w:left="0" w:leftChars="0" w:right="0" w:rightChars="0" w:firstLine="420" w:firstLineChars="200"/>
              <w:jc w:val="both"/>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未建立制度，已实施土壤、地下水污染隐患排查</w:t>
            </w:r>
          </w:p>
        </w:tc>
        <w:tc>
          <w:tcPr>
            <w:tcW w:w="1309" w:type="dxa"/>
            <w:noWrap w:val="0"/>
            <w:vAlign w:val="center"/>
          </w:tcPr>
          <w:p w14:paraId="282B37BB">
            <w:pPr>
              <w:ind w:left="0" w:leftChars="0" w:right="0" w:rightChars="0"/>
              <w:jc w:val="center"/>
              <w:textAlignment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sz w:val="21"/>
                <w:szCs w:val="21"/>
                <w:highlight w:val="none"/>
                <w:lang w:val="en-US" w:eastAsia="zh-CN"/>
              </w:rPr>
              <w:t>1</w:t>
            </w:r>
          </w:p>
        </w:tc>
      </w:tr>
      <w:tr w14:paraId="596B5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764" w:type="dxa"/>
            <w:vMerge w:val="continue"/>
            <w:noWrap w:val="0"/>
            <w:vAlign w:val="center"/>
          </w:tcPr>
          <w:p w14:paraId="484D7E94">
            <w:pPr>
              <w:ind w:left="0" w:leftChars="0" w:right="0" w:rightChars="0"/>
              <w:jc w:val="center"/>
              <w:textAlignment w:val="center"/>
              <w:rPr>
                <w:rFonts w:hint="eastAsia" w:ascii="宋体" w:hAnsi="宋体" w:eastAsia="宋体" w:cs="宋体"/>
                <w:color w:val="auto"/>
                <w:kern w:val="2"/>
                <w:sz w:val="21"/>
                <w:szCs w:val="21"/>
                <w:highlight w:val="none"/>
                <w:lang w:val="en-US" w:eastAsia="zh-CN" w:bidi="ar-SA"/>
              </w:rPr>
            </w:pPr>
          </w:p>
        </w:tc>
        <w:tc>
          <w:tcPr>
            <w:tcW w:w="5686" w:type="dxa"/>
            <w:noWrap w:val="0"/>
            <w:vAlign w:val="center"/>
          </w:tcPr>
          <w:p w14:paraId="0BA5117C">
            <w:pPr>
              <w:keepNext w:val="0"/>
              <w:keepLines w:val="0"/>
              <w:pageBreakBefore w:val="0"/>
              <w:widowControl w:val="0"/>
              <w:kinsoku/>
              <w:wordWrap/>
              <w:overflowPunct/>
              <w:topLinePunct w:val="0"/>
              <w:bidi w:val="0"/>
              <w:adjustRightInd/>
              <w:snapToGrid/>
              <w:ind w:left="0" w:leftChars="0" w:right="0" w:rightChars="0" w:firstLine="420" w:firstLineChars="200"/>
              <w:jc w:val="both"/>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未建立制度，已实施部分土壤、地下水污染隐患排查或者不规范</w:t>
            </w:r>
          </w:p>
        </w:tc>
        <w:tc>
          <w:tcPr>
            <w:tcW w:w="1309" w:type="dxa"/>
            <w:noWrap w:val="0"/>
            <w:vAlign w:val="center"/>
          </w:tcPr>
          <w:p w14:paraId="26A1278F">
            <w:pPr>
              <w:ind w:left="0" w:leftChars="0" w:right="0" w:rightChars="0"/>
              <w:jc w:val="center"/>
              <w:textAlignment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sz w:val="21"/>
                <w:szCs w:val="21"/>
                <w:highlight w:val="none"/>
                <w:lang w:val="en-US" w:eastAsia="zh-CN"/>
              </w:rPr>
              <w:t>3</w:t>
            </w:r>
          </w:p>
        </w:tc>
      </w:tr>
      <w:tr w14:paraId="071CD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764" w:type="dxa"/>
            <w:vMerge w:val="continue"/>
            <w:noWrap w:val="0"/>
            <w:vAlign w:val="center"/>
          </w:tcPr>
          <w:p w14:paraId="54B4A1B8">
            <w:pPr>
              <w:ind w:left="0" w:leftChars="0" w:right="0" w:rightChars="0"/>
              <w:jc w:val="center"/>
              <w:textAlignment w:val="center"/>
              <w:rPr>
                <w:rFonts w:hint="eastAsia" w:ascii="宋体" w:hAnsi="宋体" w:eastAsia="宋体" w:cs="宋体"/>
                <w:color w:val="auto"/>
                <w:kern w:val="2"/>
                <w:sz w:val="21"/>
                <w:szCs w:val="21"/>
                <w:highlight w:val="none"/>
                <w:lang w:val="en-US" w:eastAsia="zh-CN" w:bidi="ar-SA"/>
              </w:rPr>
            </w:pPr>
          </w:p>
        </w:tc>
        <w:tc>
          <w:tcPr>
            <w:tcW w:w="5686" w:type="dxa"/>
            <w:noWrap w:val="0"/>
            <w:vAlign w:val="center"/>
          </w:tcPr>
          <w:p w14:paraId="2059450E">
            <w:pPr>
              <w:keepNext w:val="0"/>
              <w:keepLines w:val="0"/>
              <w:pageBreakBefore w:val="0"/>
              <w:widowControl w:val="0"/>
              <w:kinsoku/>
              <w:wordWrap/>
              <w:overflowPunct/>
              <w:topLinePunct w:val="0"/>
              <w:bidi w:val="0"/>
              <w:adjustRightInd/>
              <w:snapToGrid/>
              <w:ind w:left="0" w:leftChars="0" w:right="0" w:rightChars="0" w:firstLine="420" w:firstLineChars="200"/>
              <w:jc w:val="both"/>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未建立制度，未实施土壤、地下水污染隐患排查</w:t>
            </w:r>
          </w:p>
        </w:tc>
        <w:tc>
          <w:tcPr>
            <w:tcW w:w="1309" w:type="dxa"/>
            <w:noWrap w:val="0"/>
            <w:vAlign w:val="center"/>
          </w:tcPr>
          <w:p w14:paraId="1E011D0E">
            <w:pPr>
              <w:ind w:left="0" w:leftChars="0" w:right="0" w:rightChars="0"/>
              <w:jc w:val="center"/>
              <w:textAlignment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sz w:val="21"/>
                <w:szCs w:val="21"/>
                <w:highlight w:val="none"/>
                <w:lang w:val="en-US" w:eastAsia="zh-CN"/>
              </w:rPr>
              <w:t>5</w:t>
            </w:r>
          </w:p>
        </w:tc>
      </w:tr>
      <w:tr w14:paraId="2F00F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764" w:type="dxa"/>
            <w:vMerge w:val="restart"/>
            <w:noWrap w:val="0"/>
            <w:vAlign w:val="center"/>
          </w:tcPr>
          <w:p w14:paraId="2312CC5A">
            <w:pPr>
              <w:pStyle w:val="11"/>
              <w:keepNext w:val="0"/>
              <w:keepLines w:val="0"/>
              <w:pageBreakBefore w:val="0"/>
              <w:widowControl w:val="0"/>
              <w:shd w:val="clear" w:color="auto" w:fill="auto"/>
              <w:kinsoku/>
              <w:wordWrap/>
              <w:overflowPunct/>
              <w:topLinePunct w:val="0"/>
              <w:autoSpaceDE w:val="0"/>
              <w:autoSpaceDN w:val="0"/>
              <w:bidi w:val="0"/>
              <w:spacing w:line="290" w:lineRule="exact"/>
              <w:ind w:left="0" w:leftChars="0" w:right="0" w:rightChars="0" w:firstLine="0" w:firstLineChars="0"/>
              <w:jc w:val="center"/>
              <w:textAlignment w:val="baseline"/>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土壤面积</w:t>
            </w:r>
          </w:p>
        </w:tc>
        <w:tc>
          <w:tcPr>
            <w:tcW w:w="5686" w:type="dxa"/>
            <w:noWrap w:val="0"/>
            <w:vAlign w:val="center"/>
          </w:tcPr>
          <w:p w14:paraId="35D52F59">
            <w:pPr>
              <w:pStyle w:val="11"/>
              <w:keepNext w:val="0"/>
              <w:keepLines w:val="0"/>
              <w:pageBreakBefore w:val="0"/>
              <w:widowControl w:val="0"/>
              <w:shd w:val="clear" w:color="auto" w:fill="auto"/>
              <w:kinsoku/>
              <w:wordWrap/>
              <w:overflowPunct/>
              <w:topLinePunct w:val="0"/>
              <w:autoSpaceDE w:val="0"/>
              <w:autoSpaceDN w:val="0"/>
              <w:bidi w:val="0"/>
              <w:adjustRightInd/>
              <w:snapToGrid/>
              <w:spacing w:line="290" w:lineRule="exact"/>
              <w:ind w:left="0" w:leftChars="0" w:right="0" w:rightChars="0" w:firstLine="420" w:firstLineChars="200"/>
              <w:textAlignment w:val="baseline"/>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不足5万平方米</w:t>
            </w:r>
          </w:p>
        </w:tc>
        <w:tc>
          <w:tcPr>
            <w:tcW w:w="1309" w:type="dxa"/>
            <w:noWrap w:val="0"/>
            <w:vAlign w:val="center"/>
          </w:tcPr>
          <w:p w14:paraId="58BCB886">
            <w:pPr>
              <w:keepNext w:val="0"/>
              <w:keepLines w:val="0"/>
              <w:pageBreakBefore w:val="0"/>
              <w:widowControl w:val="0"/>
              <w:shd w:val="clear" w:color="auto" w:fill="auto"/>
              <w:kinsoku/>
              <w:wordWrap/>
              <w:overflowPunct/>
              <w:topLinePunct w:val="0"/>
              <w:autoSpaceDE w:val="0"/>
              <w:autoSpaceDN w:val="0"/>
              <w:bidi w:val="0"/>
              <w:spacing w:line="290" w:lineRule="exact"/>
              <w:ind w:left="0" w:leftChars="0" w:right="0" w:rightChars="0" w:firstLine="0" w:firstLineChars="0"/>
              <w:jc w:val="center"/>
              <w:textAlignment w:val="baseline"/>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color w:val="auto"/>
                <w:sz w:val="21"/>
                <w:szCs w:val="21"/>
                <w:highlight w:val="none"/>
              </w:rPr>
              <w:t>1</w:t>
            </w:r>
          </w:p>
        </w:tc>
      </w:tr>
      <w:tr w14:paraId="652A6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764" w:type="dxa"/>
            <w:vMerge w:val="continue"/>
            <w:noWrap w:val="0"/>
            <w:vAlign w:val="center"/>
          </w:tcPr>
          <w:p w14:paraId="04157E44">
            <w:pPr>
              <w:keepNext w:val="0"/>
              <w:keepLines w:val="0"/>
              <w:pageBreakBefore w:val="0"/>
              <w:widowControl w:val="0"/>
              <w:shd w:val="clear" w:color="auto" w:fill="auto"/>
              <w:kinsoku/>
              <w:wordWrap/>
              <w:overflowPunct/>
              <w:topLinePunct w:val="0"/>
              <w:autoSpaceDE w:val="0"/>
              <w:autoSpaceDN w:val="0"/>
              <w:bidi w:val="0"/>
              <w:spacing w:line="290" w:lineRule="exact"/>
              <w:ind w:left="0" w:leftChars="0" w:right="0" w:rightChars="0" w:firstLine="0" w:firstLineChars="0"/>
              <w:jc w:val="center"/>
              <w:textAlignment w:val="baseline"/>
              <w:rPr>
                <w:rFonts w:hint="eastAsia" w:ascii="宋体" w:hAnsi="宋体" w:eastAsia="宋体" w:cs="宋体"/>
                <w:color w:val="auto"/>
                <w:kern w:val="2"/>
                <w:sz w:val="21"/>
                <w:szCs w:val="21"/>
                <w:highlight w:val="none"/>
                <w:lang w:val="en-US" w:eastAsia="zh-CN" w:bidi="ar-SA"/>
              </w:rPr>
            </w:pPr>
          </w:p>
        </w:tc>
        <w:tc>
          <w:tcPr>
            <w:tcW w:w="5686" w:type="dxa"/>
            <w:noWrap w:val="0"/>
            <w:vAlign w:val="center"/>
          </w:tcPr>
          <w:p w14:paraId="28C3D90F">
            <w:pPr>
              <w:pStyle w:val="11"/>
              <w:keepNext w:val="0"/>
              <w:keepLines w:val="0"/>
              <w:pageBreakBefore w:val="0"/>
              <w:widowControl w:val="0"/>
              <w:shd w:val="clear" w:color="auto" w:fill="auto"/>
              <w:kinsoku/>
              <w:wordWrap/>
              <w:overflowPunct/>
              <w:topLinePunct w:val="0"/>
              <w:autoSpaceDE w:val="0"/>
              <w:autoSpaceDN w:val="0"/>
              <w:bidi w:val="0"/>
              <w:adjustRightInd/>
              <w:snapToGrid/>
              <w:spacing w:line="290" w:lineRule="exact"/>
              <w:ind w:left="0" w:leftChars="0" w:right="0" w:rightChars="0" w:firstLine="420" w:firstLineChars="200"/>
              <w:textAlignment w:val="baseline"/>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5万平方米以上不足20万平方米</w:t>
            </w:r>
          </w:p>
        </w:tc>
        <w:tc>
          <w:tcPr>
            <w:tcW w:w="1309" w:type="dxa"/>
            <w:noWrap w:val="0"/>
            <w:vAlign w:val="center"/>
          </w:tcPr>
          <w:p w14:paraId="65A0566C">
            <w:pPr>
              <w:keepNext w:val="0"/>
              <w:keepLines w:val="0"/>
              <w:pageBreakBefore w:val="0"/>
              <w:widowControl w:val="0"/>
              <w:shd w:val="clear" w:color="auto" w:fill="auto"/>
              <w:kinsoku/>
              <w:wordWrap/>
              <w:overflowPunct/>
              <w:topLinePunct w:val="0"/>
              <w:autoSpaceDE w:val="0"/>
              <w:autoSpaceDN w:val="0"/>
              <w:bidi w:val="0"/>
              <w:spacing w:line="290" w:lineRule="exact"/>
              <w:ind w:left="0" w:leftChars="0" w:right="0" w:rightChars="0" w:firstLine="0" w:firstLineChars="0"/>
              <w:jc w:val="center"/>
              <w:textAlignment w:val="baseline"/>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color w:val="auto"/>
                <w:sz w:val="21"/>
                <w:szCs w:val="21"/>
                <w:highlight w:val="none"/>
              </w:rPr>
              <w:t>2</w:t>
            </w:r>
          </w:p>
        </w:tc>
      </w:tr>
      <w:tr w14:paraId="1EB70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764" w:type="dxa"/>
            <w:vMerge w:val="continue"/>
            <w:noWrap w:val="0"/>
            <w:vAlign w:val="center"/>
          </w:tcPr>
          <w:p w14:paraId="5865BF6F">
            <w:pPr>
              <w:keepNext w:val="0"/>
              <w:keepLines w:val="0"/>
              <w:pageBreakBefore w:val="0"/>
              <w:widowControl w:val="0"/>
              <w:shd w:val="clear" w:color="auto" w:fill="auto"/>
              <w:kinsoku/>
              <w:wordWrap/>
              <w:overflowPunct/>
              <w:topLinePunct w:val="0"/>
              <w:autoSpaceDE w:val="0"/>
              <w:autoSpaceDN w:val="0"/>
              <w:bidi w:val="0"/>
              <w:spacing w:line="290" w:lineRule="exact"/>
              <w:ind w:left="0" w:leftChars="0" w:right="0" w:rightChars="0" w:firstLine="0" w:firstLineChars="0"/>
              <w:jc w:val="center"/>
              <w:textAlignment w:val="baseline"/>
              <w:rPr>
                <w:rFonts w:hint="eastAsia" w:ascii="宋体" w:hAnsi="宋体" w:eastAsia="宋体" w:cs="宋体"/>
                <w:color w:val="auto"/>
                <w:kern w:val="2"/>
                <w:sz w:val="21"/>
                <w:szCs w:val="21"/>
                <w:highlight w:val="none"/>
                <w:lang w:val="en-US" w:eastAsia="zh-CN" w:bidi="ar-SA"/>
              </w:rPr>
            </w:pPr>
          </w:p>
        </w:tc>
        <w:tc>
          <w:tcPr>
            <w:tcW w:w="5686" w:type="dxa"/>
            <w:noWrap w:val="0"/>
            <w:vAlign w:val="center"/>
          </w:tcPr>
          <w:p w14:paraId="1B1A8967">
            <w:pPr>
              <w:pStyle w:val="11"/>
              <w:keepNext w:val="0"/>
              <w:keepLines w:val="0"/>
              <w:pageBreakBefore w:val="0"/>
              <w:widowControl w:val="0"/>
              <w:shd w:val="clear" w:color="auto" w:fill="auto"/>
              <w:kinsoku/>
              <w:wordWrap/>
              <w:overflowPunct/>
              <w:topLinePunct w:val="0"/>
              <w:autoSpaceDE w:val="0"/>
              <w:autoSpaceDN w:val="0"/>
              <w:bidi w:val="0"/>
              <w:adjustRightInd/>
              <w:snapToGrid/>
              <w:spacing w:line="290" w:lineRule="exact"/>
              <w:ind w:left="0" w:leftChars="0" w:right="0" w:rightChars="0" w:firstLine="420" w:firstLineChars="200"/>
              <w:textAlignment w:val="baseline"/>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20万平方米以上不足50万平方米</w:t>
            </w:r>
          </w:p>
        </w:tc>
        <w:tc>
          <w:tcPr>
            <w:tcW w:w="1309" w:type="dxa"/>
            <w:noWrap w:val="0"/>
            <w:vAlign w:val="center"/>
          </w:tcPr>
          <w:p w14:paraId="58A63096">
            <w:pPr>
              <w:keepNext w:val="0"/>
              <w:keepLines w:val="0"/>
              <w:pageBreakBefore w:val="0"/>
              <w:widowControl w:val="0"/>
              <w:shd w:val="clear" w:color="auto" w:fill="auto"/>
              <w:kinsoku/>
              <w:wordWrap/>
              <w:overflowPunct/>
              <w:topLinePunct w:val="0"/>
              <w:autoSpaceDE w:val="0"/>
              <w:autoSpaceDN w:val="0"/>
              <w:bidi w:val="0"/>
              <w:spacing w:line="290" w:lineRule="exact"/>
              <w:ind w:left="0" w:leftChars="0" w:right="0" w:rightChars="0" w:firstLine="0" w:firstLineChars="0"/>
              <w:jc w:val="center"/>
              <w:textAlignment w:val="baseline"/>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color w:val="auto"/>
                <w:sz w:val="21"/>
                <w:szCs w:val="21"/>
                <w:highlight w:val="none"/>
              </w:rPr>
              <w:t>3</w:t>
            </w:r>
          </w:p>
        </w:tc>
      </w:tr>
      <w:tr w14:paraId="00724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764" w:type="dxa"/>
            <w:vMerge w:val="continue"/>
            <w:noWrap w:val="0"/>
            <w:vAlign w:val="center"/>
          </w:tcPr>
          <w:p w14:paraId="5DA4EE5F">
            <w:pPr>
              <w:keepNext w:val="0"/>
              <w:keepLines w:val="0"/>
              <w:pageBreakBefore w:val="0"/>
              <w:widowControl w:val="0"/>
              <w:shd w:val="clear" w:color="auto" w:fill="auto"/>
              <w:kinsoku/>
              <w:wordWrap/>
              <w:overflowPunct/>
              <w:topLinePunct w:val="0"/>
              <w:autoSpaceDE w:val="0"/>
              <w:autoSpaceDN w:val="0"/>
              <w:bidi w:val="0"/>
              <w:spacing w:line="290"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p>
        </w:tc>
        <w:tc>
          <w:tcPr>
            <w:tcW w:w="5686" w:type="dxa"/>
            <w:noWrap w:val="0"/>
            <w:vAlign w:val="center"/>
          </w:tcPr>
          <w:p w14:paraId="60B0BC63">
            <w:pPr>
              <w:pStyle w:val="11"/>
              <w:keepNext w:val="0"/>
              <w:keepLines w:val="0"/>
              <w:pageBreakBefore w:val="0"/>
              <w:widowControl w:val="0"/>
              <w:shd w:val="clear" w:color="auto" w:fill="auto"/>
              <w:kinsoku/>
              <w:wordWrap/>
              <w:overflowPunct/>
              <w:topLinePunct w:val="0"/>
              <w:autoSpaceDE w:val="0"/>
              <w:autoSpaceDN w:val="0"/>
              <w:bidi w:val="0"/>
              <w:adjustRightInd/>
              <w:snapToGrid/>
              <w:spacing w:line="290" w:lineRule="exact"/>
              <w:ind w:left="0" w:leftChars="0" w:right="0" w:rightChars="0" w:firstLine="420" w:firstLineChars="200"/>
              <w:textAlignment w:val="baseline"/>
              <w:rPr>
                <w:rFonts w:hint="eastAsia" w:ascii="宋体" w:hAnsi="宋体" w:eastAsia="宋体" w:cs="宋体"/>
                <w:b/>
                <w:bCs/>
                <w:sz w:val="21"/>
                <w:szCs w:val="21"/>
                <w:highlight w:val="none"/>
                <w:lang w:val="en-US" w:eastAsia="zh-CN"/>
              </w:rPr>
            </w:pPr>
            <w:r>
              <w:rPr>
                <w:rFonts w:hint="eastAsia" w:ascii="宋体" w:hAnsi="宋体" w:eastAsia="宋体" w:cs="宋体"/>
                <w:color w:val="auto"/>
                <w:sz w:val="21"/>
                <w:szCs w:val="21"/>
                <w:highlight w:val="none"/>
                <w:lang w:eastAsia="zh-CN"/>
              </w:rPr>
              <w:t>50万平方米以上不足100万平方米</w:t>
            </w:r>
          </w:p>
        </w:tc>
        <w:tc>
          <w:tcPr>
            <w:tcW w:w="1309" w:type="dxa"/>
            <w:noWrap w:val="0"/>
            <w:vAlign w:val="center"/>
          </w:tcPr>
          <w:p w14:paraId="2F4CA6A0">
            <w:pPr>
              <w:keepNext w:val="0"/>
              <w:keepLines w:val="0"/>
              <w:pageBreakBefore w:val="0"/>
              <w:widowControl w:val="0"/>
              <w:shd w:val="clear" w:color="auto" w:fill="auto"/>
              <w:kinsoku/>
              <w:wordWrap/>
              <w:overflowPunct/>
              <w:topLinePunct w:val="0"/>
              <w:autoSpaceDE w:val="0"/>
              <w:autoSpaceDN w:val="0"/>
              <w:bidi w:val="0"/>
              <w:spacing w:line="290" w:lineRule="exact"/>
              <w:ind w:left="0" w:leftChars="0" w:right="0" w:rightChars="0" w:firstLine="0" w:firstLineChars="0"/>
              <w:jc w:val="center"/>
              <w:textAlignment w:val="baseline"/>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color w:val="auto"/>
                <w:spacing w:val="1"/>
                <w:sz w:val="21"/>
                <w:szCs w:val="21"/>
                <w:highlight w:val="none"/>
              </w:rPr>
              <w:t>4</w:t>
            </w:r>
          </w:p>
        </w:tc>
      </w:tr>
      <w:tr w14:paraId="45D73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764" w:type="dxa"/>
            <w:vMerge w:val="continue"/>
            <w:noWrap w:val="0"/>
            <w:vAlign w:val="center"/>
          </w:tcPr>
          <w:p w14:paraId="3795355C">
            <w:pPr>
              <w:keepNext w:val="0"/>
              <w:keepLines w:val="0"/>
              <w:pageBreakBefore w:val="0"/>
              <w:widowControl w:val="0"/>
              <w:shd w:val="clear" w:color="auto" w:fill="auto"/>
              <w:kinsoku/>
              <w:wordWrap/>
              <w:overflowPunct/>
              <w:topLinePunct w:val="0"/>
              <w:autoSpaceDE w:val="0"/>
              <w:autoSpaceDN w:val="0"/>
              <w:bidi w:val="0"/>
              <w:spacing w:line="290"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p>
        </w:tc>
        <w:tc>
          <w:tcPr>
            <w:tcW w:w="5686" w:type="dxa"/>
            <w:noWrap w:val="0"/>
            <w:vAlign w:val="center"/>
          </w:tcPr>
          <w:p w14:paraId="444199EE">
            <w:pPr>
              <w:pStyle w:val="11"/>
              <w:keepNext w:val="0"/>
              <w:keepLines w:val="0"/>
              <w:pageBreakBefore w:val="0"/>
              <w:widowControl w:val="0"/>
              <w:shd w:val="clear" w:color="auto" w:fill="auto"/>
              <w:kinsoku/>
              <w:wordWrap/>
              <w:overflowPunct/>
              <w:topLinePunct w:val="0"/>
              <w:autoSpaceDE w:val="0"/>
              <w:autoSpaceDN w:val="0"/>
              <w:bidi w:val="0"/>
              <w:adjustRightInd/>
              <w:snapToGrid/>
              <w:spacing w:line="290" w:lineRule="exact"/>
              <w:ind w:left="0" w:leftChars="0" w:right="0" w:rightChars="0" w:firstLine="420" w:firstLineChars="200"/>
              <w:textAlignment w:val="baseline"/>
              <w:rPr>
                <w:rFonts w:hint="eastAsia" w:ascii="宋体" w:hAnsi="宋体" w:eastAsia="宋体" w:cs="宋体"/>
                <w:b/>
                <w:bCs/>
                <w:sz w:val="21"/>
                <w:szCs w:val="21"/>
                <w:highlight w:val="none"/>
                <w:lang w:val="en-US" w:eastAsia="zh-CN"/>
              </w:rPr>
            </w:pPr>
            <w:r>
              <w:rPr>
                <w:rFonts w:hint="eastAsia" w:ascii="宋体" w:hAnsi="宋体" w:eastAsia="宋体" w:cs="宋体"/>
                <w:color w:val="auto"/>
                <w:sz w:val="21"/>
                <w:szCs w:val="21"/>
                <w:highlight w:val="none"/>
                <w:lang w:eastAsia="zh-CN"/>
              </w:rPr>
              <w:t>100万平方米以上</w:t>
            </w:r>
          </w:p>
        </w:tc>
        <w:tc>
          <w:tcPr>
            <w:tcW w:w="1309" w:type="dxa"/>
            <w:noWrap w:val="0"/>
            <w:vAlign w:val="center"/>
          </w:tcPr>
          <w:p w14:paraId="5EE5289D">
            <w:pPr>
              <w:keepNext w:val="0"/>
              <w:keepLines w:val="0"/>
              <w:pageBreakBefore w:val="0"/>
              <w:widowControl w:val="0"/>
              <w:shd w:val="clear" w:color="auto" w:fill="auto"/>
              <w:kinsoku/>
              <w:wordWrap/>
              <w:overflowPunct/>
              <w:topLinePunct w:val="0"/>
              <w:autoSpaceDE w:val="0"/>
              <w:autoSpaceDN w:val="0"/>
              <w:bidi w:val="0"/>
              <w:spacing w:line="290" w:lineRule="exact"/>
              <w:ind w:left="0" w:leftChars="0" w:right="0" w:rightChars="0" w:firstLine="0" w:firstLineChars="0"/>
              <w:jc w:val="center"/>
              <w:textAlignment w:val="baseline"/>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color w:val="auto"/>
                <w:sz w:val="21"/>
                <w:szCs w:val="21"/>
                <w:highlight w:val="none"/>
              </w:rPr>
              <w:t>5</w:t>
            </w:r>
          </w:p>
        </w:tc>
      </w:tr>
    </w:tbl>
    <w:p w14:paraId="0BBECD13">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0"/>
        <w:gridCol w:w="5817"/>
        <w:gridCol w:w="1331"/>
      </w:tblGrid>
      <w:tr w14:paraId="5BC52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3"/>
            <w:tcBorders>
              <w:top w:val="single" w:color="auto" w:sz="4" w:space="0"/>
              <w:left w:val="single" w:color="auto" w:sz="4" w:space="0"/>
              <w:bottom w:val="single" w:color="auto" w:sz="4" w:space="0"/>
              <w:right w:val="single" w:color="auto" w:sz="4" w:space="0"/>
            </w:tcBorders>
            <w:noWrap w:val="0"/>
            <w:vAlign w:val="center"/>
          </w:tcPr>
          <w:p w14:paraId="5E30B89B">
            <w:pPr>
              <w:jc w:val="center"/>
              <w:rPr>
                <w:rFonts w:hint="eastAsia" w:ascii="宋体" w:hAnsi="宋体" w:eastAsia="宋体" w:cs="宋体"/>
                <w:bCs/>
                <w:color w:val="auto"/>
                <w:sz w:val="21"/>
                <w:szCs w:val="21"/>
                <w:highlight w:val="none"/>
                <w:lang w:eastAsia="zh-CN"/>
              </w:rPr>
            </w:pPr>
            <w:r>
              <w:rPr>
                <w:rFonts w:hint="eastAsia" w:ascii="宋体" w:hAnsi="宋体" w:eastAsia="宋体" w:cs="宋体"/>
                <w:color w:val="auto"/>
                <w:sz w:val="21"/>
                <w:szCs w:val="21"/>
                <w:highlight w:val="none"/>
                <w:lang w:eastAsia="zh-CN"/>
              </w:rPr>
              <w:t>（七）土壤污染防治类</w:t>
            </w:r>
          </w:p>
        </w:tc>
      </w:tr>
      <w:tr w14:paraId="2523F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4" w:type="dxa"/>
            <w:tcBorders>
              <w:top w:val="single" w:color="auto" w:sz="4" w:space="0"/>
              <w:left w:val="single" w:color="auto" w:sz="4" w:space="0"/>
              <w:bottom w:val="single" w:color="auto" w:sz="4" w:space="0"/>
              <w:right w:val="single" w:color="auto" w:sz="4" w:space="0"/>
            </w:tcBorders>
            <w:noWrap w:val="0"/>
            <w:vAlign w:val="center"/>
          </w:tcPr>
          <w:p w14:paraId="2D05900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808" w:type="dxa"/>
            <w:gridSpan w:val="2"/>
            <w:tcBorders>
              <w:top w:val="single" w:color="auto" w:sz="4" w:space="0"/>
              <w:left w:val="single" w:color="auto" w:sz="4" w:space="0"/>
              <w:bottom w:val="single" w:color="auto" w:sz="4" w:space="0"/>
              <w:right w:val="single" w:color="auto" w:sz="4" w:space="0"/>
            </w:tcBorders>
            <w:noWrap w:val="0"/>
            <w:vAlign w:val="center"/>
          </w:tcPr>
          <w:p w14:paraId="2CCEA89E">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r>
      <w:tr w14:paraId="11B19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4" w:type="dxa"/>
            <w:tcBorders>
              <w:top w:val="single" w:color="auto" w:sz="4" w:space="0"/>
              <w:left w:val="single" w:color="auto" w:sz="4" w:space="0"/>
              <w:bottom w:val="single" w:color="auto" w:sz="4" w:space="0"/>
              <w:right w:val="single" w:color="auto" w:sz="4" w:space="0"/>
            </w:tcBorders>
            <w:noWrap w:val="0"/>
            <w:vAlign w:val="center"/>
          </w:tcPr>
          <w:p w14:paraId="58CAE03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6808" w:type="dxa"/>
            <w:gridSpan w:val="2"/>
            <w:tcBorders>
              <w:top w:val="single" w:color="auto" w:sz="4" w:space="0"/>
              <w:left w:val="single" w:color="auto" w:sz="4" w:space="0"/>
              <w:bottom w:val="single" w:color="auto" w:sz="4" w:space="0"/>
              <w:right w:val="single" w:color="auto" w:sz="4" w:space="0"/>
            </w:tcBorders>
            <w:noWrap w:val="0"/>
            <w:vAlign w:val="center"/>
          </w:tcPr>
          <w:p w14:paraId="0F0104BD">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土壤污染重点监管单位拆除设施、设备或者建筑物、构筑物未制定并实施土壤污染防治工作方案的</w:t>
            </w:r>
          </w:p>
        </w:tc>
      </w:tr>
      <w:tr w14:paraId="13316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4" w:type="dxa"/>
            <w:tcBorders>
              <w:top w:val="single" w:color="auto" w:sz="4" w:space="0"/>
              <w:left w:val="single" w:color="auto" w:sz="4" w:space="0"/>
              <w:bottom w:val="single" w:color="auto" w:sz="4" w:space="0"/>
              <w:right w:val="single" w:color="auto" w:sz="4" w:space="0"/>
            </w:tcBorders>
            <w:noWrap w:val="0"/>
            <w:vAlign w:val="center"/>
          </w:tcPr>
          <w:p w14:paraId="44A48F4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6808" w:type="dxa"/>
            <w:gridSpan w:val="2"/>
            <w:tcBorders>
              <w:top w:val="single" w:color="auto" w:sz="4" w:space="0"/>
              <w:left w:val="single" w:color="auto" w:sz="4" w:space="0"/>
              <w:bottom w:val="single" w:color="auto" w:sz="4" w:space="0"/>
              <w:right w:val="single" w:color="auto" w:sz="4" w:space="0"/>
            </w:tcBorders>
            <w:noWrap w:val="0"/>
            <w:vAlign w:val="center"/>
          </w:tcPr>
          <w:p w14:paraId="2A3B463B">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《中华人民共和国生态环境法典》第四百一十五条</w:t>
            </w:r>
            <w:r>
              <w:rPr>
                <w:rFonts w:hint="eastAsia" w:ascii="宋体" w:hAnsi="宋体" w:eastAsia="宋体" w:cs="宋体"/>
                <w:color w:val="auto"/>
                <w:sz w:val="21"/>
                <w:szCs w:val="21"/>
                <w:highlight w:val="none"/>
                <w:lang w:val="en-US" w:eastAsia="zh-CN"/>
              </w:rPr>
              <w:t xml:space="preserve">第二款  </w:t>
            </w:r>
            <w:r>
              <w:rPr>
                <w:rFonts w:hint="eastAsia" w:ascii="宋体" w:hAnsi="宋体" w:eastAsia="宋体" w:cs="宋体"/>
                <w:color w:val="auto"/>
                <w:sz w:val="21"/>
                <w:szCs w:val="21"/>
                <w:highlight w:val="none"/>
              </w:rPr>
              <w:t>土壤污染重点监管单位拆除设施、设备或者建筑物、构筑物的，应当制定包括应急措施在内的土壤污染防治工作方案，报地方人民政府生态环境主管部门、工业和信息化主管部门备案并实施。</w:t>
            </w:r>
          </w:p>
        </w:tc>
      </w:tr>
      <w:tr w14:paraId="55864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6" w:hRule="atLeast"/>
          <w:jc w:val="center"/>
        </w:trPr>
        <w:tc>
          <w:tcPr>
            <w:tcW w:w="1714" w:type="dxa"/>
            <w:tcBorders>
              <w:top w:val="single" w:color="auto" w:sz="4" w:space="0"/>
              <w:left w:val="single" w:color="auto" w:sz="4" w:space="0"/>
              <w:bottom w:val="single" w:color="auto" w:sz="4" w:space="0"/>
              <w:right w:val="single" w:color="auto" w:sz="4" w:space="0"/>
            </w:tcBorders>
            <w:noWrap w:val="0"/>
            <w:vAlign w:val="center"/>
          </w:tcPr>
          <w:p w14:paraId="532850B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6808" w:type="dxa"/>
            <w:gridSpan w:val="2"/>
            <w:tcBorders>
              <w:top w:val="single" w:color="auto" w:sz="4" w:space="0"/>
              <w:left w:val="single" w:color="auto" w:sz="4" w:space="0"/>
              <w:bottom w:val="single" w:color="auto" w:sz="4" w:space="0"/>
              <w:right w:val="single" w:color="auto" w:sz="4" w:space="0"/>
            </w:tcBorders>
            <w:noWrap w:val="0"/>
            <w:vAlign w:val="center"/>
          </w:tcPr>
          <w:p w14:paraId="628A1A7B">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《中华人民共和国生态环境法典》第一千一百五十九条</w:t>
            </w:r>
            <w:r>
              <w:rPr>
                <w:rFonts w:hint="eastAsia" w:ascii="宋体" w:hAnsi="宋体" w:eastAsia="宋体" w:cs="宋体"/>
                <w:color w:val="auto"/>
                <w:sz w:val="21"/>
                <w:szCs w:val="21"/>
                <w:highlight w:val="none"/>
                <w:lang w:val="en-US" w:eastAsia="zh-CN"/>
              </w:rPr>
              <w:t xml:space="preserve">第一款第二项、第二款  </w:t>
            </w:r>
            <w:r>
              <w:rPr>
                <w:rFonts w:hint="eastAsia" w:ascii="宋体" w:hAnsi="宋体" w:eastAsia="宋体" w:cs="宋体"/>
                <w:color w:val="auto"/>
                <w:sz w:val="21"/>
                <w:szCs w:val="21"/>
                <w:highlight w:val="none"/>
              </w:rPr>
              <w:t>违反本法规定，有下列情形之一的，由地方人民政府负有生态环境保护监督管理职责的部门按照职责分工责令改正，处以罚款；拒不改正的，责令限制生产、停产整治：</w:t>
            </w:r>
          </w:p>
          <w:p w14:paraId="7C39E08C">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（二）土壤污染重点监管单位拆除设施、设备或者建筑物、构筑物未制定并实施土壤污染防治工作方案；</w:t>
            </w:r>
          </w:p>
          <w:p w14:paraId="782C1B15">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有前款情形之一的，处二万元以上二十万元以下的罚款；有前款第二项至第五项情形之一。</w:t>
            </w:r>
          </w:p>
        </w:tc>
      </w:tr>
      <w:tr w14:paraId="2A5CC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4" w:type="dxa"/>
            <w:tcBorders>
              <w:top w:val="single" w:color="auto" w:sz="4" w:space="0"/>
              <w:left w:val="single" w:color="auto" w:sz="4" w:space="0"/>
              <w:bottom w:val="single" w:color="auto" w:sz="4" w:space="0"/>
              <w:right w:val="single" w:color="auto" w:sz="4" w:space="0"/>
            </w:tcBorders>
            <w:noWrap w:val="0"/>
            <w:vAlign w:val="center"/>
          </w:tcPr>
          <w:p w14:paraId="2F42884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540" w:type="dxa"/>
            <w:tcBorders>
              <w:top w:val="single" w:color="auto" w:sz="4" w:space="0"/>
              <w:left w:val="single" w:color="auto" w:sz="4" w:space="0"/>
              <w:bottom w:val="single" w:color="auto" w:sz="4" w:space="0"/>
              <w:right w:val="single" w:color="auto" w:sz="4" w:space="0"/>
            </w:tcBorders>
            <w:noWrap w:val="0"/>
            <w:vAlign w:val="center"/>
          </w:tcPr>
          <w:p w14:paraId="226012F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268" w:type="dxa"/>
            <w:tcBorders>
              <w:top w:val="single" w:color="auto" w:sz="4" w:space="0"/>
              <w:left w:val="single" w:color="auto" w:sz="4" w:space="0"/>
              <w:bottom w:val="single" w:color="auto" w:sz="4" w:space="0"/>
              <w:right w:val="single" w:color="auto" w:sz="4" w:space="0"/>
            </w:tcBorders>
            <w:noWrap w:val="0"/>
            <w:vAlign w:val="center"/>
          </w:tcPr>
          <w:p w14:paraId="6FDFB3A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6A8A3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4" w:type="dxa"/>
            <w:vMerge w:val="restart"/>
            <w:tcBorders>
              <w:top w:val="single" w:color="auto" w:sz="4" w:space="0"/>
              <w:left w:val="single" w:color="auto" w:sz="4" w:space="0"/>
              <w:right w:val="single" w:color="auto" w:sz="4" w:space="0"/>
            </w:tcBorders>
            <w:noWrap w:val="0"/>
            <w:vAlign w:val="center"/>
          </w:tcPr>
          <w:p w14:paraId="769FF87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违法事实</w:t>
            </w:r>
          </w:p>
        </w:tc>
        <w:tc>
          <w:tcPr>
            <w:tcW w:w="5540" w:type="dxa"/>
            <w:tcBorders>
              <w:top w:val="single" w:color="auto" w:sz="4" w:space="0"/>
              <w:left w:val="single" w:color="auto" w:sz="4" w:space="0"/>
              <w:bottom w:val="single" w:color="auto" w:sz="4" w:space="0"/>
              <w:right w:val="single" w:color="auto" w:sz="4" w:space="0"/>
            </w:tcBorders>
            <w:noWrap w:val="0"/>
            <w:vAlign w:val="center"/>
          </w:tcPr>
          <w:p w14:paraId="7FCF1F50">
            <w:pPr>
              <w:keepNext w:val="0"/>
              <w:keepLines w:val="0"/>
              <w:pageBreakBefore w:val="0"/>
              <w:widowControl w:val="0"/>
              <w:kinsoku/>
              <w:wordWrap/>
              <w:overflowPunct/>
              <w:topLinePunct w:val="0"/>
              <w:autoSpaceDE/>
              <w:autoSpaceDN/>
              <w:bidi w:val="0"/>
              <w:adjustRightInd w:val="0"/>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未制定方案，实施了土壤污染防治工作</w:t>
            </w:r>
          </w:p>
        </w:tc>
        <w:tc>
          <w:tcPr>
            <w:tcW w:w="1268" w:type="dxa"/>
            <w:tcBorders>
              <w:top w:val="single" w:color="auto" w:sz="4" w:space="0"/>
              <w:left w:val="single" w:color="auto" w:sz="4" w:space="0"/>
              <w:bottom w:val="single" w:color="auto" w:sz="4" w:space="0"/>
              <w:right w:val="single" w:color="auto" w:sz="4" w:space="0"/>
            </w:tcBorders>
            <w:noWrap w:val="0"/>
            <w:vAlign w:val="center"/>
          </w:tcPr>
          <w:p w14:paraId="02EF71D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69702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4" w:type="dxa"/>
            <w:vMerge w:val="continue"/>
            <w:tcBorders>
              <w:left w:val="single" w:color="auto" w:sz="4" w:space="0"/>
              <w:right w:val="single" w:color="auto" w:sz="4" w:space="0"/>
            </w:tcBorders>
            <w:noWrap w:val="0"/>
            <w:vAlign w:val="center"/>
          </w:tcPr>
          <w:p w14:paraId="78874442">
            <w:pPr>
              <w:jc w:val="center"/>
              <w:rPr>
                <w:rFonts w:hint="eastAsia" w:ascii="宋体" w:hAnsi="宋体" w:eastAsia="宋体" w:cs="宋体"/>
                <w:color w:val="auto"/>
                <w:sz w:val="21"/>
                <w:szCs w:val="21"/>
                <w:highlight w:val="none"/>
              </w:rPr>
            </w:pPr>
          </w:p>
        </w:tc>
        <w:tc>
          <w:tcPr>
            <w:tcW w:w="5540" w:type="dxa"/>
            <w:tcBorders>
              <w:top w:val="single" w:color="auto" w:sz="4" w:space="0"/>
              <w:left w:val="single" w:color="auto" w:sz="4" w:space="0"/>
              <w:bottom w:val="single" w:color="auto" w:sz="4" w:space="0"/>
              <w:right w:val="single" w:color="auto" w:sz="4" w:space="0"/>
            </w:tcBorders>
            <w:noWrap w:val="0"/>
            <w:vAlign w:val="center"/>
          </w:tcPr>
          <w:p w14:paraId="2BEA2CCB">
            <w:pPr>
              <w:keepNext w:val="0"/>
              <w:keepLines w:val="0"/>
              <w:pageBreakBefore w:val="0"/>
              <w:widowControl w:val="0"/>
              <w:kinsoku/>
              <w:wordWrap/>
              <w:overflowPunct/>
              <w:topLinePunct w:val="0"/>
              <w:autoSpaceDE/>
              <w:autoSpaceDN/>
              <w:bidi w:val="0"/>
              <w:adjustRightInd w:val="0"/>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未制定方案，实施了</w:t>
            </w:r>
            <w:r>
              <w:rPr>
                <w:rFonts w:hint="eastAsia" w:ascii="宋体" w:hAnsi="宋体" w:eastAsia="宋体" w:cs="宋体"/>
                <w:color w:val="auto"/>
                <w:sz w:val="21"/>
                <w:szCs w:val="21"/>
                <w:highlight w:val="none"/>
                <w:lang w:val="en-US" w:eastAsia="zh-CN"/>
              </w:rPr>
              <w:t>部分</w:t>
            </w:r>
            <w:r>
              <w:rPr>
                <w:rFonts w:hint="eastAsia" w:ascii="宋体" w:hAnsi="宋体" w:eastAsia="宋体" w:cs="宋体"/>
                <w:color w:val="auto"/>
                <w:sz w:val="21"/>
                <w:szCs w:val="21"/>
                <w:highlight w:val="none"/>
              </w:rPr>
              <w:t>土壤污染防治工作</w:t>
            </w:r>
          </w:p>
        </w:tc>
        <w:tc>
          <w:tcPr>
            <w:tcW w:w="1268" w:type="dxa"/>
            <w:tcBorders>
              <w:top w:val="single" w:color="auto" w:sz="4" w:space="0"/>
              <w:left w:val="single" w:color="auto" w:sz="4" w:space="0"/>
              <w:bottom w:val="single" w:color="auto" w:sz="4" w:space="0"/>
              <w:right w:val="single" w:color="auto" w:sz="4" w:space="0"/>
            </w:tcBorders>
            <w:noWrap w:val="0"/>
            <w:vAlign w:val="center"/>
          </w:tcPr>
          <w:p w14:paraId="1CCF1D01">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r>
      <w:tr w14:paraId="16037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4" w:type="dxa"/>
            <w:vMerge w:val="continue"/>
            <w:tcBorders>
              <w:top w:val="single" w:color="auto" w:sz="4" w:space="0"/>
              <w:left w:val="single" w:color="auto" w:sz="4" w:space="0"/>
              <w:bottom w:val="single" w:color="auto" w:sz="4" w:space="0"/>
              <w:right w:val="single" w:color="auto" w:sz="4" w:space="0"/>
            </w:tcBorders>
            <w:noWrap w:val="0"/>
            <w:vAlign w:val="center"/>
          </w:tcPr>
          <w:p w14:paraId="0B9E618C">
            <w:pPr>
              <w:rPr>
                <w:rFonts w:hint="eastAsia" w:ascii="宋体" w:hAnsi="宋体" w:eastAsia="宋体" w:cs="宋体"/>
                <w:color w:val="auto"/>
                <w:sz w:val="21"/>
                <w:szCs w:val="21"/>
                <w:highlight w:val="none"/>
              </w:rPr>
            </w:pPr>
          </w:p>
        </w:tc>
        <w:tc>
          <w:tcPr>
            <w:tcW w:w="5540" w:type="dxa"/>
            <w:tcBorders>
              <w:top w:val="single" w:color="auto" w:sz="4" w:space="0"/>
              <w:left w:val="single" w:color="auto" w:sz="4" w:space="0"/>
              <w:bottom w:val="single" w:color="auto" w:sz="4" w:space="0"/>
              <w:right w:val="single" w:color="auto" w:sz="4" w:space="0"/>
            </w:tcBorders>
            <w:noWrap w:val="0"/>
            <w:vAlign w:val="center"/>
          </w:tcPr>
          <w:p w14:paraId="31E12952">
            <w:pPr>
              <w:keepNext w:val="0"/>
              <w:keepLines w:val="0"/>
              <w:pageBreakBefore w:val="0"/>
              <w:widowControl w:val="0"/>
              <w:kinsoku/>
              <w:wordWrap/>
              <w:overflowPunct/>
              <w:topLinePunct w:val="0"/>
              <w:autoSpaceDE/>
              <w:autoSpaceDN/>
              <w:bidi w:val="0"/>
              <w:adjustRightInd w:val="0"/>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制定了方案，但未实施土壤污染防治工作</w:t>
            </w:r>
          </w:p>
        </w:tc>
        <w:tc>
          <w:tcPr>
            <w:tcW w:w="1268" w:type="dxa"/>
            <w:tcBorders>
              <w:top w:val="single" w:color="auto" w:sz="4" w:space="0"/>
              <w:left w:val="single" w:color="auto" w:sz="4" w:space="0"/>
              <w:bottom w:val="single" w:color="auto" w:sz="4" w:space="0"/>
              <w:right w:val="single" w:color="auto" w:sz="4" w:space="0"/>
            </w:tcBorders>
            <w:noWrap w:val="0"/>
            <w:vAlign w:val="center"/>
          </w:tcPr>
          <w:p w14:paraId="25BB58CB">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3</w:t>
            </w:r>
          </w:p>
        </w:tc>
      </w:tr>
      <w:tr w14:paraId="4E230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4" w:type="dxa"/>
            <w:vMerge w:val="continue"/>
            <w:tcBorders>
              <w:top w:val="single" w:color="auto" w:sz="4" w:space="0"/>
              <w:left w:val="single" w:color="auto" w:sz="4" w:space="0"/>
              <w:bottom w:val="single" w:color="auto" w:sz="4" w:space="0"/>
              <w:right w:val="single" w:color="auto" w:sz="4" w:space="0"/>
            </w:tcBorders>
            <w:noWrap w:val="0"/>
            <w:vAlign w:val="center"/>
          </w:tcPr>
          <w:p w14:paraId="06D42932">
            <w:pPr>
              <w:rPr>
                <w:rFonts w:hint="eastAsia" w:ascii="宋体" w:hAnsi="宋体" w:eastAsia="宋体" w:cs="宋体"/>
                <w:color w:val="auto"/>
                <w:sz w:val="21"/>
                <w:szCs w:val="21"/>
                <w:highlight w:val="none"/>
              </w:rPr>
            </w:pPr>
          </w:p>
        </w:tc>
        <w:tc>
          <w:tcPr>
            <w:tcW w:w="5540" w:type="dxa"/>
            <w:tcBorders>
              <w:top w:val="single" w:color="auto" w:sz="4" w:space="0"/>
              <w:left w:val="single" w:color="auto" w:sz="4" w:space="0"/>
              <w:bottom w:val="single" w:color="auto" w:sz="4" w:space="0"/>
              <w:right w:val="single" w:color="auto" w:sz="4" w:space="0"/>
            </w:tcBorders>
            <w:noWrap w:val="0"/>
            <w:vAlign w:val="center"/>
          </w:tcPr>
          <w:p w14:paraId="23284B45">
            <w:pPr>
              <w:keepNext w:val="0"/>
              <w:keepLines w:val="0"/>
              <w:pageBreakBefore w:val="0"/>
              <w:widowControl w:val="0"/>
              <w:kinsoku/>
              <w:wordWrap/>
              <w:overflowPunct/>
              <w:topLinePunct w:val="0"/>
              <w:autoSpaceDE/>
              <w:autoSpaceDN/>
              <w:bidi w:val="0"/>
              <w:adjustRightInd w:val="0"/>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未制定方案，未实施土壤污染防治工作</w:t>
            </w:r>
          </w:p>
        </w:tc>
        <w:tc>
          <w:tcPr>
            <w:tcW w:w="1268" w:type="dxa"/>
            <w:tcBorders>
              <w:top w:val="single" w:color="auto" w:sz="4" w:space="0"/>
              <w:left w:val="single" w:color="auto" w:sz="4" w:space="0"/>
              <w:bottom w:val="single" w:color="auto" w:sz="4" w:space="0"/>
              <w:right w:val="single" w:color="auto" w:sz="4" w:space="0"/>
            </w:tcBorders>
            <w:noWrap w:val="0"/>
            <w:vAlign w:val="center"/>
          </w:tcPr>
          <w:p w14:paraId="4E0F92F3">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5</w:t>
            </w:r>
          </w:p>
        </w:tc>
      </w:tr>
      <w:tr w14:paraId="3AC79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4" w:type="dxa"/>
            <w:vMerge w:val="restart"/>
            <w:tcBorders>
              <w:top w:val="single" w:color="auto" w:sz="4" w:space="0"/>
              <w:left w:val="single" w:color="auto" w:sz="4" w:space="0"/>
              <w:right w:val="single" w:color="auto" w:sz="4" w:space="0"/>
            </w:tcBorders>
            <w:noWrap w:val="0"/>
            <w:vAlign w:val="center"/>
          </w:tcPr>
          <w:p w14:paraId="5885FD2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拆除建筑面积</w:t>
            </w:r>
          </w:p>
        </w:tc>
        <w:tc>
          <w:tcPr>
            <w:tcW w:w="5540" w:type="dxa"/>
            <w:tcBorders>
              <w:top w:val="single" w:color="auto" w:sz="4" w:space="0"/>
              <w:left w:val="single" w:color="auto" w:sz="4" w:space="0"/>
              <w:bottom w:val="single" w:color="auto" w:sz="4" w:space="0"/>
              <w:right w:val="single" w:color="auto" w:sz="4" w:space="0"/>
            </w:tcBorders>
            <w:noWrap w:val="0"/>
            <w:vAlign w:val="center"/>
          </w:tcPr>
          <w:p w14:paraId="76209738">
            <w:pPr>
              <w:keepNext w:val="0"/>
              <w:keepLines w:val="0"/>
              <w:pageBreakBefore w:val="0"/>
              <w:widowControl w:val="0"/>
              <w:kinsoku/>
              <w:wordWrap/>
              <w:overflowPunct/>
              <w:topLinePunct w:val="0"/>
              <w:autoSpaceDE/>
              <w:autoSpaceDN/>
              <w:bidi w:val="0"/>
              <w:snapToGrid/>
              <w:ind w:firstLine="420" w:firstLineChars="20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不足500</w:t>
            </w:r>
            <w:r>
              <w:rPr>
                <w:rFonts w:hint="eastAsia" w:ascii="宋体" w:hAnsi="宋体" w:cs="宋体"/>
                <w:color w:val="auto"/>
                <w:sz w:val="21"/>
                <w:szCs w:val="21"/>
                <w:highlight w:val="none"/>
                <w:lang w:eastAsia="zh-CN"/>
              </w:rPr>
              <w:t>平方米</w:t>
            </w:r>
          </w:p>
        </w:tc>
        <w:tc>
          <w:tcPr>
            <w:tcW w:w="1268" w:type="dxa"/>
            <w:tcBorders>
              <w:top w:val="single" w:color="auto" w:sz="4" w:space="0"/>
              <w:left w:val="single" w:color="auto" w:sz="4" w:space="0"/>
              <w:bottom w:val="single" w:color="auto" w:sz="4" w:space="0"/>
              <w:right w:val="single" w:color="auto" w:sz="4" w:space="0"/>
            </w:tcBorders>
            <w:noWrap w:val="0"/>
            <w:vAlign w:val="center"/>
          </w:tcPr>
          <w:p w14:paraId="334258C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7B992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4" w:type="dxa"/>
            <w:vMerge w:val="continue"/>
            <w:tcBorders>
              <w:top w:val="single" w:color="auto" w:sz="4" w:space="0"/>
              <w:left w:val="single" w:color="auto" w:sz="4" w:space="0"/>
              <w:bottom w:val="single" w:color="auto" w:sz="4" w:space="0"/>
              <w:right w:val="single" w:color="auto" w:sz="4" w:space="0"/>
            </w:tcBorders>
            <w:noWrap w:val="0"/>
            <w:vAlign w:val="center"/>
          </w:tcPr>
          <w:p w14:paraId="79B78A11">
            <w:pPr>
              <w:rPr>
                <w:rFonts w:hint="eastAsia" w:ascii="宋体" w:hAnsi="宋体" w:eastAsia="宋体" w:cs="宋体"/>
                <w:color w:val="auto"/>
                <w:sz w:val="21"/>
                <w:szCs w:val="21"/>
                <w:highlight w:val="none"/>
              </w:rPr>
            </w:pPr>
          </w:p>
        </w:tc>
        <w:tc>
          <w:tcPr>
            <w:tcW w:w="5540" w:type="dxa"/>
            <w:tcBorders>
              <w:top w:val="single" w:color="auto" w:sz="4" w:space="0"/>
              <w:left w:val="single" w:color="auto" w:sz="4" w:space="0"/>
              <w:bottom w:val="single" w:color="auto" w:sz="4" w:space="0"/>
              <w:right w:val="single" w:color="auto" w:sz="4" w:space="0"/>
            </w:tcBorders>
            <w:noWrap w:val="0"/>
            <w:vAlign w:val="center"/>
          </w:tcPr>
          <w:p w14:paraId="3FA6150A">
            <w:pPr>
              <w:keepNext w:val="0"/>
              <w:keepLines w:val="0"/>
              <w:pageBreakBefore w:val="0"/>
              <w:widowControl w:val="0"/>
              <w:kinsoku/>
              <w:wordWrap/>
              <w:overflowPunct/>
              <w:topLinePunct w:val="0"/>
              <w:autoSpaceDE/>
              <w:autoSpaceDN/>
              <w:bidi w:val="0"/>
              <w:snapToGrid/>
              <w:ind w:firstLine="420" w:firstLineChars="20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500</w:t>
            </w:r>
            <w:r>
              <w:rPr>
                <w:rFonts w:hint="eastAsia" w:ascii="宋体" w:hAnsi="宋体" w:cs="宋体"/>
                <w:color w:val="auto"/>
                <w:sz w:val="21"/>
                <w:szCs w:val="21"/>
                <w:highlight w:val="none"/>
                <w:lang w:eastAsia="zh-CN"/>
              </w:rPr>
              <w:t>平方米</w:t>
            </w:r>
            <w:r>
              <w:rPr>
                <w:rFonts w:hint="eastAsia" w:ascii="宋体" w:hAnsi="宋体" w:eastAsia="宋体" w:cs="宋体"/>
                <w:color w:val="auto"/>
                <w:sz w:val="21"/>
                <w:szCs w:val="21"/>
                <w:highlight w:val="none"/>
              </w:rPr>
              <w:t>以上不足5000</w:t>
            </w:r>
            <w:r>
              <w:rPr>
                <w:rFonts w:hint="eastAsia" w:ascii="宋体" w:hAnsi="宋体" w:cs="宋体"/>
                <w:color w:val="auto"/>
                <w:sz w:val="21"/>
                <w:szCs w:val="21"/>
                <w:highlight w:val="none"/>
                <w:lang w:eastAsia="zh-CN"/>
              </w:rPr>
              <w:t>平方米</w:t>
            </w:r>
          </w:p>
        </w:tc>
        <w:tc>
          <w:tcPr>
            <w:tcW w:w="1268" w:type="dxa"/>
            <w:tcBorders>
              <w:top w:val="single" w:color="auto" w:sz="4" w:space="0"/>
              <w:left w:val="single" w:color="auto" w:sz="4" w:space="0"/>
              <w:bottom w:val="single" w:color="auto" w:sz="4" w:space="0"/>
              <w:right w:val="single" w:color="auto" w:sz="4" w:space="0"/>
            </w:tcBorders>
            <w:noWrap w:val="0"/>
            <w:vAlign w:val="center"/>
          </w:tcPr>
          <w:p w14:paraId="23227B5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r>
      <w:tr w14:paraId="46956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4" w:type="dxa"/>
            <w:vMerge w:val="continue"/>
            <w:tcBorders>
              <w:top w:val="single" w:color="auto" w:sz="4" w:space="0"/>
              <w:left w:val="single" w:color="auto" w:sz="4" w:space="0"/>
              <w:bottom w:val="single" w:color="auto" w:sz="4" w:space="0"/>
              <w:right w:val="single" w:color="auto" w:sz="4" w:space="0"/>
            </w:tcBorders>
            <w:noWrap w:val="0"/>
            <w:vAlign w:val="center"/>
          </w:tcPr>
          <w:p w14:paraId="01F04FE0">
            <w:pPr>
              <w:rPr>
                <w:rFonts w:hint="eastAsia" w:ascii="宋体" w:hAnsi="宋体" w:eastAsia="宋体" w:cs="宋体"/>
                <w:color w:val="auto"/>
                <w:sz w:val="21"/>
                <w:szCs w:val="21"/>
                <w:highlight w:val="none"/>
              </w:rPr>
            </w:pPr>
          </w:p>
        </w:tc>
        <w:tc>
          <w:tcPr>
            <w:tcW w:w="5540" w:type="dxa"/>
            <w:tcBorders>
              <w:top w:val="single" w:color="auto" w:sz="4" w:space="0"/>
              <w:left w:val="single" w:color="auto" w:sz="4" w:space="0"/>
              <w:bottom w:val="single" w:color="auto" w:sz="4" w:space="0"/>
              <w:right w:val="single" w:color="auto" w:sz="4" w:space="0"/>
            </w:tcBorders>
            <w:noWrap w:val="0"/>
            <w:vAlign w:val="center"/>
          </w:tcPr>
          <w:p w14:paraId="35DC9A56">
            <w:pPr>
              <w:keepNext w:val="0"/>
              <w:keepLines w:val="0"/>
              <w:pageBreakBefore w:val="0"/>
              <w:widowControl w:val="0"/>
              <w:kinsoku/>
              <w:wordWrap/>
              <w:overflowPunct/>
              <w:topLinePunct w:val="0"/>
              <w:autoSpaceDE/>
              <w:autoSpaceDN/>
              <w:bidi w:val="0"/>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5000</w:t>
            </w:r>
            <w:r>
              <w:rPr>
                <w:rFonts w:hint="eastAsia" w:ascii="宋体" w:hAnsi="宋体" w:cs="宋体"/>
                <w:color w:val="auto"/>
                <w:sz w:val="21"/>
                <w:szCs w:val="21"/>
                <w:highlight w:val="none"/>
                <w:lang w:eastAsia="zh-CN"/>
              </w:rPr>
              <w:t>平方米</w:t>
            </w:r>
            <w:r>
              <w:rPr>
                <w:rFonts w:hint="eastAsia" w:ascii="宋体" w:hAnsi="宋体" w:eastAsia="宋体" w:cs="宋体"/>
                <w:color w:val="auto"/>
                <w:sz w:val="21"/>
                <w:szCs w:val="21"/>
                <w:highlight w:val="none"/>
              </w:rPr>
              <w:t xml:space="preserve"> 以上不足10000</w:t>
            </w:r>
            <w:r>
              <w:rPr>
                <w:rFonts w:hint="eastAsia" w:ascii="宋体" w:hAnsi="宋体" w:cs="宋体"/>
                <w:color w:val="auto"/>
                <w:sz w:val="21"/>
                <w:szCs w:val="21"/>
                <w:highlight w:val="none"/>
                <w:lang w:eastAsia="zh-CN"/>
              </w:rPr>
              <w:t>平方米</w:t>
            </w:r>
            <w:r>
              <w:rPr>
                <w:rFonts w:hint="eastAsia" w:ascii="宋体" w:hAnsi="宋体" w:eastAsia="宋体" w:cs="宋体"/>
                <w:color w:val="auto"/>
                <w:sz w:val="21"/>
                <w:szCs w:val="21"/>
                <w:highlight w:val="none"/>
              </w:rPr>
              <w:t xml:space="preserve"> </w:t>
            </w:r>
          </w:p>
        </w:tc>
        <w:tc>
          <w:tcPr>
            <w:tcW w:w="1268" w:type="dxa"/>
            <w:tcBorders>
              <w:top w:val="single" w:color="auto" w:sz="4" w:space="0"/>
              <w:left w:val="single" w:color="auto" w:sz="4" w:space="0"/>
              <w:bottom w:val="single" w:color="auto" w:sz="4" w:space="0"/>
              <w:right w:val="single" w:color="auto" w:sz="4" w:space="0"/>
            </w:tcBorders>
            <w:noWrap w:val="0"/>
            <w:vAlign w:val="center"/>
          </w:tcPr>
          <w:p w14:paraId="555D62F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3816A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4" w:type="dxa"/>
            <w:vMerge w:val="continue"/>
            <w:tcBorders>
              <w:top w:val="single" w:color="auto" w:sz="4" w:space="0"/>
              <w:left w:val="single" w:color="auto" w:sz="4" w:space="0"/>
              <w:bottom w:val="single" w:color="auto" w:sz="4" w:space="0"/>
              <w:right w:val="single" w:color="auto" w:sz="4" w:space="0"/>
            </w:tcBorders>
            <w:noWrap w:val="0"/>
            <w:vAlign w:val="center"/>
          </w:tcPr>
          <w:p w14:paraId="0C207C74">
            <w:pPr>
              <w:rPr>
                <w:rFonts w:hint="eastAsia" w:ascii="宋体" w:hAnsi="宋体" w:eastAsia="宋体" w:cs="宋体"/>
                <w:color w:val="auto"/>
                <w:sz w:val="21"/>
                <w:szCs w:val="21"/>
                <w:highlight w:val="none"/>
              </w:rPr>
            </w:pPr>
          </w:p>
        </w:tc>
        <w:tc>
          <w:tcPr>
            <w:tcW w:w="5540" w:type="dxa"/>
            <w:tcBorders>
              <w:top w:val="single" w:color="auto" w:sz="4" w:space="0"/>
              <w:left w:val="single" w:color="auto" w:sz="4" w:space="0"/>
              <w:bottom w:val="single" w:color="auto" w:sz="4" w:space="0"/>
              <w:right w:val="single" w:color="auto" w:sz="4" w:space="0"/>
            </w:tcBorders>
            <w:noWrap w:val="0"/>
            <w:vAlign w:val="bottom"/>
          </w:tcPr>
          <w:p w14:paraId="02C0918E">
            <w:pPr>
              <w:keepNext w:val="0"/>
              <w:keepLines w:val="0"/>
              <w:pageBreakBefore w:val="0"/>
              <w:widowControl w:val="0"/>
              <w:kinsoku/>
              <w:wordWrap/>
              <w:overflowPunct/>
              <w:topLinePunct w:val="0"/>
              <w:autoSpaceDE/>
              <w:autoSpaceDN/>
              <w:bidi w:val="0"/>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10000</w:t>
            </w:r>
            <w:r>
              <w:rPr>
                <w:rFonts w:hint="eastAsia" w:ascii="宋体" w:hAnsi="宋体" w:cs="宋体"/>
                <w:color w:val="auto"/>
                <w:sz w:val="21"/>
                <w:szCs w:val="21"/>
                <w:highlight w:val="none"/>
                <w:lang w:eastAsia="zh-CN"/>
              </w:rPr>
              <w:t>平方米</w:t>
            </w:r>
            <w:r>
              <w:rPr>
                <w:rFonts w:hint="eastAsia" w:ascii="宋体" w:hAnsi="宋体" w:eastAsia="宋体" w:cs="宋体"/>
                <w:color w:val="auto"/>
                <w:sz w:val="21"/>
                <w:szCs w:val="21"/>
                <w:highlight w:val="none"/>
              </w:rPr>
              <w:t xml:space="preserve"> 以上不足 20000</w:t>
            </w:r>
            <w:r>
              <w:rPr>
                <w:rFonts w:hint="eastAsia" w:ascii="宋体" w:hAnsi="宋体" w:cs="宋体"/>
                <w:color w:val="auto"/>
                <w:sz w:val="21"/>
                <w:szCs w:val="21"/>
                <w:highlight w:val="none"/>
                <w:lang w:eastAsia="zh-CN"/>
              </w:rPr>
              <w:t>平方米</w:t>
            </w:r>
            <w:r>
              <w:rPr>
                <w:rFonts w:hint="eastAsia" w:ascii="宋体" w:hAnsi="宋体" w:eastAsia="宋体" w:cs="宋体"/>
                <w:color w:val="auto"/>
                <w:sz w:val="21"/>
                <w:szCs w:val="21"/>
                <w:highlight w:val="none"/>
              </w:rPr>
              <w:t xml:space="preserve"> </w:t>
            </w:r>
          </w:p>
        </w:tc>
        <w:tc>
          <w:tcPr>
            <w:tcW w:w="1268" w:type="dxa"/>
            <w:tcBorders>
              <w:top w:val="single" w:color="auto" w:sz="4" w:space="0"/>
              <w:left w:val="single" w:color="auto" w:sz="4" w:space="0"/>
              <w:bottom w:val="single" w:color="auto" w:sz="4" w:space="0"/>
              <w:right w:val="single" w:color="auto" w:sz="4" w:space="0"/>
            </w:tcBorders>
            <w:noWrap w:val="0"/>
            <w:vAlign w:val="bottom"/>
          </w:tcPr>
          <w:p w14:paraId="52BA6BD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r>
      <w:tr w14:paraId="0F28E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4" w:type="dxa"/>
            <w:vMerge w:val="continue"/>
            <w:tcBorders>
              <w:top w:val="single" w:color="auto" w:sz="4" w:space="0"/>
              <w:left w:val="single" w:color="auto" w:sz="4" w:space="0"/>
              <w:bottom w:val="single" w:color="auto" w:sz="4" w:space="0"/>
              <w:right w:val="single" w:color="auto" w:sz="4" w:space="0"/>
            </w:tcBorders>
            <w:noWrap w:val="0"/>
            <w:vAlign w:val="center"/>
          </w:tcPr>
          <w:p w14:paraId="17DCDC9E">
            <w:pPr>
              <w:rPr>
                <w:rFonts w:hint="eastAsia" w:ascii="宋体" w:hAnsi="宋体" w:eastAsia="宋体" w:cs="宋体"/>
                <w:color w:val="auto"/>
                <w:sz w:val="21"/>
                <w:szCs w:val="21"/>
                <w:highlight w:val="none"/>
              </w:rPr>
            </w:pPr>
          </w:p>
        </w:tc>
        <w:tc>
          <w:tcPr>
            <w:tcW w:w="5540" w:type="dxa"/>
            <w:tcBorders>
              <w:top w:val="single" w:color="auto" w:sz="4" w:space="0"/>
              <w:left w:val="single" w:color="auto" w:sz="4" w:space="0"/>
              <w:bottom w:val="single" w:color="auto" w:sz="4" w:space="0"/>
              <w:right w:val="single" w:color="auto" w:sz="4" w:space="0"/>
            </w:tcBorders>
            <w:noWrap w:val="0"/>
            <w:vAlign w:val="center"/>
          </w:tcPr>
          <w:p w14:paraId="1B8C208D">
            <w:pPr>
              <w:keepNext w:val="0"/>
              <w:keepLines w:val="0"/>
              <w:pageBreakBefore w:val="0"/>
              <w:widowControl w:val="0"/>
              <w:kinsoku/>
              <w:wordWrap/>
              <w:overflowPunct/>
              <w:topLinePunct w:val="0"/>
              <w:autoSpaceDE/>
              <w:autoSpaceDN/>
              <w:bidi w:val="0"/>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20000</w:t>
            </w:r>
            <w:r>
              <w:rPr>
                <w:rFonts w:hint="eastAsia" w:ascii="宋体" w:hAnsi="宋体" w:cs="宋体"/>
                <w:color w:val="auto"/>
                <w:sz w:val="21"/>
                <w:szCs w:val="21"/>
                <w:highlight w:val="none"/>
                <w:lang w:eastAsia="zh-CN"/>
              </w:rPr>
              <w:t>平方米</w:t>
            </w:r>
            <w:r>
              <w:rPr>
                <w:rFonts w:hint="eastAsia" w:ascii="宋体" w:hAnsi="宋体" w:eastAsia="宋体" w:cs="宋体"/>
                <w:color w:val="auto"/>
                <w:sz w:val="21"/>
                <w:szCs w:val="21"/>
                <w:highlight w:val="none"/>
              </w:rPr>
              <w:t xml:space="preserve"> 以上</w:t>
            </w:r>
          </w:p>
        </w:tc>
        <w:tc>
          <w:tcPr>
            <w:tcW w:w="1268" w:type="dxa"/>
            <w:tcBorders>
              <w:top w:val="single" w:color="auto" w:sz="4" w:space="0"/>
              <w:left w:val="single" w:color="auto" w:sz="4" w:space="0"/>
              <w:bottom w:val="single" w:color="auto" w:sz="4" w:space="0"/>
              <w:right w:val="single" w:color="auto" w:sz="4" w:space="0"/>
            </w:tcBorders>
            <w:noWrap w:val="0"/>
            <w:vAlign w:val="center"/>
          </w:tcPr>
          <w:p w14:paraId="663E624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bl>
    <w:p w14:paraId="2EAE159D">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2"/>
        <w:gridCol w:w="5811"/>
        <w:gridCol w:w="1335"/>
      </w:tblGrid>
      <w:tr w14:paraId="33BF6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3"/>
            <w:tcBorders>
              <w:top w:val="single" w:color="auto" w:sz="4" w:space="0"/>
              <w:left w:val="single" w:color="auto" w:sz="4" w:space="0"/>
              <w:bottom w:val="single" w:color="auto" w:sz="4" w:space="0"/>
              <w:right w:val="single" w:color="auto" w:sz="4" w:space="0"/>
            </w:tcBorders>
            <w:noWrap w:val="0"/>
            <w:vAlign w:val="center"/>
          </w:tcPr>
          <w:p w14:paraId="756A2F88">
            <w:pPr>
              <w:jc w:val="center"/>
              <w:rPr>
                <w:rFonts w:hint="eastAsia" w:ascii="宋体" w:hAnsi="宋体" w:eastAsia="宋体" w:cs="宋体"/>
                <w:bCs/>
                <w:color w:val="auto"/>
                <w:sz w:val="21"/>
                <w:szCs w:val="21"/>
                <w:highlight w:val="none"/>
                <w:lang w:eastAsia="zh-CN"/>
              </w:rPr>
            </w:pPr>
            <w:r>
              <w:rPr>
                <w:rFonts w:hint="eastAsia" w:ascii="宋体" w:hAnsi="宋体" w:eastAsia="宋体" w:cs="宋体"/>
                <w:color w:val="auto"/>
                <w:sz w:val="21"/>
                <w:szCs w:val="21"/>
                <w:highlight w:val="none"/>
                <w:lang w:eastAsia="zh-CN"/>
              </w:rPr>
              <w:t>（七）土壤污染防治类</w:t>
            </w:r>
          </w:p>
        </w:tc>
      </w:tr>
      <w:tr w14:paraId="041A7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7" w:type="dxa"/>
            <w:tcBorders>
              <w:top w:val="single" w:color="auto" w:sz="4" w:space="0"/>
              <w:left w:val="single" w:color="auto" w:sz="4" w:space="0"/>
              <w:bottom w:val="single" w:color="auto" w:sz="4" w:space="0"/>
              <w:right w:val="single" w:color="auto" w:sz="4" w:space="0"/>
            </w:tcBorders>
            <w:noWrap w:val="0"/>
            <w:vAlign w:val="center"/>
          </w:tcPr>
          <w:p w14:paraId="14D1129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805" w:type="dxa"/>
            <w:gridSpan w:val="2"/>
            <w:tcBorders>
              <w:top w:val="single" w:color="auto" w:sz="4" w:space="0"/>
              <w:left w:val="single" w:color="auto" w:sz="4" w:space="0"/>
              <w:bottom w:val="single" w:color="auto" w:sz="4" w:space="0"/>
              <w:right w:val="single" w:color="auto" w:sz="4" w:space="0"/>
            </w:tcBorders>
            <w:noWrap w:val="0"/>
            <w:vAlign w:val="center"/>
          </w:tcPr>
          <w:p w14:paraId="3AC439C3">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r>
      <w:tr w14:paraId="72724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7" w:type="dxa"/>
            <w:tcBorders>
              <w:top w:val="single" w:color="auto" w:sz="4" w:space="0"/>
              <w:left w:val="single" w:color="auto" w:sz="4" w:space="0"/>
              <w:bottom w:val="single" w:color="auto" w:sz="4" w:space="0"/>
              <w:right w:val="single" w:color="auto" w:sz="4" w:space="0"/>
            </w:tcBorders>
            <w:noWrap w:val="0"/>
            <w:vAlign w:val="center"/>
          </w:tcPr>
          <w:p w14:paraId="48E26CC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6805" w:type="dxa"/>
            <w:gridSpan w:val="2"/>
            <w:tcBorders>
              <w:top w:val="single" w:color="auto" w:sz="4" w:space="0"/>
              <w:left w:val="single" w:color="auto" w:sz="4" w:space="0"/>
              <w:bottom w:val="single" w:color="auto" w:sz="4" w:space="0"/>
              <w:right w:val="single" w:color="auto" w:sz="4" w:space="0"/>
            </w:tcBorders>
            <w:noWrap w:val="0"/>
            <w:vAlign w:val="center"/>
          </w:tcPr>
          <w:p w14:paraId="55BBEAA9">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拆除设施、设备或者建筑物、构筑物未采取土壤污染防治措施的</w:t>
            </w:r>
          </w:p>
        </w:tc>
      </w:tr>
      <w:tr w14:paraId="17514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7" w:type="dxa"/>
            <w:tcBorders>
              <w:top w:val="single" w:color="auto" w:sz="4" w:space="0"/>
              <w:left w:val="single" w:color="auto" w:sz="4" w:space="0"/>
              <w:bottom w:val="single" w:color="auto" w:sz="4" w:space="0"/>
              <w:right w:val="single" w:color="auto" w:sz="4" w:space="0"/>
            </w:tcBorders>
            <w:noWrap w:val="0"/>
            <w:vAlign w:val="center"/>
          </w:tcPr>
          <w:p w14:paraId="74F7B92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6805" w:type="dxa"/>
            <w:gridSpan w:val="2"/>
            <w:tcBorders>
              <w:top w:val="single" w:color="auto" w:sz="4" w:space="0"/>
              <w:left w:val="single" w:color="auto" w:sz="4" w:space="0"/>
              <w:bottom w:val="single" w:color="auto" w:sz="4" w:space="0"/>
              <w:right w:val="single" w:color="auto" w:sz="4" w:space="0"/>
            </w:tcBorders>
            <w:noWrap w:val="0"/>
            <w:vAlign w:val="center"/>
          </w:tcPr>
          <w:p w14:paraId="50F04DF8">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《中华人民共和国生态环境法典》第四百一十五条</w:t>
            </w:r>
            <w:r>
              <w:rPr>
                <w:rFonts w:hint="eastAsia" w:ascii="宋体" w:hAnsi="宋体" w:eastAsia="宋体" w:cs="宋体"/>
                <w:color w:val="auto"/>
                <w:sz w:val="21"/>
                <w:szCs w:val="21"/>
                <w:highlight w:val="none"/>
                <w:lang w:val="en-US" w:eastAsia="zh-CN"/>
              </w:rPr>
              <w:t xml:space="preserve">第一款  </w:t>
            </w:r>
            <w:r>
              <w:rPr>
                <w:rFonts w:hint="eastAsia" w:ascii="宋体" w:hAnsi="宋体" w:eastAsia="宋体" w:cs="宋体"/>
                <w:color w:val="auto"/>
                <w:sz w:val="21"/>
                <w:szCs w:val="21"/>
                <w:highlight w:val="none"/>
              </w:rPr>
              <w:t>企业事业单位和其他生产经营者拆除设施、设备或者建筑物、构筑物的，应当采取相应的土壤污染防治措施。</w:t>
            </w:r>
          </w:p>
        </w:tc>
      </w:tr>
      <w:tr w14:paraId="006C7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0" w:hRule="atLeast"/>
          <w:jc w:val="center"/>
        </w:trPr>
        <w:tc>
          <w:tcPr>
            <w:tcW w:w="1717" w:type="dxa"/>
            <w:tcBorders>
              <w:top w:val="single" w:color="auto" w:sz="4" w:space="0"/>
              <w:left w:val="single" w:color="auto" w:sz="4" w:space="0"/>
              <w:bottom w:val="single" w:color="auto" w:sz="4" w:space="0"/>
              <w:right w:val="single" w:color="auto" w:sz="4" w:space="0"/>
            </w:tcBorders>
            <w:noWrap w:val="0"/>
            <w:vAlign w:val="center"/>
          </w:tcPr>
          <w:p w14:paraId="36A64DA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6805" w:type="dxa"/>
            <w:gridSpan w:val="2"/>
            <w:tcBorders>
              <w:top w:val="single" w:color="auto" w:sz="4" w:space="0"/>
              <w:left w:val="single" w:color="auto" w:sz="4" w:space="0"/>
              <w:bottom w:val="single" w:color="auto" w:sz="4" w:space="0"/>
              <w:right w:val="single" w:color="auto" w:sz="4" w:space="0"/>
            </w:tcBorders>
            <w:noWrap w:val="0"/>
            <w:vAlign w:val="center"/>
          </w:tcPr>
          <w:p w14:paraId="6D3E173D">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《中华人民共和国生态环境法典》第一千一百五十九条</w:t>
            </w:r>
            <w:r>
              <w:rPr>
                <w:rFonts w:hint="eastAsia" w:ascii="宋体" w:hAnsi="宋体" w:eastAsia="宋体" w:cs="宋体"/>
                <w:color w:val="auto"/>
                <w:sz w:val="21"/>
                <w:szCs w:val="21"/>
                <w:highlight w:val="none"/>
                <w:lang w:val="en-US" w:eastAsia="zh-CN"/>
              </w:rPr>
              <w:t xml:space="preserve">第一款第三项、第二款  </w:t>
            </w:r>
            <w:r>
              <w:rPr>
                <w:rFonts w:hint="eastAsia" w:ascii="宋体" w:hAnsi="宋体" w:eastAsia="宋体" w:cs="宋体"/>
                <w:color w:val="auto"/>
                <w:sz w:val="21"/>
                <w:szCs w:val="21"/>
                <w:highlight w:val="none"/>
              </w:rPr>
              <w:t>违反本法规定，有下列情形之一的，由地方人民政府负有生态环境保护监督管理职责的部门按照职责分工责令改正，处以罚款；拒不改正的，责令限制生产、停产整治：</w:t>
            </w:r>
          </w:p>
          <w:p w14:paraId="59DC18CC">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（三）拆除设施、设备或者建筑物、构筑物未采取土壤污染防治措施；</w:t>
            </w:r>
          </w:p>
          <w:p w14:paraId="49BA7A58">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有前款情形之一的，处二万元以上二十万元以下的罚款；有前款第二项至第五项情形之一。</w:t>
            </w:r>
          </w:p>
        </w:tc>
      </w:tr>
      <w:tr w14:paraId="7BDA9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7" w:type="dxa"/>
            <w:tcBorders>
              <w:top w:val="single" w:color="auto" w:sz="4" w:space="0"/>
              <w:left w:val="single" w:color="auto" w:sz="4" w:space="0"/>
              <w:bottom w:val="single" w:color="auto" w:sz="4" w:space="0"/>
              <w:right w:val="single" w:color="auto" w:sz="4" w:space="0"/>
            </w:tcBorders>
            <w:noWrap w:val="0"/>
            <w:vAlign w:val="center"/>
          </w:tcPr>
          <w:p w14:paraId="415ABAB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534" w:type="dxa"/>
            <w:tcBorders>
              <w:top w:val="single" w:color="auto" w:sz="4" w:space="0"/>
              <w:left w:val="single" w:color="auto" w:sz="4" w:space="0"/>
              <w:bottom w:val="single" w:color="auto" w:sz="4" w:space="0"/>
              <w:right w:val="single" w:color="auto" w:sz="4" w:space="0"/>
            </w:tcBorders>
            <w:noWrap w:val="0"/>
            <w:vAlign w:val="center"/>
          </w:tcPr>
          <w:p w14:paraId="4DADC82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271" w:type="dxa"/>
            <w:tcBorders>
              <w:top w:val="single" w:color="auto" w:sz="4" w:space="0"/>
              <w:left w:val="single" w:color="auto" w:sz="4" w:space="0"/>
              <w:bottom w:val="single" w:color="auto" w:sz="4" w:space="0"/>
              <w:right w:val="single" w:color="auto" w:sz="4" w:space="0"/>
            </w:tcBorders>
            <w:noWrap w:val="0"/>
            <w:vAlign w:val="center"/>
          </w:tcPr>
          <w:p w14:paraId="7A074CD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0312C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7" w:type="dxa"/>
            <w:vMerge w:val="restart"/>
            <w:tcBorders>
              <w:top w:val="single" w:color="auto" w:sz="4" w:space="0"/>
              <w:left w:val="single" w:color="auto" w:sz="4" w:space="0"/>
              <w:right w:val="single" w:color="auto" w:sz="4" w:space="0"/>
            </w:tcBorders>
            <w:noWrap w:val="0"/>
            <w:vAlign w:val="center"/>
          </w:tcPr>
          <w:p w14:paraId="26CF05F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违法事实</w:t>
            </w:r>
          </w:p>
        </w:tc>
        <w:tc>
          <w:tcPr>
            <w:tcW w:w="5534" w:type="dxa"/>
            <w:tcBorders>
              <w:top w:val="single" w:color="auto" w:sz="4" w:space="0"/>
              <w:left w:val="single" w:color="auto" w:sz="4" w:space="0"/>
              <w:bottom w:val="single" w:color="auto" w:sz="4" w:space="0"/>
              <w:right w:val="single" w:color="auto" w:sz="4" w:space="0"/>
            </w:tcBorders>
            <w:noWrap w:val="0"/>
            <w:vAlign w:val="center"/>
          </w:tcPr>
          <w:p w14:paraId="5BF4845A">
            <w:pPr>
              <w:keepNext w:val="0"/>
              <w:keepLines w:val="0"/>
              <w:pageBreakBefore w:val="0"/>
              <w:widowControl w:val="0"/>
              <w:kinsoku/>
              <w:wordWrap/>
              <w:overflowPunct/>
              <w:topLinePunct w:val="0"/>
              <w:autoSpaceDE/>
              <w:autoSpaceDN/>
              <w:bidi w:val="0"/>
              <w:adjustRightInd w:val="0"/>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拆除工作尚未完成，采取</w:t>
            </w:r>
            <w:r>
              <w:rPr>
                <w:rFonts w:hint="eastAsia" w:ascii="宋体" w:hAnsi="宋体" w:eastAsia="宋体" w:cs="宋体"/>
                <w:color w:val="auto"/>
                <w:sz w:val="21"/>
                <w:szCs w:val="21"/>
                <w:highlight w:val="none"/>
                <w:lang w:val="en-US" w:eastAsia="zh-CN"/>
              </w:rPr>
              <w:t>部分</w:t>
            </w:r>
            <w:r>
              <w:rPr>
                <w:rFonts w:hint="eastAsia" w:ascii="宋体" w:hAnsi="宋体" w:eastAsia="宋体" w:cs="宋体"/>
                <w:color w:val="auto"/>
                <w:sz w:val="21"/>
                <w:szCs w:val="21"/>
                <w:highlight w:val="none"/>
              </w:rPr>
              <w:t>土壤污染防治措施</w:t>
            </w:r>
          </w:p>
        </w:tc>
        <w:tc>
          <w:tcPr>
            <w:tcW w:w="1271" w:type="dxa"/>
            <w:tcBorders>
              <w:top w:val="single" w:color="auto" w:sz="4" w:space="0"/>
              <w:left w:val="single" w:color="auto" w:sz="4" w:space="0"/>
              <w:bottom w:val="single" w:color="auto" w:sz="4" w:space="0"/>
              <w:right w:val="single" w:color="auto" w:sz="4" w:space="0"/>
            </w:tcBorders>
            <w:noWrap w:val="0"/>
            <w:vAlign w:val="center"/>
          </w:tcPr>
          <w:p w14:paraId="2145F91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08846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7" w:type="dxa"/>
            <w:vMerge w:val="continue"/>
            <w:tcBorders>
              <w:top w:val="single" w:color="auto" w:sz="4" w:space="0"/>
              <w:left w:val="single" w:color="auto" w:sz="4" w:space="0"/>
              <w:bottom w:val="single" w:color="auto" w:sz="4" w:space="0"/>
              <w:right w:val="single" w:color="auto" w:sz="4" w:space="0"/>
            </w:tcBorders>
            <w:noWrap w:val="0"/>
            <w:vAlign w:val="center"/>
          </w:tcPr>
          <w:p w14:paraId="128B490D">
            <w:pPr>
              <w:rPr>
                <w:rFonts w:hint="eastAsia" w:ascii="宋体" w:hAnsi="宋体" w:eastAsia="宋体" w:cs="宋体"/>
                <w:color w:val="auto"/>
                <w:sz w:val="21"/>
                <w:szCs w:val="21"/>
                <w:highlight w:val="none"/>
              </w:rPr>
            </w:pPr>
          </w:p>
        </w:tc>
        <w:tc>
          <w:tcPr>
            <w:tcW w:w="5534" w:type="dxa"/>
            <w:tcBorders>
              <w:top w:val="single" w:color="auto" w:sz="4" w:space="0"/>
              <w:left w:val="single" w:color="auto" w:sz="4" w:space="0"/>
              <w:bottom w:val="single" w:color="auto" w:sz="4" w:space="0"/>
              <w:right w:val="single" w:color="auto" w:sz="4" w:space="0"/>
            </w:tcBorders>
            <w:noWrap w:val="0"/>
            <w:vAlign w:val="center"/>
          </w:tcPr>
          <w:p w14:paraId="2A28328C">
            <w:pPr>
              <w:keepNext w:val="0"/>
              <w:keepLines w:val="0"/>
              <w:pageBreakBefore w:val="0"/>
              <w:widowControl w:val="0"/>
              <w:kinsoku/>
              <w:wordWrap/>
              <w:overflowPunct/>
              <w:topLinePunct w:val="0"/>
              <w:autoSpaceDE/>
              <w:autoSpaceDN/>
              <w:bidi w:val="0"/>
              <w:adjustRightInd w:val="0"/>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拆除工作尚未完成，未采取土壤污染防治措施</w:t>
            </w:r>
          </w:p>
        </w:tc>
        <w:tc>
          <w:tcPr>
            <w:tcW w:w="1271" w:type="dxa"/>
            <w:tcBorders>
              <w:top w:val="single" w:color="auto" w:sz="4" w:space="0"/>
              <w:left w:val="single" w:color="auto" w:sz="4" w:space="0"/>
              <w:bottom w:val="single" w:color="auto" w:sz="4" w:space="0"/>
              <w:right w:val="single" w:color="auto" w:sz="4" w:space="0"/>
            </w:tcBorders>
            <w:noWrap w:val="0"/>
            <w:vAlign w:val="center"/>
          </w:tcPr>
          <w:p w14:paraId="1F34B480">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3</w:t>
            </w:r>
          </w:p>
        </w:tc>
      </w:tr>
      <w:tr w14:paraId="2075E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7" w:type="dxa"/>
            <w:vMerge w:val="continue"/>
            <w:tcBorders>
              <w:top w:val="single" w:color="auto" w:sz="4" w:space="0"/>
              <w:left w:val="single" w:color="auto" w:sz="4" w:space="0"/>
              <w:bottom w:val="single" w:color="auto" w:sz="4" w:space="0"/>
              <w:right w:val="single" w:color="auto" w:sz="4" w:space="0"/>
            </w:tcBorders>
            <w:noWrap w:val="0"/>
            <w:vAlign w:val="center"/>
          </w:tcPr>
          <w:p w14:paraId="776C3D2D">
            <w:pPr>
              <w:rPr>
                <w:rFonts w:hint="eastAsia" w:ascii="宋体" w:hAnsi="宋体" w:eastAsia="宋体" w:cs="宋体"/>
                <w:color w:val="auto"/>
                <w:sz w:val="21"/>
                <w:szCs w:val="21"/>
                <w:highlight w:val="none"/>
              </w:rPr>
            </w:pPr>
          </w:p>
        </w:tc>
        <w:tc>
          <w:tcPr>
            <w:tcW w:w="5534" w:type="dxa"/>
            <w:tcBorders>
              <w:top w:val="single" w:color="auto" w:sz="4" w:space="0"/>
              <w:left w:val="single" w:color="auto" w:sz="4" w:space="0"/>
              <w:bottom w:val="single" w:color="auto" w:sz="4" w:space="0"/>
              <w:right w:val="single" w:color="auto" w:sz="4" w:space="0"/>
            </w:tcBorders>
            <w:noWrap w:val="0"/>
            <w:vAlign w:val="center"/>
          </w:tcPr>
          <w:p w14:paraId="75677E67">
            <w:pPr>
              <w:keepNext w:val="0"/>
              <w:keepLines w:val="0"/>
              <w:pageBreakBefore w:val="0"/>
              <w:widowControl w:val="0"/>
              <w:kinsoku/>
              <w:wordWrap/>
              <w:overflowPunct/>
              <w:topLinePunct w:val="0"/>
              <w:autoSpaceDE/>
              <w:autoSpaceDN/>
              <w:bidi w:val="0"/>
              <w:adjustRightInd w:val="0"/>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拆除工作已完成，采取</w:t>
            </w:r>
            <w:r>
              <w:rPr>
                <w:rFonts w:hint="eastAsia" w:ascii="宋体" w:hAnsi="宋体" w:eastAsia="宋体" w:cs="宋体"/>
                <w:color w:val="auto"/>
                <w:sz w:val="21"/>
                <w:szCs w:val="21"/>
                <w:highlight w:val="none"/>
                <w:lang w:val="en-US" w:eastAsia="zh-CN"/>
              </w:rPr>
              <w:t>部分</w:t>
            </w:r>
            <w:r>
              <w:rPr>
                <w:rFonts w:hint="eastAsia" w:ascii="宋体" w:hAnsi="宋体" w:eastAsia="宋体" w:cs="宋体"/>
                <w:color w:val="auto"/>
                <w:sz w:val="21"/>
                <w:szCs w:val="21"/>
                <w:highlight w:val="none"/>
              </w:rPr>
              <w:t>土壤污染防治措施</w:t>
            </w:r>
          </w:p>
        </w:tc>
        <w:tc>
          <w:tcPr>
            <w:tcW w:w="1271" w:type="dxa"/>
            <w:tcBorders>
              <w:top w:val="single" w:color="auto" w:sz="4" w:space="0"/>
              <w:left w:val="single" w:color="auto" w:sz="4" w:space="0"/>
              <w:bottom w:val="single" w:color="auto" w:sz="4" w:space="0"/>
              <w:right w:val="single" w:color="auto" w:sz="4" w:space="0"/>
            </w:tcBorders>
            <w:noWrap w:val="0"/>
            <w:vAlign w:val="center"/>
          </w:tcPr>
          <w:p w14:paraId="36C549B7">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4</w:t>
            </w:r>
          </w:p>
        </w:tc>
      </w:tr>
      <w:tr w14:paraId="78F39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7" w:type="dxa"/>
            <w:vMerge w:val="continue"/>
            <w:tcBorders>
              <w:top w:val="single" w:color="auto" w:sz="4" w:space="0"/>
              <w:left w:val="single" w:color="auto" w:sz="4" w:space="0"/>
              <w:bottom w:val="single" w:color="auto" w:sz="4" w:space="0"/>
              <w:right w:val="single" w:color="auto" w:sz="4" w:space="0"/>
            </w:tcBorders>
            <w:noWrap w:val="0"/>
            <w:vAlign w:val="center"/>
          </w:tcPr>
          <w:p w14:paraId="6DC2E5B0">
            <w:pPr>
              <w:rPr>
                <w:rFonts w:hint="eastAsia" w:ascii="宋体" w:hAnsi="宋体" w:eastAsia="宋体" w:cs="宋体"/>
                <w:color w:val="auto"/>
                <w:sz w:val="21"/>
                <w:szCs w:val="21"/>
                <w:highlight w:val="none"/>
              </w:rPr>
            </w:pPr>
          </w:p>
        </w:tc>
        <w:tc>
          <w:tcPr>
            <w:tcW w:w="5534" w:type="dxa"/>
            <w:tcBorders>
              <w:top w:val="single" w:color="auto" w:sz="4" w:space="0"/>
              <w:left w:val="single" w:color="auto" w:sz="4" w:space="0"/>
              <w:bottom w:val="single" w:color="auto" w:sz="4" w:space="0"/>
              <w:right w:val="single" w:color="auto" w:sz="4" w:space="0"/>
            </w:tcBorders>
            <w:noWrap w:val="0"/>
            <w:vAlign w:val="center"/>
          </w:tcPr>
          <w:p w14:paraId="78CC2F63">
            <w:pPr>
              <w:keepNext w:val="0"/>
              <w:keepLines w:val="0"/>
              <w:pageBreakBefore w:val="0"/>
              <w:widowControl w:val="0"/>
              <w:kinsoku/>
              <w:wordWrap/>
              <w:overflowPunct/>
              <w:topLinePunct w:val="0"/>
              <w:autoSpaceDE/>
              <w:autoSpaceDN/>
              <w:bidi w:val="0"/>
              <w:adjustRightInd w:val="0"/>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拆除工作已完成，未采取土壤污染防治措施</w:t>
            </w:r>
          </w:p>
        </w:tc>
        <w:tc>
          <w:tcPr>
            <w:tcW w:w="1271" w:type="dxa"/>
            <w:tcBorders>
              <w:top w:val="single" w:color="auto" w:sz="4" w:space="0"/>
              <w:left w:val="single" w:color="auto" w:sz="4" w:space="0"/>
              <w:bottom w:val="single" w:color="auto" w:sz="4" w:space="0"/>
              <w:right w:val="single" w:color="auto" w:sz="4" w:space="0"/>
            </w:tcBorders>
            <w:noWrap w:val="0"/>
            <w:vAlign w:val="bottom"/>
          </w:tcPr>
          <w:p w14:paraId="1995564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2DAC9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7" w:type="dxa"/>
            <w:vMerge w:val="restart"/>
            <w:tcBorders>
              <w:top w:val="single" w:color="auto" w:sz="4" w:space="0"/>
              <w:left w:val="single" w:color="auto" w:sz="4" w:space="0"/>
              <w:right w:val="single" w:color="auto" w:sz="4" w:space="0"/>
            </w:tcBorders>
            <w:noWrap w:val="0"/>
            <w:vAlign w:val="center"/>
          </w:tcPr>
          <w:p w14:paraId="05131F8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拆除建筑面积</w:t>
            </w:r>
          </w:p>
        </w:tc>
        <w:tc>
          <w:tcPr>
            <w:tcW w:w="5534" w:type="dxa"/>
            <w:tcBorders>
              <w:top w:val="single" w:color="auto" w:sz="4" w:space="0"/>
              <w:left w:val="single" w:color="auto" w:sz="4" w:space="0"/>
              <w:bottom w:val="single" w:color="auto" w:sz="4" w:space="0"/>
              <w:right w:val="single" w:color="auto" w:sz="4" w:space="0"/>
            </w:tcBorders>
            <w:noWrap w:val="0"/>
            <w:vAlign w:val="center"/>
          </w:tcPr>
          <w:p w14:paraId="4C5EA570">
            <w:pPr>
              <w:keepNext w:val="0"/>
              <w:keepLines w:val="0"/>
              <w:pageBreakBefore w:val="0"/>
              <w:widowControl w:val="0"/>
              <w:kinsoku/>
              <w:wordWrap/>
              <w:overflowPunct/>
              <w:topLinePunct w:val="0"/>
              <w:autoSpaceDE/>
              <w:autoSpaceDN/>
              <w:bidi w:val="0"/>
              <w:snapToGrid/>
              <w:ind w:firstLine="420" w:firstLineChars="20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不足500</w:t>
            </w:r>
            <w:r>
              <w:rPr>
                <w:rFonts w:hint="eastAsia" w:ascii="宋体" w:hAnsi="宋体" w:cs="宋体"/>
                <w:color w:val="auto"/>
                <w:sz w:val="21"/>
                <w:szCs w:val="21"/>
                <w:highlight w:val="none"/>
                <w:lang w:eastAsia="zh-CN"/>
              </w:rPr>
              <w:t>平方米</w:t>
            </w:r>
          </w:p>
        </w:tc>
        <w:tc>
          <w:tcPr>
            <w:tcW w:w="1271" w:type="dxa"/>
            <w:tcBorders>
              <w:top w:val="single" w:color="auto" w:sz="4" w:space="0"/>
              <w:left w:val="single" w:color="auto" w:sz="4" w:space="0"/>
              <w:bottom w:val="single" w:color="auto" w:sz="4" w:space="0"/>
              <w:right w:val="single" w:color="auto" w:sz="4" w:space="0"/>
            </w:tcBorders>
            <w:noWrap w:val="0"/>
            <w:vAlign w:val="center"/>
          </w:tcPr>
          <w:p w14:paraId="5AF9BD2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6B5A2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7" w:type="dxa"/>
            <w:vMerge w:val="continue"/>
            <w:tcBorders>
              <w:top w:val="single" w:color="auto" w:sz="4" w:space="0"/>
              <w:left w:val="single" w:color="auto" w:sz="4" w:space="0"/>
              <w:bottom w:val="single" w:color="auto" w:sz="4" w:space="0"/>
              <w:right w:val="single" w:color="auto" w:sz="4" w:space="0"/>
            </w:tcBorders>
            <w:noWrap w:val="0"/>
            <w:vAlign w:val="center"/>
          </w:tcPr>
          <w:p w14:paraId="1048C193">
            <w:pPr>
              <w:rPr>
                <w:rFonts w:hint="eastAsia" w:ascii="宋体" w:hAnsi="宋体" w:eastAsia="宋体" w:cs="宋体"/>
                <w:color w:val="auto"/>
                <w:sz w:val="21"/>
                <w:szCs w:val="21"/>
                <w:highlight w:val="none"/>
              </w:rPr>
            </w:pPr>
          </w:p>
        </w:tc>
        <w:tc>
          <w:tcPr>
            <w:tcW w:w="5534" w:type="dxa"/>
            <w:tcBorders>
              <w:top w:val="single" w:color="auto" w:sz="4" w:space="0"/>
              <w:left w:val="single" w:color="auto" w:sz="4" w:space="0"/>
              <w:bottom w:val="single" w:color="auto" w:sz="4" w:space="0"/>
              <w:right w:val="single" w:color="auto" w:sz="4" w:space="0"/>
            </w:tcBorders>
            <w:noWrap w:val="0"/>
            <w:vAlign w:val="center"/>
          </w:tcPr>
          <w:p w14:paraId="6D60D64A">
            <w:pPr>
              <w:keepNext w:val="0"/>
              <w:keepLines w:val="0"/>
              <w:pageBreakBefore w:val="0"/>
              <w:widowControl w:val="0"/>
              <w:kinsoku/>
              <w:wordWrap/>
              <w:overflowPunct/>
              <w:topLinePunct w:val="0"/>
              <w:autoSpaceDE/>
              <w:autoSpaceDN/>
              <w:bidi w:val="0"/>
              <w:snapToGrid/>
              <w:ind w:firstLine="420" w:firstLineChars="20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500</w:t>
            </w:r>
            <w:r>
              <w:rPr>
                <w:rFonts w:hint="eastAsia" w:ascii="宋体" w:hAnsi="宋体" w:cs="宋体"/>
                <w:color w:val="auto"/>
                <w:sz w:val="21"/>
                <w:szCs w:val="21"/>
                <w:highlight w:val="none"/>
                <w:lang w:eastAsia="zh-CN"/>
              </w:rPr>
              <w:t>平方米</w:t>
            </w:r>
            <w:r>
              <w:rPr>
                <w:rFonts w:hint="eastAsia" w:ascii="宋体" w:hAnsi="宋体" w:eastAsia="宋体" w:cs="宋体"/>
                <w:color w:val="auto"/>
                <w:sz w:val="21"/>
                <w:szCs w:val="21"/>
                <w:highlight w:val="none"/>
              </w:rPr>
              <w:t>以上不足5000</w:t>
            </w:r>
            <w:r>
              <w:rPr>
                <w:rFonts w:hint="eastAsia" w:ascii="宋体" w:hAnsi="宋体" w:cs="宋体"/>
                <w:color w:val="auto"/>
                <w:sz w:val="21"/>
                <w:szCs w:val="21"/>
                <w:highlight w:val="none"/>
                <w:lang w:eastAsia="zh-CN"/>
              </w:rPr>
              <w:t>平方米</w:t>
            </w:r>
          </w:p>
        </w:tc>
        <w:tc>
          <w:tcPr>
            <w:tcW w:w="1271" w:type="dxa"/>
            <w:tcBorders>
              <w:top w:val="single" w:color="auto" w:sz="4" w:space="0"/>
              <w:left w:val="single" w:color="auto" w:sz="4" w:space="0"/>
              <w:bottom w:val="single" w:color="auto" w:sz="4" w:space="0"/>
              <w:right w:val="single" w:color="auto" w:sz="4" w:space="0"/>
            </w:tcBorders>
            <w:noWrap w:val="0"/>
            <w:vAlign w:val="center"/>
          </w:tcPr>
          <w:p w14:paraId="1CECAE7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r>
      <w:tr w14:paraId="4FF79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7" w:type="dxa"/>
            <w:vMerge w:val="continue"/>
            <w:tcBorders>
              <w:top w:val="single" w:color="auto" w:sz="4" w:space="0"/>
              <w:left w:val="single" w:color="auto" w:sz="4" w:space="0"/>
              <w:bottom w:val="single" w:color="auto" w:sz="4" w:space="0"/>
              <w:right w:val="single" w:color="auto" w:sz="4" w:space="0"/>
            </w:tcBorders>
            <w:noWrap w:val="0"/>
            <w:vAlign w:val="center"/>
          </w:tcPr>
          <w:p w14:paraId="6E3544E1">
            <w:pPr>
              <w:rPr>
                <w:rFonts w:hint="eastAsia" w:ascii="宋体" w:hAnsi="宋体" w:eastAsia="宋体" w:cs="宋体"/>
                <w:color w:val="auto"/>
                <w:sz w:val="21"/>
                <w:szCs w:val="21"/>
                <w:highlight w:val="none"/>
              </w:rPr>
            </w:pPr>
          </w:p>
        </w:tc>
        <w:tc>
          <w:tcPr>
            <w:tcW w:w="5534" w:type="dxa"/>
            <w:tcBorders>
              <w:top w:val="single" w:color="auto" w:sz="4" w:space="0"/>
              <w:left w:val="single" w:color="auto" w:sz="4" w:space="0"/>
              <w:bottom w:val="single" w:color="auto" w:sz="4" w:space="0"/>
              <w:right w:val="single" w:color="auto" w:sz="4" w:space="0"/>
            </w:tcBorders>
            <w:noWrap w:val="0"/>
            <w:vAlign w:val="center"/>
          </w:tcPr>
          <w:p w14:paraId="3F71547F">
            <w:pPr>
              <w:keepNext w:val="0"/>
              <w:keepLines w:val="0"/>
              <w:pageBreakBefore w:val="0"/>
              <w:widowControl w:val="0"/>
              <w:kinsoku/>
              <w:wordWrap/>
              <w:overflowPunct/>
              <w:topLinePunct w:val="0"/>
              <w:autoSpaceDE/>
              <w:autoSpaceDN/>
              <w:bidi w:val="0"/>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5000</w:t>
            </w:r>
            <w:r>
              <w:rPr>
                <w:rFonts w:hint="eastAsia" w:ascii="宋体" w:hAnsi="宋体" w:cs="宋体"/>
                <w:color w:val="auto"/>
                <w:sz w:val="21"/>
                <w:szCs w:val="21"/>
                <w:highlight w:val="none"/>
                <w:lang w:eastAsia="zh-CN"/>
              </w:rPr>
              <w:t>平方米</w:t>
            </w:r>
            <w:r>
              <w:rPr>
                <w:rFonts w:hint="eastAsia" w:ascii="宋体" w:hAnsi="宋体" w:eastAsia="宋体" w:cs="宋体"/>
                <w:color w:val="auto"/>
                <w:sz w:val="21"/>
                <w:szCs w:val="21"/>
                <w:highlight w:val="none"/>
              </w:rPr>
              <w:t xml:space="preserve"> 以上不足10000</w:t>
            </w:r>
            <w:r>
              <w:rPr>
                <w:rFonts w:hint="eastAsia" w:ascii="宋体" w:hAnsi="宋体" w:cs="宋体"/>
                <w:color w:val="auto"/>
                <w:sz w:val="21"/>
                <w:szCs w:val="21"/>
                <w:highlight w:val="none"/>
                <w:lang w:eastAsia="zh-CN"/>
              </w:rPr>
              <w:t>平方米</w:t>
            </w:r>
            <w:r>
              <w:rPr>
                <w:rFonts w:hint="eastAsia" w:ascii="宋体" w:hAnsi="宋体" w:eastAsia="宋体" w:cs="宋体"/>
                <w:color w:val="auto"/>
                <w:sz w:val="21"/>
                <w:szCs w:val="21"/>
                <w:highlight w:val="none"/>
              </w:rPr>
              <w:t xml:space="preserve"> </w:t>
            </w:r>
          </w:p>
        </w:tc>
        <w:tc>
          <w:tcPr>
            <w:tcW w:w="1271" w:type="dxa"/>
            <w:tcBorders>
              <w:top w:val="single" w:color="auto" w:sz="4" w:space="0"/>
              <w:left w:val="single" w:color="auto" w:sz="4" w:space="0"/>
              <w:bottom w:val="single" w:color="auto" w:sz="4" w:space="0"/>
              <w:right w:val="single" w:color="auto" w:sz="4" w:space="0"/>
            </w:tcBorders>
            <w:noWrap w:val="0"/>
            <w:vAlign w:val="center"/>
          </w:tcPr>
          <w:p w14:paraId="0D7AAF5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0D62A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7" w:type="dxa"/>
            <w:vMerge w:val="continue"/>
            <w:tcBorders>
              <w:top w:val="single" w:color="auto" w:sz="4" w:space="0"/>
              <w:left w:val="single" w:color="auto" w:sz="4" w:space="0"/>
              <w:bottom w:val="single" w:color="auto" w:sz="4" w:space="0"/>
              <w:right w:val="single" w:color="auto" w:sz="4" w:space="0"/>
            </w:tcBorders>
            <w:noWrap w:val="0"/>
            <w:vAlign w:val="center"/>
          </w:tcPr>
          <w:p w14:paraId="481523BC">
            <w:pPr>
              <w:rPr>
                <w:rFonts w:hint="eastAsia" w:ascii="宋体" w:hAnsi="宋体" w:eastAsia="宋体" w:cs="宋体"/>
                <w:color w:val="auto"/>
                <w:sz w:val="21"/>
                <w:szCs w:val="21"/>
                <w:highlight w:val="none"/>
              </w:rPr>
            </w:pPr>
          </w:p>
        </w:tc>
        <w:tc>
          <w:tcPr>
            <w:tcW w:w="5534" w:type="dxa"/>
            <w:tcBorders>
              <w:top w:val="single" w:color="auto" w:sz="4" w:space="0"/>
              <w:left w:val="single" w:color="auto" w:sz="4" w:space="0"/>
              <w:bottom w:val="single" w:color="auto" w:sz="4" w:space="0"/>
              <w:right w:val="single" w:color="auto" w:sz="4" w:space="0"/>
            </w:tcBorders>
            <w:noWrap w:val="0"/>
            <w:vAlign w:val="bottom"/>
          </w:tcPr>
          <w:p w14:paraId="52BDBAB9">
            <w:pPr>
              <w:keepNext w:val="0"/>
              <w:keepLines w:val="0"/>
              <w:pageBreakBefore w:val="0"/>
              <w:widowControl w:val="0"/>
              <w:kinsoku/>
              <w:wordWrap/>
              <w:overflowPunct/>
              <w:topLinePunct w:val="0"/>
              <w:autoSpaceDE/>
              <w:autoSpaceDN/>
              <w:bidi w:val="0"/>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10000</w:t>
            </w:r>
            <w:r>
              <w:rPr>
                <w:rFonts w:hint="eastAsia" w:ascii="宋体" w:hAnsi="宋体" w:cs="宋体"/>
                <w:color w:val="auto"/>
                <w:sz w:val="21"/>
                <w:szCs w:val="21"/>
                <w:highlight w:val="none"/>
                <w:lang w:eastAsia="zh-CN"/>
              </w:rPr>
              <w:t>平方米</w:t>
            </w:r>
            <w:r>
              <w:rPr>
                <w:rFonts w:hint="eastAsia" w:ascii="宋体" w:hAnsi="宋体" w:eastAsia="宋体" w:cs="宋体"/>
                <w:color w:val="auto"/>
                <w:sz w:val="21"/>
                <w:szCs w:val="21"/>
                <w:highlight w:val="none"/>
              </w:rPr>
              <w:t xml:space="preserve"> 以上不足 20000</w:t>
            </w:r>
            <w:r>
              <w:rPr>
                <w:rFonts w:hint="eastAsia" w:ascii="宋体" w:hAnsi="宋体" w:cs="宋体"/>
                <w:color w:val="auto"/>
                <w:sz w:val="21"/>
                <w:szCs w:val="21"/>
                <w:highlight w:val="none"/>
                <w:lang w:eastAsia="zh-CN"/>
              </w:rPr>
              <w:t>平方米</w:t>
            </w:r>
            <w:r>
              <w:rPr>
                <w:rFonts w:hint="eastAsia" w:ascii="宋体" w:hAnsi="宋体" w:eastAsia="宋体" w:cs="宋体"/>
                <w:color w:val="auto"/>
                <w:sz w:val="21"/>
                <w:szCs w:val="21"/>
                <w:highlight w:val="none"/>
              </w:rPr>
              <w:t xml:space="preserve"> </w:t>
            </w:r>
          </w:p>
        </w:tc>
        <w:tc>
          <w:tcPr>
            <w:tcW w:w="1271" w:type="dxa"/>
            <w:tcBorders>
              <w:top w:val="single" w:color="auto" w:sz="4" w:space="0"/>
              <w:left w:val="single" w:color="auto" w:sz="4" w:space="0"/>
              <w:bottom w:val="single" w:color="auto" w:sz="4" w:space="0"/>
              <w:right w:val="single" w:color="auto" w:sz="4" w:space="0"/>
            </w:tcBorders>
            <w:noWrap w:val="0"/>
            <w:vAlign w:val="bottom"/>
          </w:tcPr>
          <w:p w14:paraId="69A03D3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r>
      <w:tr w14:paraId="0FC97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7" w:type="dxa"/>
            <w:vMerge w:val="continue"/>
            <w:tcBorders>
              <w:top w:val="single" w:color="auto" w:sz="4" w:space="0"/>
              <w:left w:val="single" w:color="auto" w:sz="4" w:space="0"/>
              <w:bottom w:val="single" w:color="auto" w:sz="4" w:space="0"/>
              <w:right w:val="single" w:color="auto" w:sz="4" w:space="0"/>
            </w:tcBorders>
            <w:noWrap w:val="0"/>
            <w:vAlign w:val="center"/>
          </w:tcPr>
          <w:p w14:paraId="351C684C">
            <w:pPr>
              <w:rPr>
                <w:rFonts w:hint="eastAsia" w:ascii="宋体" w:hAnsi="宋体" w:eastAsia="宋体" w:cs="宋体"/>
                <w:color w:val="auto"/>
                <w:sz w:val="21"/>
                <w:szCs w:val="21"/>
                <w:highlight w:val="none"/>
              </w:rPr>
            </w:pPr>
          </w:p>
        </w:tc>
        <w:tc>
          <w:tcPr>
            <w:tcW w:w="5534" w:type="dxa"/>
            <w:tcBorders>
              <w:top w:val="single" w:color="auto" w:sz="4" w:space="0"/>
              <w:left w:val="single" w:color="auto" w:sz="4" w:space="0"/>
              <w:bottom w:val="single" w:color="auto" w:sz="4" w:space="0"/>
              <w:right w:val="single" w:color="auto" w:sz="4" w:space="0"/>
            </w:tcBorders>
            <w:noWrap w:val="0"/>
            <w:vAlign w:val="center"/>
          </w:tcPr>
          <w:p w14:paraId="4C468EF2">
            <w:pPr>
              <w:keepNext w:val="0"/>
              <w:keepLines w:val="0"/>
              <w:pageBreakBefore w:val="0"/>
              <w:widowControl w:val="0"/>
              <w:kinsoku/>
              <w:wordWrap/>
              <w:overflowPunct/>
              <w:topLinePunct w:val="0"/>
              <w:autoSpaceDE/>
              <w:autoSpaceDN/>
              <w:bidi w:val="0"/>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20000</w:t>
            </w:r>
            <w:r>
              <w:rPr>
                <w:rFonts w:hint="eastAsia" w:ascii="宋体" w:hAnsi="宋体" w:cs="宋体"/>
                <w:color w:val="auto"/>
                <w:sz w:val="21"/>
                <w:szCs w:val="21"/>
                <w:highlight w:val="none"/>
                <w:lang w:eastAsia="zh-CN"/>
              </w:rPr>
              <w:t>平方米</w:t>
            </w:r>
            <w:r>
              <w:rPr>
                <w:rFonts w:hint="eastAsia" w:ascii="宋体" w:hAnsi="宋体" w:eastAsia="宋体" w:cs="宋体"/>
                <w:color w:val="auto"/>
                <w:sz w:val="21"/>
                <w:szCs w:val="21"/>
                <w:highlight w:val="none"/>
              </w:rPr>
              <w:t xml:space="preserve"> 以上</w:t>
            </w:r>
          </w:p>
        </w:tc>
        <w:tc>
          <w:tcPr>
            <w:tcW w:w="1271" w:type="dxa"/>
            <w:tcBorders>
              <w:top w:val="single" w:color="auto" w:sz="4" w:space="0"/>
              <w:left w:val="single" w:color="auto" w:sz="4" w:space="0"/>
              <w:bottom w:val="single" w:color="auto" w:sz="4" w:space="0"/>
              <w:right w:val="single" w:color="auto" w:sz="4" w:space="0"/>
            </w:tcBorders>
            <w:noWrap w:val="0"/>
            <w:vAlign w:val="center"/>
          </w:tcPr>
          <w:p w14:paraId="5D5CE45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bl>
    <w:p w14:paraId="1661158F">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4"/>
        <w:gridCol w:w="5811"/>
        <w:gridCol w:w="1333"/>
      </w:tblGrid>
      <w:tr w14:paraId="552F4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3"/>
            <w:tcBorders>
              <w:top w:val="single" w:color="auto" w:sz="4" w:space="0"/>
              <w:left w:val="single" w:color="auto" w:sz="4" w:space="0"/>
              <w:bottom w:val="single" w:color="auto" w:sz="4" w:space="0"/>
              <w:right w:val="single" w:color="auto" w:sz="4" w:space="0"/>
            </w:tcBorders>
            <w:noWrap w:val="0"/>
            <w:vAlign w:val="center"/>
          </w:tcPr>
          <w:p w14:paraId="0F26C014">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（七）土壤污染防治类</w:t>
            </w:r>
          </w:p>
        </w:tc>
      </w:tr>
      <w:tr w14:paraId="0CCD5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8" w:type="dxa"/>
            <w:tcBorders>
              <w:top w:val="single" w:color="auto" w:sz="4" w:space="0"/>
              <w:left w:val="single" w:color="auto" w:sz="4" w:space="0"/>
              <w:bottom w:val="single" w:color="auto" w:sz="4" w:space="0"/>
              <w:right w:val="single" w:color="auto" w:sz="4" w:space="0"/>
            </w:tcBorders>
            <w:noWrap w:val="0"/>
            <w:vAlign w:val="center"/>
          </w:tcPr>
          <w:p w14:paraId="72B1325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804" w:type="dxa"/>
            <w:gridSpan w:val="2"/>
            <w:tcBorders>
              <w:top w:val="single" w:color="auto" w:sz="4" w:space="0"/>
              <w:left w:val="single" w:color="auto" w:sz="4" w:space="0"/>
              <w:bottom w:val="single" w:color="auto" w:sz="4" w:space="0"/>
              <w:right w:val="single" w:color="auto" w:sz="4" w:space="0"/>
            </w:tcBorders>
            <w:noWrap w:val="0"/>
            <w:vAlign w:val="center"/>
          </w:tcPr>
          <w:p w14:paraId="21F19C49">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4-1</w:t>
            </w:r>
          </w:p>
        </w:tc>
      </w:tr>
      <w:tr w14:paraId="5DC06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8" w:type="dxa"/>
            <w:tcBorders>
              <w:top w:val="single" w:color="auto" w:sz="4" w:space="0"/>
              <w:left w:val="single" w:color="auto" w:sz="4" w:space="0"/>
              <w:bottom w:val="single" w:color="auto" w:sz="4" w:space="0"/>
              <w:right w:val="single" w:color="auto" w:sz="4" w:space="0"/>
            </w:tcBorders>
            <w:noWrap w:val="0"/>
            <w:vAlign w:val="center"/>
          </w:tcPr>
          <w:p w14:paraId="22FD137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6804" w:type="dxa"/>
            <w:gridSpan w:val="2"/>
            <w:tcBorders>
              <w:top w:val="single" w:color="auto" w:sz="4" w:space="0"/>
              <w:left w:val="single" w:color="auto" w:sz="4" w:space="0"/>
              <w:bottom w:val="single" w:color="auto" w:sz="4" w:space="0"/>
              <w:right w:val="single" w:color="auto" w:sz="4" w:space="0"/>
            </w:tcBorders>
            <w:noWrap w:val="0"/>
            <w:vAlign w:val="center"/>
          </w:tcPr>
          <w:p w14:paraId="575D249B">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尾矿库运营、管理单位未按照规定采取有效措施防止土壤污染，未针对风险隐患采取相应措施的</w:t>
            </w:r>
          </w:p>
        </w:tc>
      </w:tr>
      <w:tr w14:paraId="02262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8" w:type="dxa"/>
            <w:tcBorders>
              <w:top w:val="single" w:color="auto" w:sz="4" w:space="0"/>
              <w:left w:val="single" w:color="auto" w:sz="4" w:space="0"/>
              <w:bottom w:val="single" w:color="auto" w:sz="4" w:space="0"/>
              <w:right w:val="single" w:color="auto" w:sz="4" w:space="0"/>
            </w:tcBorders>
            <w:noWrap w:val="0"/>
            <w:vAlign w:val="center"/>
          </w:tcPr>
          <w:p w14:paraId="2FB44E2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6804" w:type="dxa"/>
            <w:gridSpan w:val="2"/>
            <w:tcBorders>
              <w:top w:val="single" w:color="auto" w:sz="4" w:space="0"/>
              <w:left w:val="single" w:color="auto" w:sz="4" w:space="0"/>
              <w:bottom w:val="single" w:color="auto" w:sz="4" w:space="0"/>
              <w:right w:val="single" w:color="auto" w:sz="4" w:space="0"/>
            </w:tcBorders>
            <w:noWrap w:val="0"/>
            <w:vAlign w:val="top"/>
          </w:tcPr>
          <w:p w14:paraId="480C1B17">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《中华人民共和国生态环境法典》第四百一十六条第二款</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尾矿库运营、管理单位应当按照规定，加强尾矿库的安全管理，采取有效措施防止土壤污染。危库、险库、病库及其他需要重点监管的尾矿库的运营、管理单位应当按照规定，进行土壤污染状况监测和定期评估。</w:t>
            </w:r>
          </w:p>
        </w:tc>
      </w:tr>
      <w:tr w14:paraId="74D0D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8" w:type="dxa"/>
            <w:tcBorders>
              <w:top w:val="single" w:color="auto" w:sz="4" w:space="0"/>
              <w:left w:val="single" w:color="auto" w:sz="4" w:space="0"/>
              <w:bottom w:val="single" w:color="auto" w:sz="4" w:space="0"/>
              <w:right w:val="single" w:color="auto" w:sz="4" w:space="0"/>
            </w:tcBorders>
            <w:noWrap w:val="0"/>
            <w:vAlign w:val="center"/>
          </w:tcPr>
          <w:p w14:paraId="132627E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6804" w:type="dxa"/>
            <w:gridSpan w:val="2"/>
            <w:tcBorders>
              <w:top w:val="single" w:color="auto" w:sz="4" w:space="0"/>
              <w:left w:val="single" w:color="auto" w:sz="4" w:space="0"/>
              <w:bottom w:val="single" w:color="auto" w:sz="4" w:space="0"/>
              <w:right w:val="single" w:color="auto" w:sz="4" w:space="0"/>
            </w:tcBorders>
            <w:noWrap w:val="0"/>
            <w:vAlign w:val="top"/>
          </w:tcPr>
          <w:p w14:paraId="586644CF">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《中华人民共和国生态环境法典》第一千一百五十九条</w:t>
            </w:r>
            <w:r>
              <w:rPr>
                <w:rFonts w:hint="eastAsia" w:ascii="宋体" w:hAnsi="宋体" w:eastAsia="宋体" w:cs="宋体"/>
                <w:color w:val="auto"/>
                <w:sz w:val="21"/>
                <w:szCs w:val="21"/>
                <w:highlight w:val="none"/>
                <w:lang w:eastAsia="zh-CN"/>
              </w:rPr>
              <w:t>第一款第四项、第二款</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违反本法规定，有下列情形之一的，由地方人民政府负有生态环境保护监督管理职责的部门按照职责分工责令改正，处以罚款；拒不改正的，责令限制生产、停产整治：</w:t>
            </w:r>
          </w:p>
          <w:p w14:paraId="24B86B69">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（四）尾矿库运营、管理单位未按照规定采取有效措施防止土壤污染，未针对风险隐患采取相应措施，或者需要重点监管的尾矿库的运营、管理单位未进行土壤污染状况监测或者定期评估；</w:t>
            </w:r>
          </w:p>
          <w:p w14:paraId="77470232">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有前款情形之一的，处二万元以上二十万元以下的罚款；有前款第二项至第五项情形之一。</w:t>
            </w:r>
          </w:p>
        </w:tc>
      </w:tr>
      <w:tr w14:paraId="333DD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8" w:type="dxa"/>
            <w:tcBorders>
              <w:top w:val="single" w:color="auto" w:sz="4" w:space="0"/>
              <w:left w:val="single" w:color="auto" w:sz="4" w:space="0"/>
              <w:bottom w:val="single" w:color="auto" w:sz="4" w:space="0"/>
              <w:right w:val="single" w:color="auto" w:sz="4" w:space="0"/>
            </w:tcBorders>
            <w:noWrap w:val="0"/>
            <w:vAlign w:val="center"/>
          </w:tcPr>
          <w:p w14:paraId="20AC1E4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534" w:type="dxa"/>
            <w:tcBorders>
              <w:top w:val="single" w:color="auto" w:sz="4" w:space="0"/>
              <w:left w:val="single" w:color="auto" w:sz="4" w:space="0"/>
              <w:bottom w:val="single" w:color="auto" w:sz="4" w:space="0"/>
              <w:right w:val="single" w:color="auto" w:sz="4" w:space="0"/>
            </w:tcBorders>
            <w:noWrap w:val="0"/>
            <w:vAlign w:val="center"/>
          </w:tcPr>
          <w:p w14:paraId="2557622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270" w:type="dxa"/>
            <w:tcBorders>
              <w:top w:val="single" w:color="auto" w:sz="4" w:space="0"/>
              <w:left w:val="single" w:color="auto" w:sz="4" w:space="0"/>
              <w:bottom w:val="single" w:color="auto" w:sz="4" w:space="0"/>
              <w:right w:val="single" w:color="auto" w:sz="4" w:space="0"/>
            </w:tcBorders>
            <w:noWrap w:val="0"/>
            <w:vAlign w:val="center"/>
          </w:tcPr>
          <w:p w14:paraId="4DCE6B8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1D464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8" w:type="dxa"/>
            <w:vMerge w:val="restart"/>
            <w:tcBorders>
              <w:top w:val="single" w:color="auto" w:sz="4" w:space="0"/>
              <w:left w:val="single" w:color="auto" w:sz="4" w:space="0"/>
              <w:right w:val="single" w:color="auto" w:sz="4" w:space="0"/>
            </w:tcBorders>
            <w:noWrap w:val="0"/>
            <w:vAlign w:val="center"/>
          </w:tcPr>
          <w:p w14:paraId="1B3F28A3">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违法</w:t>
            </w:r>
            <w:r>
              <w:rPr>
                <w:rFonts w:hint="eastAsia" w:ascii="宋体" w:hAnsi="宋体" w:eastAsia="宋体" w:cs="宋体"/>
                <w:color w:val="auto"/>
                <w:sz w:val="21"/>
                <w:szCs w:val="21"/>
                <w:highlight w:val="none"/>
                <w:lang w:val="en-US" w:eastAsia="zh-CN"/>
              </w:rPr>
              <w:t>事实</w:t>
            </w:r>
          </w:p>
        </w:tc>
        <w:tc>
          <w:tcPr>
            <w:tcW w:w="5534" w:type="dxa"/>
            <w:tcBorders>
              <w:top w:val="single" w:color="auto" w:sz="4" w:space="0"/>
              <w:left w:val="single" w:color="auto" w:sz="4" w:space="0"/>
              <w:bottom w:val="single" w:color="auto" w:sz="4" w:space="0"/>
              <w:right w:val="single" w:color="auto" w:sz="4" w:space="0"/>
            </w:tcBorders>
            <w:noWrap w:val="0"/>
            <w:vAlign w:val="bottom"/>
          </w:tcPr>
          <w:p w14:paraId="1F1BD58A">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尾矿库运营、管理单位未按照规定采取有效措施防止土壤污染，</w:t>
            </w:r>
            <w:r>
              <w:rPr>
                <w:rFonts w:hint="eastAsia" w:ascii="宋体" w:hAnsi="宋体" w:eastAsia="宋体" w:cs="宋体"/>
                <w:color w:val="auto"/>
                <w:sz w:val="21"/>
                <w:szCs w:val="21"/>
                <w:highlight w:val="none"/>
                <w:lang w:val="en-US" w:eastAsia="zh-CN"/>
              </w:rPr>
              <w:t>或者</w:t>
            </w:r>
            <w:r>
              <w:rPr>
                <w:rFonts w:hint="eastAsia" w:ascii="宋体" w:hAnsi="宋体" w:eastAsia="宋体" w:cs="宋体"/>
                <w:color w:val="auto"/>
                <w:sz w:val="21"/>
                <w:szCs w:val="21"/>
                <w:highlight w:val="none"/>
              </w:rPr>
              <w:t>未针对风险隐患采取相应措施</w:t>
            </w:r>
          </w:p>
        </w:tc>
        <w:tc>
          <w:tcPr>
            <w:tcW w:w="1270" w:type="dxa"/>
            <w:tcBorders>
              <w:top w:val="single" w:color="auto" w:sz="4" w:space="0"/>
              <w:left w:val="single" w:color="auto" w:sz="4" w:space="0"/>
              <w:bottom w:val="single" w:color="auto" w:sz="4" w:space="0"/>
              <w:right w:val="single" w:color="auto" w:sz="4" w:space="0"/>
            </w:tcBorders>
            <w:noWrap w:val="0"/>
            <w:vAlign w:val="center"/>
          </w:tcPr>
          <w:p w14:paraId="6089492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50D7D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8" w:type="dxa"/>
            <w:vMerge w:val="continue"/>
            <w:tcBorders>
              <w:top w:val="single" w:color="auto" w:sz="4" w:space="0"/>
              <w:left w:val="single" w:color="auto" w:sz="4" w:space="0"/>
              <w:bottom w:val="single" w:color="auto" w:sz="4" w:space="0"/>
              <w:right w:val="single" w:color="auto" w:sz="4" w:space="0"/>
            </w:tcBorders>
            <w:noWrap w:val="0"/>
            <w:vAlign w:val="center"/>
          </w:tcPr>
          <w:p w14:paraId="1A7B405E">
            <w:pPr>
              <w:rPr>
                <w:rFonts w:hint="eastAsia" w:ascii="宋体" w:hAnsi="宋体" w:eastAsia="宋体" w:cs="宋体"/>
                <w:color w:val="auto"/>
                <w:sz w:val="21"/>
                <w:szCs w:val="21"/>
                <w:highlight w:val="none"/>
              </w:rPr>
            </w:pPr>
          </w:p>
        </w:tc>
        <w:tc>
          <w:tcPr>
            <w:tcW w:w="5534" w:type="dxa"/>
            <w:tcBorders>
              <w:top w:val="single" w:color="auto" w:sz="4" w:space="0"/>
              <w:left w:val="single" w:color="auto" w:sz="4" w:space="0"/>
              <w:bottom w:val="single" w:color="auto" w:sz="4" w:space="0"/>
              <w:right w:val="single" w:color="auto" w:sz="4" w:space="0"/>
            </w:tcBorders>
            <w:noWrap w:val="0"/>
            <w:vAlign w:val="bottom"/>
          </w:tcPr>
          <w:p w14:paraId="0D47C343">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尾矿库运营、管理单位未采取措施防止土壤污染的</w:t>
            </w:r>
          </w:p>
        </w:tc>
        <w:tc>
          <w:tcPr>
            <w:tcW w:w="1270" w:type="dxa"/>
            <w:tcBorders>
              <w:top w:val="single" w:color="auto" w:sz="4" w:space="0"/>
              <w:left w:val="single" w:color="auto" w:sz="4" w:space="0"/>
              <w:bottom w:val="single" w:color="auto" w:sz="4" w:space="0"/>
              <w:right w:val="single" w:color="auto" w:sz="4" w:space="0"/>
            </w:tcBorders>
            <w:noWrap w:val="0"/>
            <w:vAlign w:val="bottom"/>
          </w:tcPr>
          <w:p w14:paraId="5ABD878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1D91B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8" w:type="dxa"/>
            <w:vMerge w:val="restart"/>
            <w:tcBorders>
              <w:top w:val="single" w:color="auto" w:sz="4" w:space="0"/>
              <w:left w:val="single" w:color="auto" w:sz="4" w:space="0"/>
              <w:right w:val="single" w:color="auto" w:sz="4" w:space="0"/>
            </w:tcBorders>
            <w:noWrap w:val="0"/>
            <w:vAlign w:val="center"/>
          </w:tcPr>
          <w:p w14:paraId="3F294D6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尾矿库类型</w:t>
            </w:r>
          </w:p>
        </w:tc>
        <w:tc>
          <w:tcPr>
            <w:tcW w:w="5534" w:type="dxa"/>
            <w:tcBorders>
              <w:top w:val="single" w:color="auto" w:sz="4" w:space="0"/>
              <w:left w:val="single" w:color="auto" w:sz="4" w:space="0"/>
              <w:bottom w:val="single" w:color="auto" w:sz="4" w:space="0"/>
              <w:right w:val="single" w:color="auto" w:sz="4" w:space="0"/>
            </w:tcBorders>
            <w:noWrap w:val="0"/>
            <w:vAlign w:val="center"/>
          </w:tcPr>
          <w:p w14:paraId="0CDA0277">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正常库</w:t>
            </w:r>
          </w:p>
        </w:tc>
        <w:tc>
          <w:tcPr>
            <w:tcW w:w="1270" w:type="dxa"/>
            <w:tcBorders>
              <w:top w:val="single" w:color="auto" w:sz="4" w:space="0"/>
              <w:left w:val="single" w:color="auto" w:sz="4" w:space="0"/>
              <w:bottom w:val="single" w:color="auto" w:sz="4" w:space="0"/>
              <w:right w:val="single" w:color="auto" w:sz="4" w:space="0"/>
            </w:tcBorders>
            <w:noWrap w:val="0"/>
            <w:vAlign w:val="center"/>
          </w:tcPr>
          <w:p w14:paraId="733EC9D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62684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8" w:type="dxa"/>
            <w:vMerge w:val="continue"/>
            <w:tcBorders>
              <w:top w:val="single" w:color="auto" w:sz="4" w:space="0"/>
              <w:left w:val="single" w:color="auto" w:sz="4" w:space="0"/>
              <w:bottom w:val="single" w:color="auto" w:sz="4" w:space="0"/>
              <w:right w:val="single" w:color="auto" w:sz="4" w:space="0"/>
            </w:tcBorders>
            <w:noWrap w:val="0"/>
            <w:vAlign w:val="center"/>
          </w:tcPr>
          <w:p w14:paraId="6EFC0582">
            <w:pPr>
              <w:rPr>
                <w:rFonts w:hint="eastAsia" w:ascii="宋体" w:hAnsi="宋体" w:eastAsia="宋体" w:cs="宋体"/>
                <w:color w:val="auto"/>
                <w:sz w:val="21"/>
                <w:szCs w:val="21"/>
                <w:highlight w:val="none"/>
              </w:rPr>
            </w:pPr>
          </w:p>
        </w:tc>
        <w:tc>
          <w:tcPr>
            <w:tcW w:w="5534" w:type="dxa"/>
            <w:tcBorders>
              <w:top w:val="single" w:color="auto" w:sz="4" w:space="0"/>
              <w:left w:val="single" w:color="auto" w:sz="4" w:space="0"/>
              <w:bottom w:val="single" w:color="auto" w:sz="4" w:space="0"/>
              <w:right w:val="single" w:color="auto" w:sz="4" w:space="0"/>
            </w:tcBorders>
            <w:noWrap w:val="0"/>
            <w:vAlign w:val="center"/>
          </w:tcPr>
          <w:p w14:paraId="0DEB1ABC">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重点监管的尾矿库</w:t>
            </w:r>
          </w:p>
        </w:tc>
        <w:tc>
          <w:tcPr>
            <w:tcW w:w="1270" w:type="dxa"/>
            <w:tcBorders>
              <w:top w:val="single" w:color="auto" w:sz="4" w:space="0"/>
              <w:left w:val="single" w:color="auto" w:sz="4" w:space="0"/>
              <w:bottom w:val="single" w:color="auto" w:sz="4" w:space="0"/>
              <w:right w:val="single" w:color="auto" w:sz="4" w:space="0"/>
            </w:tcBorders>
            <w:noWrap w:val="0"/>
            <w:vAlign w:val="center"/>
          </w:tcPr>
          <w:p w14:paraId="29E83CCD">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5</w:t>
            </w:r>
          </w:p>
        </w:tc>
      </w:tr>
      <w:tr w14:paraId="4B938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8" w:type="dxa"/>
            <w:vMerge w:val="restart"/>
            <w:tcBorders>
              <w:top w:val="single" w:color="auto" w:sz="4" w:space="0"/>
              <w:left w:val="single" w:color="auto" w:sz="4" w:space="0"/>
              <w:right w:val="single" w:color="auto" w:sz="4" w:space="0"/>
            </w:tcBorders>
            <w:noWrap w:val="0"/>
            <w:vAlign w:val="center"/>
          </w:tcPr>
          <w:p w14:paraId="2A40620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尾矿库规模</w:t>
            </w:r>
          </w:p>
        </w:tc>
        <w:tc>
          <w:tcPr>
            <w:tcW w:w="5534" w:type="dxa"/>
            <w:tcBorders>
              <w:top w:val="single" w:color="auto" w:sz="4" w:space="0"/>
              <w:left w:val="single" w:color="auto" w:sz="4" w:space="0"/>
              <w:bottom w:val="single" w:color="auto" w:sz="4" w:space="0"/>
              <w:right w:val="single" w:color="auto" w:sz="4" w:space="0"/>
            </w:tcBorders>
            <w:noWrap w:val="0"/>
            <w:vAlign w:val="center"/>
          </w:tcPr>
          <w:p w14:paraId="32C940BF">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小于3万</w:t>
            </w:r>
            <w:r>
              <w:rPr>
                <w:rFonts w:hint="eastAsia" w:ascii="宋体" w:hAnsi="宋体" w:cs="宋体"/>
                <w:color w:val="auto"/>
                <w:sz w:val="21"/>
                <w:szCs w:val="21"/>
                <w:highlight w:val="none"/>
                <w:lang w:eastAsia="zh-CN"/>
              </w:rPr>
              <w:t>立方米</w:t>
            </w:r>
          </w:p>
        </w:tc>
        <w:tc>
          <w:tcPr>
            <w:tcW w:w="1270" w:type="dxa"/>
            <w:tcBorders>
              <w:top w:val="single" w:color="auto" w:sz="4" w:space="0"/>
              <w:left w:val="single" w:color="auto" w:sz="4" w:space="0"/>
              <w:bottom w:val="single" w:color="auto" w:sz="4" w:space="0"/>
              <w:right w:val="single" w:color="auto" w:sz="4" w:space="0"/>
            </w:tcBorders>
            <w:noWrap w:val="0"/>
            <w:vAlign w:val="center"/>
          </w:tcPr>
          <w:p w14:paraId="51EF0D8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4A4DA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718" w:type="dxa"/>
            <w:vMerge w:val="continue"/>
            <w:tcBorders>
              <w:top w:val="single" w:color="auto" w:sz="4" w:space="0"/>
              <w:left w:val="single" w:color="auto" w:sz="4" w:space="0"/>
              <w:bottom w:val="single" w:color="auto" w:sz="4" w:space="0"/>
              <w:right w:val="single" w:color="auto" w:sz="4" w:space="0"/>
            </w:tcBorders>
            <w:noWrap w:val="0"/>
            <w:vAlign w:val="center"/>
          </w:tcPr>
          <w:p w14:paraId="0F48D818">
            <w:pPr>
              <w:rPr>
                <w:rFonts w:hint="eastAsia" w:ascii="宋体" w:hAnsi="宋体" w:eastAsia="宋体" w:cs="宋体"/>
                <w:color w:val="auto"/>
                <w:sz w:val="21"/>
                <w:szCs w:val="21"/>
                <w:highlight w:val="none"/>
              </w:rPr>
            </w:pPr>
          </w:p>
        </w:tc>
        <w:tc>
          <w:tcPr>
            <w:tcW w:w="5534" w:type="dxa"/>
            <w:tcBorders>
              <w:top w:val="single" w:color="auto" w:sz="4" w:space="0"/>
              <w:left w:val="single" w:color="auto" w:sz="4" w:space="0"/>
              <w:bottom w:val="single" w:color="auto" w:sz="4" w:space="0"/>
              <w:right w:val="single" w:color="auto" w:sz="4" w:space="0"/>
            </w:tcBorders>
            <w:noWrap w:val="0"/>
            <w:vAlign w:val="bottom"/>
          </w:tcPr>
          <w:p w14:paraId="24632638">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大于3万</w:t>
            </w:r>
            <w:r>
              <w:rPr>
                <w:rFonts w:hint="eastAsia" w:ascii="宋体" w:hAnsi="宋体" w:cs="宋体"/>
                <w:color w:val="auto"/>
                <w:sz w:val="21"/>
                <w:szCs w:val="21"/>
                <w:highlight w:val="none"/>
                <w:lang w:eastAsia="zh-CN"/>
              </w:rPr>
              <w:t>立方米</w:t>
            </w:r>
            <w:r>
              <w:rPr>
                <w:rFonts w:hint="eastAsia" w:ascii="宋体" w:hAnsi="宋体" w:eastAsia="宋体" w:cs="宋体"/>
                <w:color w:val="auto"/>
                <w:sz w:val="21"/>
                <w:szCs w:val="21"/>
                <w:highlight w:val="none"/>
              </w:rPr>
              <w:t>小10万</w:t>
            </w:r>
            <w:r>
              <w:rPr>
                <w:rFonts w:hint="eastAsia" w:ascii="宋体" w:hAnsi="宋体" w:cs="宋体"/>
                <w:color w:val="auto"/>
                <w:sz w:val="21"/>
                <w:szCs w:val="21"/>
                <w:highlight w:val="none"/>
                <w:lang w:eastAsia="zh-CN"/>
              </w:rPr>
              <w:t>立方米</w:t>
            </w:r>
          </w:p>
        </w:tc>
        <w:tc>
          <w:tcPr>
            <w:tcW w:w="1270" w:type="dxa"/>
            <w:tcBorders>
              <w:top w:val="single" w:color="auto" w:sz="4" w:space="0"/>
              <w:left w:val="single" w:color="auto" w:sz="4" w:space="0"/>
              <w:bottom w:val="single" w:color="auto" w:sz="4" w:space="0"/>
              <w:right w:val="single" w:color="auto" w:sz="4" w:space="0"/>
            </w:tcBorders>
            <w:noWrap w:val="0"/>
            <w:vAlign w:val="bottom"/>
          </w:tcPr>
          <w:p w14:paraId="08D28DD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r>
      <w:tr w14:paraId="18754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8" w:type="dxa"/>
            <w:vMerge w:val="continue"/>
            <w:tcBorders>
              <w:top w:val="single" w:color="auto" w:sz="4" w:space="0"/>
              <w:left w:val="single" w:color="auto" w:sz="4" w:space="0"/>
              <w:bottom w:val="single" w:color="auto" w:sz="4" w:space="0"/>
              <w:right w:val="single" w:color="auto" w:sz="4" w:space="0"/>
            </w:tcBorders>
            <w:noWrap w:val="0"/>
            <w:vAlign w:val="center"/>
          </w:tcPr>
          <w:p w14:paraId="7E4BF530">
            <w:pPr>
              <w:rPr>
                <w:rFonts w:hint="eastAsia" w:ascii="宋体" w:hAnsi="宋体" w:eastAsia="宋体" w:cs="宋体"/>
                <w:color w:val="auto"/>
                <w:sz w:val="21"/>
                <w:szCs w:val="21"/>
                <w:highlight w:val="none"/>
              </w:rPr>
            </w:pPr>
          </w:p>
        </w:tc>
        <w:tc>
          <w:tcPr>
            <w:tcW w:w="5534" w:type="dxa"/>
            <w:tcBorders>
              <w:top w:val="single" w:color="auto" w:sz="4" w:space="0"/>
              <w:left w:val="single" w:color="auto" w:sz="4" w:space="0"/>
              <w:bottom w:val="single" w:color="auto" w:sz="4" w:space="0"/>
              <w:right w:val="single" w:color="auto" w:sz="4" w:space="0"/>
            </w:tcBorders>
            <w:noWrap w:val="0"/>
            <w:vAlign w:val="bottom"/>
          </w:tcPr>
          <w:p w14:paraId="3C151E88">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大于10万</w:t>
            </w:r>
            <w:r>
              <w:rPr>
                <w:rFonts w:hint="eastAsia" w:ascii="宋体" w:hAnsi="宋体" w:cs="宋体"/>
                <w:color w:val="auto"/>
                <w:sz w:val="21"/>
                <w:szCs w:val="21"/>
                <w:highlight w:val="none"/>
                <w:lang w:eastAsia="zh-CN"/>
              </w:rPr>
              <w:t>立方米</w:t>
            </w:r>
            <w:r>
              <w:rPr>
                <w:rFonts w:hint="eastAsia" w:ascii="宋体" w:hAnsi="宋体" w:eastAsia="宋体" w:cs="宋体"/>
                <w:color w:val="auto"/>
                <w:sz w:val="21"/>
                <w:szCs w:val="21"/>
                <w:highlight w:val="none"/>
              </w:rPr>
              <w:t>小于20万</w:t>
            </w:r>
            <w:r>
              <w:rPr>
                <w:rFonts w:hint="eastAsia" w:ascii="宋体" w:hAnsi="宋体" w:cs="宋体"/>
                <w:color w:val="auto"/>
                <w:sz w:val="21"/>
                <w:szCs w:val="21"/>
                <w:highlight w:val="none"/>
                <w:lang w:eastAsia="zh-CN"/>
              </w:rPr>
              <w:t>立方米</w:t>
            </w:r>
          </w:p>
        </w:tc>
        <w:tc>
          <w:tcPr>
            <w:tcW w:w="1270" w:type="dxa"/>
            <w:tcBorders>
              <w:top w:val="single" w:color="auto" w:sz="4" w:space="0"/>
              <w:left w:val="single" w:color="auto" w:sz="4" w:space="0"/>
              <w:bottom w:val="single" w:color="auto" w:sz="4" w:space="0"/>
              <w:right w:val="single" w:color="auto" w:sz="4" w:space="0"/>
            </w:tcBorders>
            <w:noWrap w:val="0"/>
            <w:vAlign w:val="bottom"/>
          </w:tcPr>
          <w:p w14:paraId="6A16635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46273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8" w:type="dxa"/>
            <w:vMerge w:val="continue"/>
            <w:tcBorders>
              <w:top w:val="single" w:color="auto" w:sz="4" w:space="0"/>
              <w:left w:val="single" w:color="auto" w:sz="4" w:space="0"/>
              <w:bottom w:val="single" w:color="auto" w:sz="4" w:space="0"/>
              <w:right w:val="single" w:color="auto" w:sz="4" w:space="0"/>
            </w:tcBorders>
            <w:noWrap w:val="0"/>
            <w:vAlign w:val="center"/>
          </w:tcPr>
          <w:p w14:paraId="725B2195">
            <w:pPr>
              <w:rPr>
                <w:rFonts w:hint="eastAsia" w:ascii="宋体" w:hAnsi="宋体" w:eastAsia="宋体" w:cs="宋体"/>
                <w:color w:val="auto"/>
                <w:sz w:val="21"/>
                <w:szCs w:val="21"/>
                <w:highlight w:val="none"/>
              </w:rPr>
            </w:pPr>
          </w:p>
        </w:tc>
        <w:tc>
          <w:tcPr>
            <w:tcW w:w="5534" w:type="dxa"/>
            <w:tcBorders>
              <w:top w:val="single" w:color="auto" w:sz="4" w:space="0"/>
              <w:left w:val="single" w:color="auto" w:sz="4" w:space="0"/>
              <w:bottom w:val="single" w:color="auto" w:sz="4" w:space="0"/>
              <w:right w:val="single" w:color="auto" w:sz="4" w:space="0"/>
            </w:tcBorders>
            <w:noWrap w:val="0"/>
            <w:vAlign w:val="bottom"/>
          </w:tcPr>
          <w:p w14:paraId="7C7A240F">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大于20万</w:t>
            </w:r>
            <w:r>
              <w:rPr>
                <w:rFonts w:hint="eastAsia" w:ascii="宋体" w:hAnsi="宋体" w:cs="宋体"/>
                <w:color w:val="auto"/>
                <w:sz w:val="21"/>
                <w:szCs w:val="21"/>
                <w:highlight w:val="none"/>
                <w:lang w:eastAsia="zh-CN"/>
              </w:rPr>
              <w:t>立方米</w:t>
            </w:r>
            <w:r>
              <w:rPr>
                <w:rFonts w:hint="eastAsia" w:ascii="宋体" w:hAnsi="宋体" w:eastAsia="宋体" w:cs="宋体"/>
                <w:color w:val="auto"/>
                <w:sz w:val="21"/>
                <w:szCs w:val="21"/>
                <w:highlight w:val="none"/>
              </w:rPr>
              <w:t>小于50万</w:t>
            </w:r>
            <w:r>
              <w:rPr>
                <w:rFonts w:hint="eastAsia" w:ascii="宋体" w:hAnsi="宋体" w:cs="宋体"/>
                <w:color w:val="auto"/>
                <w:sz w:val="21"/>
                <w:szCs w:val="21"/>
                <w:highlight w:val="none"/>
                <w:lang w:eastAsia="zh-CN"/>
              </w:rPr>
              <w:t>立方米</w:t>
            </w:r>
          </w:p>
        </w:tc>
        <w:tc>
          <w:tcPr>
            <w:tcW w:w="1270" w:type="dxa"/>
            <w:tcBorders>
              <w:top w:val="single" w:color="auto" w:sz="4" w:space="0"/>
              <w:left w:val="single" w:color="auto" w:sz="4" w:space="0"/>
              <w:bottom w:val="single" w:color="auto" w:sz="4" w:space="0"/>
              <w:right w:val="single" w:color="auto" w:sz="4" w:space="0"/>
            </w:tcBorders>
            <w:noWrap w:val="0"/>
            <w:vAlign w:val="bottom"/>
          </w:tcPr>
          <w:p w14:paraId="02C8820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r>
      <w:tr w14:paraId="5045D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8" w:type="dxa"/>
            <w:vMerge w:val="continue"/>
            <w:tcBorders>
              <w:top w:val="single" w:color="auto" w:sz="4" w:space="0"/>
              <w:left w:val="single" w:color="auto" w:sz="4" w:space="0"/>
              <w:bottom w:val="single" w:color="auto" w:sz="4" w:space="0"/>
              <w:right w:val="single" w:color="auto" w:sz="4" w:space="0"/>
            </w:tcBorders>
            <w:noWrap w:val="0"/>
            <w:vAlign w:val="center"/>
          </w:tcPr>
          <w:p w14:paraId="25DB139A">
            <w:pPr>
              <w:rPr>
                <w:rFonts w:hint="eastAsia" w:ascii="宋体" w:hAnsi="宋体" w:eastAsia="宋体" w:cs="宋体"/>
                <w:color w:val="auto"/>
                <w:sz w:val="21"/>
                <w:szCs w:val="21"/>
                <w:highlight w:val="none"/>
              </w:rPr>
            </w:pPr>
          </w:p>
        </w:tc>
        <w:tc>
          <w:tcPr>
            <w:tcW w:w="5534" w:type="dxa"/>
            <w:tcBorders>
              <w:top w:val="single" w:color="auto" w:sz="4" w:space="0"/>
              <w:left w:val="single" w:color="auto" w:sz="4" w:space="0"/>
              <w:bottom w:val="single" w:color="auto" w:sz="4" w:space="0"/>
              <w:right w:val="single" w:color="auto" w:sz="4" w:space="0"/>
            </w:tcBorders>
            <w:noWrap w:val="0"/>
            <w:vAlign w:val="bottom"/>
          </w:tcPr>
          <w:p w14:paraId="4DBB3370">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大于50万</w:t>
            </w:r>
            <w:r>
              <w:rPr>
                <w:rFonts w:hint="eastAsia" w:ascii="宋体" w:hAnsi="宋体" w:cs="宋体"/>
                <w:color w:val="auto"/>
                <w:sz w:val="21"/>
                <w:szCs w:val="21"/>
                <w:highlight w:val="none"/>
                <w:lang w:eastAsia="zh-CN"/>
              </w:rPr>
              <w:t>立方米</w:t>
            </w:r>
          </w:p>
        </w:tc>
        <w:tc>
          <w:tcPr>
            <w:tcW w:w="1270" w:type="dxa"/>
            <w:tcBorders>
              <w:top w:val="single" w:color="auto" w:sz="4" w:space="0"/>
              <w:left w:val="single" w:color="auto" w:sz="4" w:space="0"/>
              <w:bottom w:val="single" w:color="auto" w:sz="4" w:space="0"/>
              <w:right w:val="single" w:color="auto" w:sz="4" w:space="0"/>
            </w:tcBorders>
            <w:noWrap w:val="0"/>
            <w:vAlign w:val="bottom"/>
          </w:tcPr>
          <w:p w14:paraId="55222A7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bl>
    <w:p w14:paraId="47976281">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4"/>
        <w:gridCol w:w="5811"/>
        <w:gridCol w:w="1333"/>
      </w:tblGrid>
      <w:tr w14:paraId="754E8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3"/>
            <w:tcBorders>
              <w:top w:val="single" w:color="auto" w:sz="4" w:space="0"/>
              <w:left w:val="single" w:color="auto" w:sz="4" w:space="0"/>
              <w:bottom w:val="single" w:color="auto" w:sz="4" w:space="0"/>
              <w:right w:val="single" w:color="auto" w:sz="4" w:space="0"/>
            </w:tcBorders>
            <w:noWrap w:val="0"/>
            <w:vAlign w:val="center"/>
          </w:tcPr>
          <w:p w14:paraId="09C06D2D">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（七）土壤污染防治类</w:t>
            </w:r>
          </w:p>
        </w:tc>
      </w:tr>
      <w:tr w14:paraId="27191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8" w:type="dxa"/>
            <w:tcBorders>
              <w:top w:val="single" w:color="auto" w:sz="4" w:space="0"/>
              <w:left w:val="single" w:color="auto" w:sz="4" w:space="0"/>
              <w:bottom w:val="single" w:color="auto" w:sz="4" w:space="0"/>
              <w:right w:val="single" w:color="auto" w:sz="4" w:space="0"/>
            </w:tcBorders>
            <w:noWrap w:val="0"/>
            <w:vAlign w:val="center"/>
          </w:tcPr>
          <w:p w14:paraId="5908BD9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804" w:type="dxa"/>
            <w:gridSpan w:val="2"/>
            <w:tcBorders>
              <w:top w:val="single" w:color="auto" w:sz="4" w:space="0"/>
              <w:left w:val="single" w:color="auto" w:sz="4" w:space="0"/>
              <w:bottom w:val="single" w:color="auto" w:sz="4" w:space="0"/>
              <w:right w:val="single" w:color="auto" w:sz="4" w:space="0"/>
            </w:tcBorders>
            <w:noWrap w:val="0"/>
            <w:vAlign w:val="center"/>
          </w:tcPr>
          <w:p w14:paraId="610EB32F">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4-2</w:t>
            </w:r>
          </w:p>
        </w:tc>
      </w:tr>
      <w:tr w14:paraId="0E37E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8" w:type="dxa"/>
            <w:tcBorders>
              <w:top w:val="single" w:color="auto" w:sz="4" w:space="0"/>
              <w:left w:val="single" w:color="auto" w:sz="4" w:space="0"/>
              <w:bottom w:val="single" w:color="auto" w:sz="4" w:space="0"/>
              <w:right w:val="single" w:color="auto" w:sz="4" w:space="0"/>
            </w:tcBorders>
            <w:noWrap w:val="0"/>
            <w:vAlign w:val="center"/>
          </w:tcPr>
          <w:p w14:paraId="3CB139C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6804" w:type="dxa"/>
            <w:gridSpan w:val="2"/>
            <w:tcBorders>
              <w:top w:val="single" w:color="auto" w:sz="4" w:space="0"/>
              <w:left w:val="single" w:color="auto" w:sz="4" w:space="0"/>
              <w:bottom w:val="single" w:color="auto" w:sz="4" w:space="0"/>
              <w:right w:val="single" w:color="auto" w:sz="4" w:space="0"/>
            </w:tcBorders>
            <w:noWrap w:val="0"/>
            <w:vAlign w:val="center"/>
          </w:tcPr>
          <w:p w14:paraId="1790FB27">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需要重点监管的尾矿库的运营、管理单位未进行土壤污染状况监测或者定期评估的</w:t>
            </w:r>
          </w:p>
        </w:tc>
      </w:tr>
      <w:tr w14:paraId="221C7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8" w:type="dxa"/>
            <w:tcBorders>
              <w:top w:val="single" w:color="auto" w:sz="4" w:space="0"/>
              <w:left w:val="single" w:color="auto" w:sz="4" w:space="0"/>
              <w:bottom w:val="single" w:color="auto" w:sz="4" w:space="0"/>
              <w:right w:val="single" w:color="auto" w:sz="4" w:space="0"/>
            </w:tcBorders>
            <w:noWrap w:val="0"/>
            <w:vAlign w:val="center"/>
          </w:tcPr>
          <w:p w14:paraId="7BFD01A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6804" w:type="dxa"/>
            <w:gridSpan w:val="2"/>
            <w:tcBorders>
              <w:top w:val="single" w:color="auto" w:sz="4" w:space="0"/>
              <w:left w:val="single" w:color="auto" w:sz="4" w:space="0"/>
              <w:bottom w:val="single" w:color="auto" w:sz="4" w:space="0"/>
              <w:right w:val="single" w:color="auto" w:sz="4" w:space="0"/>
            </w:tcBorders>
            <w:noWrap w:val="0"/>
            <w:vAlign w:val="top"/>
          </w:tcPr>
          <w:p w14:paraId="0D35B4F0">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《中华人民共和国生态环境法典》第四百一十六条第二款</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尾矿库运营、管理单位应当按照规定，加强尾矿库的安全管理，采取有效措施防止土壤污染。危库、险库、病库及其他需要重点监管的尾矿库的运营、管理单位应当按照规定，进行土壤污染状况监测和定期评估。</w:t>
            </w:r>
          </w:p>
        </w:tc>
      </w:tr>
      <w:tr w14:paraId="3EE2C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8" w:type="dxa"/>
            <w:tcBorders>
              <w:top w:val="single" w:color="auto" w:sz="4" w:space="0"/>
              <w:left w:val="single" w:color="auto" w:sz="4" w:space="0"/>
              <w:bottom w:val="single" w:color="auto" w:sz="4" w:space="0"/>
              <w:right w:val="single" w:color="auto" w:sz="4" w:space="0"/>
            </w:tcBorders>
            <w:noWrap w:val="0"/>
            <w:vAlign w:val="center"/>
          </w:tcPr>
          <w:p w14:paraId="1E007E1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6804" w:type="dxa"/>
            <w:gridSpan w:val="2"/>
            <w:tcBorders>
              <w:top w:val="single" w:color="auto" w:sz="4" w:space="0"/>
              <w:left w:val="single" w:color="auto" w:sz="4" w:space="0"/>
              <w:bottom w:val="single" w:color="auto" w:sz="4" w:space="0"/>
              <w:right w:val="single" w:color="auto" w:sz="4" w:space="0"/>
            </w:tcBorders>
            <w:noWrap w:val="0"/>
            <w:vAlign w:val="top"/>
          </w:tcPr>
          <w:p w14:paraId="39887137">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《中华人民共和国生态环境法典》第一千一百五十九条</w:t>
            </w:r>
            <w:r>
              <w:rPr>
                <w:rFonts w:hint="eastAsia" w:ascii="宋体" w:hAnsi="宋体" w:eastAsia="宋体" w:cs="宋体"/>
                <w:color w:val="auto"/>
                <w:sz w:val="21"/>
                <w:szCs w:val="21"/>
                <w:highlight w:val="none"/>
                <w:lang w:eastAsia="zh-CN"/>
              </w:rPr>
              <w:t>第一款第四项、第二款</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违反本法规定，有下列情形之一的，由地方人民政府负有生态环境保护监督管理职责的部门按照职责分工责令改正，处以罚款；拒不改正的，责令限制生产、停产整治：</w:t>
            </w:r>
          </w:p>
          <w:p w14:paraId="3BE5061B">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（四）尾矿库运营、管理单位未按照规定采取有效措施防止土壤污染，未针对风险隐患采取相应措施，或者需要重点监管的尾矿库的运营、管理单位未进行土壤污染状况监测或者定期评估；</w:t>
            </w:r>
          </w:p>
          <w:p w14:paraId="6681F532">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有前款情形之一的，处二万元以上二十万元以下的罚款；有前款第二项至第五项情形之一。</w:t>
            </w:r>
          </w:p>
        </w:tc>
      </w:tr>
      <w:tr w14:paraId="5ADDB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8" w:type="dxa"/>
            <w:tcBorders>
              <w:top w:val="single" w:color="auto" w:sz="4" w:space="0"/>
              <w:left w:val="single" w:color="auto" w:sz="4" w:space="0"/>
              <w:bottom w:val="single" w:color="auto" w:sz="4" w:space="0"/>
              <w:right w:val="single" w:color="auto" w:sz="4" w:space="0"/>
            </w:tcBorders>
            <w:noWrap w:val="0"/>
            <w:vAlign w:val="center"/>
          </w:tcPr>
          <w:p w14:paraId="6AEC5C6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534" w:type="dxa"/>
            <w:tcBorders>
              <w:top w:val="single" w:color="auto" w:sz="4" w:space="0"/>
              <w:left w:val="single" w:color="auto" w:sz="4" w:space="0"/>
              <w:bottom w:val="single" w:color="auto" w:sz="4" w:space="0"/>
              <w:right w:val="single" w:color="auto" w:sz="4" w:space="0"/>
            </w:tcBorders>
            <w:noWrap w:val="0"/>
            <w:vAlign w:val="center"/>
          </w:tcPr>
          <w:p w14:paraId="2ED9258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270" w:type="dxa"/>
            <w:tcBorders>
              <w:top w:val="single" w:color="auto" w:sz="4" w:space="0"/>
              <w:left w:val="single" w:color="auto" w:sz="4" w:space="0"/>
              <w:bottom w:val="single" w:color="auto" w:sz="4" w:space="0"/>
              <w:right w:val="single" w:color="auto" w:sz="4" w:space="0"/>
            </w:tcBorders>
            <w:noWrap w:val="0"/>
            <w:vAlign w:val="center"/>
          </w:tcPr>
          <w:p w14:paraId="56FCF8C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17906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8" w:type="dxa"/>
            <w:vMerge w:val="restart"/>
            <w:tcBorders>
              <w:top w:val="single" w:color="auto" w:sz="4" w:space="0"/>
              <w:left w:val="single" w:color="auto" w:sz="4" w:space="0"/>
              <w:right w:val="single" w:color="auto" w:sz="4" w:space="0"/>
            </w:tcBorders>
            <w:noWrap w:val="0"/>
            <w:vAlign w:val="center"/>
          </w:tcPr>
          <w:p w14:paraId="27C2AF7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尾矿库规模</w:t>
            </w:r>
          </w:p>
        </w:tc>
        <w:tc>
          <w:tcPr>
            <w:tcW w:w="5534" w:type="dxa"/>
            <w:tcBorders>
              <w:top w:val="single" w:color="auto" w:sz="4" w:space="0"/>
              <w:left w:val="single" w:color="auto" w:sz="4" w:space="0"/>
              <w:bottom w:val="single" w:color="auto" w:sz="4" w:space="0"/>
              <w:right w:val="single" w:color="auto" w:sz="4" w:space="0"/>
            </w:tcBorders>
            <w:noWrap w:val="0"/>
            <w:vAlign w:val="center"/>
          </w:tcPr>
          <w:p w14:paraId="2AD563A1">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小于3万</w:t>
            </w:r>
            <w:r>
              <w:rPr>
                <w:rFonts w:hint="eastAsia" w:ascii="宋体" w:hAnsi="宋体" w:cs="宋体"/>
                <w:color w:val="auto"/>
                <w:sz w:val="21"/>
                <w:szCs w:val="21"/>
                <w:highlight w:val="none"/>
                <w:lang w:eastAsia="zh-CN"/>
              </w:rPr>
              <w:t>立方米</w:t>
            </w:r>
          </w:p>
        </w:tc>
        <w:tc>
          <w:tcPr>
            <w:tcW w:w="1270" w:type="dxa"/>
            <w:tcBorders>
              <w:top w:val="single" w:color="auto" w:sz="4" w:space="0"/>
              <w:left w:val="single" w:color="auto" w:sz="4" w:space="0"/>
              <w:bottom w:val="single" w:color="auto" w:sz="4" w:space="0"/>
              <w:right w:val="single" w:color="auto" w:sz="4" w:space="0"/>
            </w:tcBorders>
            <w:noWrap w:val="0"/>
            <w:vAlign w:val="center"/>
          </w:tcPr>
          <w:p w14:paraId="6EE1C56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4736D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8" w:type="dxa"/>
            <w:vMerge w:val="continue"/>
            <w:tcBorders>
              <w:top w:val="single" w:color="auto" w:sz="4" w:space="0"/>
              <w:left w:val="single" w:color="auto" w:sz="4" w:space="0"/>
              <w:bottom w:val="single" w:color="auto" w:sz="4" w:space="0"/>
              <w:right w:val="single" w:color="auto" w:sz="4" w:space="0"/>
            </w:tcBorders>
            <w:noWrap w:val="0"/>
            <w:vAlign w:val="center"/>
          </w:tcPr>
          <w:p w14:paraId="08C09F3F">
            <w:pPr>
              <w:rPr>
                <w:rFonts w:hint="eastAsia" w:ascii="宋体" w:hAnsi="宋体" w:eastAsia="宋体" w:cs="宋体"/>
                <w:color w:val="auto"/>
                <w:sz w:val="21"/>
                <w:szCs w:val="21"/>
                <w:highlight w:val="none"/>
              </w:rPr>
            </w:pPr>
          </w:p>
        </w:tc>
        <w:tc>
          <w:tcPr>
            <w:tcW w:w="5534" w:type="dxa"/>
            <w:tcBorders>
              <w:top w:val="single" w:color="auto" w:sz="4" w:space="0"/>
              <w:left w:val="single" w:color="auto" w:sz="4" w:space="0"/>
              <w:bottom w:val="single" w:color="auto" w:sz="4" w:space="0"/>
              <w:right w:val="single" w:color="auto" w:sz="4" w:space="0"/>
            </w:tcBorders>
            <w:noWrap w:val="0"/>
            <w:vAlign w:val="bottom"/>
          </w:tcPr>
          <w:p w14:paraId="5F3177C5">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大于3万</w:t>
            </w:r>
            <w:r>
              <w:rPr>
                <w:rFonts w:hint="eastAsia" w:ascii="宋体" w:hAnsi="宋体" w:cs="宋体"/>
                <w:color w:val="auto"/>
                <w:sz w:val="21"/>
                <w:szCs w:val="21"/>
                <w:highlight w:val="none"/>
                <w:lang w:eastAsia="zh-CN"/>
              </w:rPr>
              <w:t>立方米</w:t>
            </w:r>
            <w:r>
              <w:rPr>
                <w:rFonts w:hint="eastAsia" w:ascii="宋体" w:hAnsi="宋体" w:eastAsia="宋体" w:cs="宋体"/>
                <w:color w:val="auto"/>
                <w:sz w:val="21"/>
                <w:szCs w:val="21"/>
                <w:highlight w:val="none"/>
              </w:rPr>
              <w:t>小10万</w:t>
            </w:r>
            <w:r>
              <w:rPr>
                <w:rFonts w:hint="eastAsia" w:ascii="宋体" w:hAnsi="宋体" w:cs="宋体"/>
                <w:color w:val="auto"/>
                <w:sz w:val="21"/>
                <w:szCs w:val="21"/>
                <w:highlight w:val="none"/>
                <w:lang w:eastAsia="zh-CN"/>
              </w:rPr>
              <w:t>立方米</w:t>
            </w:r>
          </w:p>
        </w:tc>
        <w:tc>
          <w:tcPr>
            <w:tcW w:w="1270" w:type="dxa"/>
            <w:tcBorders>
              <w:top w:val="single" w:color="auto" w:sz="4" w:space="0"/>
              <w:left w:val="single" w:color="auto" w:sz="4" w:space="0"/>
              <w:bottom w:val="single" w:color="auto" w:sz="4" w:space="0"/>
              <w:right w:val="single" w:color="auto" w:sz="4" w:space="0"/>
            </w:tcBorders>
            <w:noWrap w:val="0"/>
            <w:vAlign w:val="bottom"/>
          </w:tcPr>
          <w:p w14:paraId="2C54E6C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r>
      <w:tr w14:paraId="11740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8" w:type="dxa"/>
            <w:vMerge w:val="continue"/>
            <w:tcBorders>
              <w:top w:val="single" w:color="auto" w:sz="4" w:space="0"/>
              <w:left w:val="single" w:color="auto" w:sz="4" w:space="0"/>
              <w:bottom w:val="single" w:color="auto" w:sz="4" w:space="0"/>
              <w:right w:val="single" w:color="auto" w:sz="4" w:space="0"/>
            </w:tcBorders>
            <w:noWrap w:val="0"/>
            <w:vAlign w:val="center"/>
          </w:tcPr>
          <w:p w14:paraId="3C768BB1">
            <w:pPr>
              <w:rPr>
                <w:rFonts w:hint="eastAsia" w:ascii="宋体" w:hAnsi="宋体" w:eastAsia="宋体" w:cs="宋体"/>
                <w:color w:val="auto"/>
                <w:sz w:val="21"/>
                <w:szCs w:val="21"/>
                <w:highlight w:val="none"/>
              </w:rPr>
            </w:pPr>
          </w:p>
        </w:tc>
        <w:tc>
          <w:tcPr>
            <w:tcW w:w="5534" w:type="dxa"/>
            <w:tcBorders>
              <w:top w:val="single" w:color="auto" w:sz="4" w:space="0"/>
              <w:left w:val="single" w:color="auto" w:sz="4" w:space="0"/>
              <w:bottom w:val="single" w:color="auto" w:sz="4" w:space="0"/>
              <w:right w:val="single" w:color="auto" w:sz="4" w:space="0"/>
            </w:tcBorders>
            <w:noWrap w:val="0"/>
            <w:vAlign w:val="bottom"/>
          </w:tcPr>
          <w:p w14:paraId="14E1E0E0">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大于10万</w:t>
            </w:r>
            <w:r>
              <w:rPr>
                <w:rFonts w:hint="eastAsia" w:ascii="宋体" w:hAnsi="宋体" w:cs="宋体"/>
                <w:color w:val="auto"/>
                <w:sz w:val="21"/>
                <w:szCs w:val="21"/>
                <w:highlight w:val="none"/>
                <w:lang w:eastAsia="zh-CN"/>
              </w:rPr>
              <w:t>立方米</w:t>
            </w:r>
            <w:r>
              <w:rPr>
                <w:rFonts w:hint="eastAsia" w:ascii="宋体" w:hAnsi="宋体" w:eastAsia="宋体" w:cs="宋体"/>
                <w:color w:val="auto"/>
                <w:sz w:val="21"/>
                <w:szCs w:val="21"/>
                <w:highlight w:val="none"/>
              </w:rPr>
              <w:t>小于20万</w:t>
            </w:r>
            <w:r>
              <w:rPr>
                <w:rFonts w:hint="eastAsia" w:ascii="宋体" w:hAnsi="宋体" w:cs="宋体"/>
                <w:color w:val="auto"/>
                <w:sz w:val="21"/>
                <w:szCs w:val="21"/>
                <w:highlight w:val="none"/>
                <w:lang w:eastAsia="zh-CN"/>
              </w:rPr>
              <w:t>立方米</w:t>
            </w:r>
          </w:p>
        </w:tc>
        <w:tc>
          <w:tcPr>
            <w:tcW w:w="1270" w:type="dxa"/>
            <w:tcBorders>
              <w:top w:val="single" w:color="auto" w:sz="4" w:space="0"/>
              <w:left w:val="single" w:color="auto" w:sz="4" w:space="0"/>
              <w:bottom w:val="single" w:color="auto" w:sz="4" w:space="0"/>
              <w:right w:val="single" w:color="auto" w:sz="4" w:space="0"/>
            </w:tcBorders>
            <w:noWrap w:val="0"/>
            <w:vAlign w:val="bottom"/>
          </w:tcPr>
          <w:p w14:paraId="30EFD8B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76FED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8" w:type="dxa"/>
            <w:vMerge w:val="continue"/>
            <w:tcBorders>
              <w:top w:val="single" w:color="auto" w:sz="4" w:space="0"/>
              <w:left w:val="single" w:color="auto" w:sz="4" w:space="0"/>
              <w:bottom w:val="single" w:color="auto" w:sz="4" w:space="0"/>
              <w:right w:val="single" w:color="auto" w:sz="4" w:space="0"/>
            </w:tcBorders>
            <w:noWrap w:val="0"/>
            <w:vAlign w:val="center"/>
          </w:tcPr>
          <w:p w14:paraId="522E2B91">
            <w:pPr>
              <w:rPr>
                <w:rFonts w:hint="eastAsia" w:ascii="宋体" w:hAnsi="宋体" w:eastAsia="宋体" w:cs="宋体"/>
                <w:color w:val="auto"/>
                <w:sz w:val="21"/>
                <w:szCs w:val="21"/>
                <w:highlight w:val="none"/>
              </w:rPr>
            </w:pPr>
          </w:p>
        </w:tc>
        <w:tc>
          <w:tcPr>
            <w:tcW w:w="5534" w:type="dxa"/>
            <w:tcBorders>
              <w:top w:val="single" w:color="auto" w:sz="4" w:space="0"/>
              <w:left w:val="single" w:color="auto" w:sz="4" w:space="0"/>
              <w:bottom w:val="single" w:color="auto" w:sz="4" w:space="0"/>
              <w:right w:val="single" w:color="auto" w:sz="4" w:space="0"/>
            </w:tcBorders>
            <w:noWrap w:val="0"/>
            <w:vAlign w:val="bottom"/>
          </w:tcPr>
          <w:p w14:paraId="51138A62">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大于20万</w:t>
            </w:r>
            <w:r>
              <w:rPr>
                <w:rFonts w:hint="eastAsia" w:ascii="宋体" w:hAnsi="宋体" w:cs="宋体"/>
                <w:color w:val="auto"/>
                <w:sz w:val="21"/>
                <w:szCs w:val="21"/>
                <w:highlight w:val="none"/>
                <w:lang w:eastAsia="zh-CN"/>
              </w:rPr>
              <w:t>立方米</w:t>
            </w:r>
            <w:r>
              <w:rPr>
                <w:rFonts w:hint="eastAsia" w:ascii="宋体" w:hAnsi="宋体" w:eastAsia="宋体" w:cs="宋体"/>
                <w:color w:val="auto"/>
                <w:sz w:val="21"/>
                <w:szCs w:val="21"/>
                <w:highlight w:val="none"/>
              </w:rPr>
              <w:t>小于50万</w:t>
            </w:r>
            <w:r>
              <w:rPr>
                <w:rFonts w:hint="eastAsia" w:ascii="宋体" w:hAnsi="宋体" w:cs="宋体"/>
                <w:color w:val="auto"/>
                <w:sz w:val="21"/>
                <w:szCs w:val="21"/>
                <w:highlight w:val="none"/>
                <w:lang w:eastAsia="zh-CN"/>
              </w:rPr>
              <w:t>立方米</w:t>
            </w:r>
          </w:p>
        </w:tc>
        <w:tc>
          <w:tcPr>
            <w:tcW w:w="1270" w:type="dxa"/>
            <w:tcBorders>
              <w:top w:val="single" w:color="auto" w:sz="4" w:space="0"/>
              <w:left w:val="single" w:color="auto" w:sz="4" w:space="0"/>
              <w:bottom w:val="single" w:color="auto" w:sz="4" w:space="0"/>
              <w:right w:val="single" w:color="auto" w:sz="4" w:space="0"/>
            </w:tcBorders>
            <w:noWrap w:val="0"/>
            <w:vAlign w:val="bottom"/>
          </w:tcPr>
          <w:p w14:paraId="021939D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r>
      <w:tr w14:paraId="51282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8" w:type="dxa"/>
            <w:vMerge w:val="continue"/>
            <w:tcBorders>
              <w:top w:val="single" w:color="auto" w:sz="4" w:space="0"/>
              <w:left w:val="single" w:color="auto" w:sz="4" w:space="0"/>
              <w:bottom w:val="single" w:color="auto" w:sz="4" w:space="0"/>
              <w:right w:val="single" w:color="auto" w:sz="4" w:space="0"/>
            </w:tcBorders>
            <w:noWrap w:val="0"/>
            <w:vAlign w:val="center"/>
          </w:tcPr>
          <w:p w14:paraId="2B9DCF92">
            <w:pPr>
              <w:rPr>
                <w:rFonts w:hint="eastAsia" w:ascii="宋体" w:hAnsi="宋体" w:eastAsia="宋体" w:cs="宋体"/>
                <w:color w:val="auto"/>
                <w:sz w:val="21"/>
                <w:szCs w:val="21"/>
                <w:highlight w:val="none"/>
              </w:rPr>
            </w:pPr>
          </w:p>
        </w:tc>
        <w:tc>
          <w:tcPr>
            <w:tcW w:w="5534" w:type="dxa"/>
            <w:tcBorders>
              <w:top w:val="single" w:color="auto" w:sz="4" w:space="0"/>
              <w:left w:val="single" w:color="auto" w:sz="4" w:space="0"/>
              <w:bottom w:val="single" w:color="auto" w:sz="4" w:space="0"/>
              <w:right w:val="single" w:color="auto" w:sz="4" w:space="0"/>
            </w:tcBorders>
            <w:noWrap w:val="0"/>
            <w:vAlign w:val="bottom"/>
          </w:tcPr>
          <w:p w14:paraId="7374FBB3">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大于50万</w:t>
            </w:r>
            <w:r>
              <w:rPr>
                <w:rFonts w:hint="eastAsia" w:ascii="宋体" w:hAnsi="宋体" w:cs="宋体"/>
                <w:color w:val="auto"/>
                <w:sz w:val="21"/>
                <w:szCs w:val="21"/>
                <w:highlight w:val="none"/>
                <w:lang w:eastAsia="zh-CN"/>
              </w:rPr>
              <w:t>立方米</w:t>
            </w:r>
          </w:p>
        </w:tc>
        <w:tc>
          <w:tcPr>
            <w:tcW w:w="1270" w:type="dxa"/>
            <w:tcBorders>
              <w:top w:val="single" w:color="auto" w:sz="4" w:space="0"/>
              <w:left w:val="single" w:color="auto" w:sz="4" w:space="0"/>
              <w:bottom w:val="single" w:color="auto" w:sz="4" w:space="0"/>
              <w:right w:val="single" w:color="auto" w:sz="4" w:space="0"/>
            </w:tcBorders>
            <w:noWrap w:val="0"/>
            <w:vAlign w:val="bottom"/>
          </w:tcPr>
          <w:p w14:paraId="4CCF338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bl>
    <w:p w14:paraId="5451B94B">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19"/>
        <w:gridCol w:w="5785"/>
        <w:gridCol w:w="1344"/>
      </w:tblGrid>
      <w:tr w14:paraId="3662D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3"/>
            <w:tcBorders>
              <w:top w:val="single" w:color="auto" w:sz="4" w:space="0"/>
              <w:left w:val="single" w:color="auto" w:sz="4" w:space="0"/>
              <w:bottom w:val="single" w:color="auto" w:sz="4" w:space="0"/>
              <w:right w:val="single" w:color="auto" w:sz="4" w:space="0"/>
            </w:tcBorders>
            <w:noWrap w:val="0"/>
            <w:vAlign w:val="center"/>
          </w:tcPr>
          <w:p w14:paraId="2652DE34">
            <w:pPr>
              <w:jc w:val="center"/>
              <w:rPr>
                <w:rFonts w:hint="eastAsia" w:ascii="宋体" w:hAnsi="宋体" w:eastAsia="宋体" w:cs="宋体"/>
                <w:bCs/>
                <w:color w:val="auto"/>
                <w:sz w:val="21"/>
                <w:szCs w:val="21"/>
                <w:highlight w:val="none"/>
                <w:lang w:eastAsia="zh-CN"/>
              </w:rPr>
            </w:pPr>
            <w:r>
              <w:rPr>
                <w:rFonts w:hint="eastAsia" w:ascii="宋体" w:hAnsi="宋体" w:eastAsia="宋体" w:cs="宋体"/>
                <w:color w:val="auto"/>
                <w:sz w:val="21"/>
                <w:szCs w:val="21"/>
                <w:highlight w:val="none"/>
                <w:lang w:eastAsia="zh-CN"/>
              </w:rPr>
              <w:t>（七）土壤污染防治类</w:t>
            </w:r>
          </w:p>
        </w:tc>
      </w:tr>
      <w:tr w14:paraId="4EE20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2" w:type="dxa"/>
            <w:tcBorders>
              <w:top w:val="single" w:color="auto" w:sz="4" w:space="0"/>
              <w:left w:val="single" w:color="auto" w:sz="4" w:space="0"/>
              <w:bottom w:val="single" w:color="auto" w:sz="4" w:space="0"/>
              <w:right w:val="single" w:color="auto" w:sz="4" w:space="0"/>
            </w:tcBorders>
            <w:noWrap w:val="0"/>
            <w:vAlign w:val="center"/>
          </w:tcPr>
          <w:p w14:paraId="01EB358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790" w:type="dxa"/>
            <w:gridSpan w:val="2"/>
            <w:tcBorders>
              <w:top w:val="single" w:color="auto" w:sz="4" w:space="0"/>
              <w:left w:val="single" w:color="auto" w:sz="4" w:space="0"/>
              <w:bottom w:val="single" w:color="auto" w:sz="4" w:space="0"/>
              <w:right w:val="single" w:color="auto" w:sz="4" w:space="0"/>
            </w:tcBorders>
            <w:noWrap w:val="0"/>
            <w:vAlign w:val="center"/>
          </w:tcPr>
          <w:p w14:paraId="2E4A814F">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r>
      <w:tr w14:paraId="2178D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2" w:type="dxa"/>
            <w:tcBorders>
              <w:top w:val="single" w:color="auto" w:sz="4" w:space="0"/>
              <w:left w:val="single" w:color="auto" w:sz="4" w:space="0"/>
              <w:bottom w:val="single" w:color="auto" w:sz="4" w:space="0"/>
              <w:right w:val="single" w:color="auto" w:sz="4" w:space="0"/>
            </w:tcBorders>
            <w:noWrap w:val="0"/>
            <w:vAlign w:val="center"/>
          </w:tcPr>
          <w:p w14:paraId="7B0F488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6790" w:type="dxa"/>
            <w:gridSpan w:val="2"/>
            <w:tcBorders>
              <w:top w:val="single" w:color="auto" w:sz="4" w:space="0"/>
              <w:left w:val="single" w:color="auto" w:sz="4" w:space="0"/>
              <w:bottom w:val="single" w:color="auto" w:sz="4" w:space="0"/>
              <w:right w:val="single" w:color="auto" w:sz="4" w:space="0"/>
            </w:tcBorders>
            <w:noWrap w:val="0"/>
            <w:vAlign w:val="center"/>
          </w:tcPr>
          <w:p w14:paraId="6BB103F3">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向农用地排放重金属或者其他有毒有害物质含量超标的污水、污泥，以及可能造成土壤污染的清淤底泥、尾矿、矿渣等的</w:t>
            </w:r>
          </w:p>
        </w:tc>
      </w:tr>
      <w:tr w14:paraId="35462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2" w:type="dxa"/>
            <w:tcBorders>
              <w:top w:val="single" w:color="auto" w:sz="4" w:space="0"/>
              <w:left w:val="single" w:color="auto" w:sz="4" w:space="0"/>
              <w:bottom w:val="single" w:color="auto" w:sz="4" w:space="0"/>
              <w:right w:val="single" w:color="auto" w:sz="4" w:space="0"/>
            </w:tcBorders>
            <w:noWrap w:val="0"/>
            <w:vAlign w:val="center"/>
          </w:tcPr>
          <w:p w14:paraId="3316C9D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6790" w:type="dxa"/>
            <w:gridSpan w:val="2"/>
            <w:tcBorders>
              <w:top w:val="single" w:color="auto" w:sz="4" w:space="0"/>
              <w:left w:val="single" w:color="auto" w:sz="4" w:space="0"/>
              <w:bottom w:val="single" w:color="auto" w:sz="4" w:space="0"/>
              <w:right w:val="single" w:color="auto" w:sz="4" w:space="0"/>
            </w:tcBorders>
            <w:noWrap w:val="0"/>
            <w:vAlign w:val="center"/>
          </w:tcPr>
          <w:p w14:paraId="5D0C6262">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《中华人民共和国生态环境法典》第四百二十二条第一款　禁止向耕地、林地、草地等农用地排放重金属或者其他有毒有害物质含量超标的污水、污泥，以及可能造成土壤污染的清淤底泥、尾矿、矿渣等。</w:t>
            </w:r>
          </w:p>
        </w:tc>
      </w:tr>
      <w:tr w14:paraId="15744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2" w:type="dxa"/>
            <w:tcBorders>
              <w:top w:val="single" w:color="auto" w:sz="4" w:space="0"/>
              <w:left w:val="single" w:color="auto" w:sz="4" w:space="0"/>
              <w:bottom w:val="single" w:color="auto" w:sz="4" w:space="0"/>
              <w:right w:val="single" w:color="auto" w:sz="4" w:space="0"/>
            </w:tcBorders>
            <w:noWrap w:val="0"/>
            <w:vAlign w:val="center"/>
          </w:tcPr>
          <w:p w14:paraId="2248E96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6790" w:type="dxa"/>
            <w:gridSpan w:val="2"/>
            <w:tcBorders>
              <w:top w:val="single" w:color="auto" w:sz="4" w:space="0"/>
              <w:left w:val="single" w:color="auto" w:sz="4" w:space="0"/>
              <w:bottom w:val="single" w:color="auto" w:sz="4" w:space="0"/>
              <w:right w:val="single" w:color="auto" w:sz="4" w:space="0"/>
            </w:tcBorders>
            <w:noWrap w:val="0"/>
            <w:vAlign w:val="center"/>
          </w:tcPr>
          <w:p w14:paraId="0B6739B5">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《中华人民共和国生态环境法典》第一千一百六十条  违反本法规定，向农用地排放重金属或者其他有毒有害物质含量超标的污水、污泥，以及可能造成土壤污染的清淤底泥、尾矿、矿渣等的，由生态环境主管部门责令改正，没收违法所得，并处十万元以上五十万元以下的罚款</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w:t>
            </w:r>
          </w:p>
        </w:tc>
      </w:tr>
      <w:tr w14:paraId="68033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2" w:type="dxa"/>
            <w:tcBorders>
              <w:top w:val="single" w:color="auto" w:sz="4" w:space="0"/>
              <w:left w:val="single" w:color="auto" w:sz="4" w:space="0"/>
              <w:bottom w:val="single" w:color="auto" w:sz="4" w:space="0"/>
              <w:right w:val="single" w:color="auto" w:sz="4" w:space="0"/>
            </w:tcBorders>
            <w:noWrap w:val="0"/>
            <w:vAlign w:val="center"/>
          </w:tcPr>
          <w:p w14:paraId="54F84E3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510" w:type="dxa"/>
            <w:tcBorders>
              <w:top w:val="single" w:color="auto" w:sz="4" w:space="0"/>
              <w:left w:val="single" w:color="auto" w:sz="4" w:space="0"/>
              <w:bottom w:val="single" w:color="auto" w:sz="4" w:space="0"/>
              <w:right w:val="single" w:color="auto" w:sz="4" w:space="0"/>
            </w:tcBorders>
            <w:noWrap w:val="0"/>
            <w:vAlign w:val="center"/>
          </w:tcPr>
          <w:p w14:paraId="0B77419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280" w:type="dxa"/>
            <w:tcBorders>
              <w:top w:val="single" w:color="auto" w:sz="4" w:space="0"/>
              <w:left w:val="single" w:color="auto" w:sz="4" w:space="0"/>
              <w:bottom w:val="single" w:color="auto" w:sz="4" w:space="0"/>
              <w:right w:val="single" w:color="auto" w:sz="4" w:space="0"/>
            </w:tcBorders>
            <w:noWrap w:val="0"/>
            <w:vAlign w:val="center"/>
          </w:tcPr>
          <w:p w14:paraId="474653B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00688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2" w:type="dxa"/>
            <w:vMerge w:val="restart"/>
            <w:tcBorders>
              <w:top w:val="single" w:color="auto" w:sz="4" w:space="0"/>
              <w:left w:val="single" w:color="auto" w:sz="4" w:space="0"/>
              <w:right w:val="single" w:color="auto" w:sz="4" w:space="0"/>
            </w:tcBorders>
            <w:noWrap w:val="0"/>
            <w:vAlign w:val="center"/>
          </w:tcPr>
          <w:p w14:paraId="30E055E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排放污染物种类及浓度</w:t>
            </w:r>
          </w:p>
        </w:tc>
        <w:tc>
          <w:tcPr>
            <w:tcW w:w="5510" w:type="dxa"/>
            <w:tcBorders>
              <w:top w:val="single" w:color="auto" w:sz="4" w:space="0"/>
              <w:left w:val="single" w:color="auto" w:sz="4" w:space="0"/>
              <w:bottom w:val="single" w:color="auto" w:sz="4" w:space="0"/>
              <w:right w:val="single" w:color="auto" w:sz="4" w:space="0"/>
            </w:tcBorders>
            <w:noWrap w:val="0"/>
            <w:vAlign w:val="center"/>
          </w:tcPr>
          <w:p w14:paraId="358B6B99">
            <w:pPr>
              <w:keepNext w:val="0"/>
              <w:keepLines w:val="0"/>
              <w:pageBreakBefore w:val="0"/>
              <w:widowControl w:val="0"/>
              <w:kinsoku/>
              <w:wordWrap/>
              <w:overflowPunct/>
              <w:topLinePunct w:val="0"/>
              <w:autoSpaceDE/>
              <w:autoSpaceDN/>
              <w:bidi w:val="0"/>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可能造成土壤污染的清淤底泥、尾矿、矿渣等</w:t>
            </w:r>
          </w:p>
        </w:tc>
        <w:tc>
          <w:tcPr>
            <w:tcW w:w="1280" w:type="dxa"/>
            <w:tcBorders>
              <w:top w:val="single" w:color="auto" w:sz="4" w:space="0"/>
              <w:left w:val="single" w:color="auto" w:sz="4" w:space="0"/>
              <w:bottom w:val="single" w:color="auto" w:sz="4" w:space="0"/>
              <w:right w:val="single" w:color="auto" w:sz="4" w:space="0"/>
            </w:tcBorders>
            <w:noWrap w:val="0"/>
            <w:vAlign w:val="center"/>
          </w:tcPr>
          <w:p w14:paraId="0D5878B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0BFC2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2" w:type="dxa"/>
            <w:vMerge w:val="continue"/>
            <w:tcBorders>
              <w:top w:val="single" w:color="auto" w:sz="4" w:space="0"/>
              <w:left w:val="single" w:color="auto" w:sz="4" w:space="0"/>
              <w:bottom w:val="single" w:color="auto" w:sz="4" w:space="0"/>
              <w:right w:val="single" w:color="auto" w:sz="4" w:space="0"/>
            </w:tcBorders>
            <w:noWrap w:val="0"/>
            <w:vAlign w:val="center"/>
          </w:tcPr>
          <w:p w14:paraId="6B674012">
            <w:pPr>
              <w:rPr>
                <w:rFonts w:hint="eastAsia" w:ascii="宋体" w:hAnsi="宋体" w:eastAsia="宋体" w:cs="宋体"/>
                <w:color w:val="auto"/>
                <w:sz w:val="21"/>
                <w:szCs w:val="21"/>
                <w:highlight w:val="none"/>
              </w:rPr>
            </w:pPr>
          </w:p>
        </w:tc>
        <w:tc>
          <w:tcPr>
            <w:tcW w:w="5510" w:type="dxa"/>
            <w:tcBorders>
              <w:top w:val="single" w:color="auto" w:sz="4" w:space="0"/>
              <w:left w:val="single" w:color="auto" w:sz="4" w:space="0"/>
              <w:bottom w:val="single" w:color="auto" w:sz="4" w:space="0"/>
              <w:right w:val="single" w:color="auto" w:sz="4" w:space="0"/>
            </w:tcBorders>
            <w:noWrap w:val="0"/>
            <w:vAlign w:val="center"/>
          </w:tcPr>
          <w:p w14:paraId="49A2E54D">
            <w:pPr>
              <w:keepNext w:val="0"/>
              <w:keepLines w:val="0"/>
              <w:pageBreakBefore w:val="0"/>
              <w:widowControl w:val="0"/>
              <w:kinsoku/>
              <w:wordWrap/>
              <w:overflowPunct/>
              <w:topLinePunct w:val="0"/>
              <w:autoSpaceDE/>
              <w:autoSpaceDN/>
              <w:bidi w:val="0"/>
              <w:adjustRightInd w:val="0"/>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重金属或者其他有毒有害物质含量超标10%以内的污水、污泥</w:t>
            </w:r>
          </w:p>
        </w:tc>
        <w:tc>
          <w:tcPr>
            <w:tcW w:w="1280" w:type="dxa"/>
            <w:tcBorders>
              <w:top w:val="single" w:color="auto" w:sz="4" w:space="0"/>
              <w:left w:val="single" w:color="auto" w:sz="4" w:space="0"/>
              <w:bottom w:val="single" w:color="auto" w:sz="4" w:space="0"/>
              <w:right w:val="single" w:color="auto" w:sz="4" w:space="0"/>
            </w:tcBorders>
            <w:noWrap w:val="0"/>
            <w:vAlign w:val="center"/>
          </w:tcPr>
          <w:p w14:paraId="5787E1A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r>
      <w:tr w14:paraId="278E7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2" w:type="dxa"/>
            <w:vMerge w:val="continue"/>
            <w:tcBorders>
              <w:top w:val="single" w:color="auto" w:sz="4" w:space="0"/>
              <w:left w:val="single" w:color="auto" w:sz="4" w:space="0"/>
              <w:bottom w:val="single" w:color="auto" w:sz="4" w:space="0"/>
              <w:right w:val="single" w:color="auto" w:sz="4" w:space="0"/>
            </w:tcBorders>
            <w:noWrap w:val="0"/>
            <w:vAlign w:val="center"/>
          </w:tcPr>
          <w:p w14:paraId="7DCACBF7">
            <w:pPr>
              <w:rPr>
                <w:rFonts w:hint="eastAsia" w:ascii="宋体" w:hAnsi="宋体" w:eastAsia="宋体" w:cs="宋体"/>
                <w:color w:val="auto"/>
                <w:sz w:val="21"/>
                <w:szCs w:val="21"/>
                <w:highlight w:val="none"/>
              </w:rPr>
            </w:pPr>
          </w:p>
        </w:tc>
        <w:tc>
          <w:tcPr>
            <w:tcW w:w="5510" w:type="dxa"/>
            <w:tcBorders>
              <w:top w:val="single" w:color="auto" w:sz="4" w:space="0"/>
              <w:left w:val="single" w:color="auto" w:sz="4" w:space="0"/>
              <w:bottom w:val="single" w:color="auto" w:sz="4" w:space="0"/>
              <w:right w:val="single" w:color="auto" w:sz="4" w:space="0"/>
            </w:tcBorders>
            <w:noWrap w:val="0"/>
            <w:vAlign w:val="center"/>
          </w:tcPr>
          <w:p w14:paraId="2BF44B69">
            <w:pPr>
              <w:keepNext w:val="0"/>
              <w:keepLines w:val="0"/>
              <w:pageBreakBefore w:val="0"/>
              <w:widowControl w:val="0"/>
              <w:kinsoku/>
              <w:wordWrap/>
              <w:overflowPunct/>
              <w:topLinePunct w:val="0"/>
              <w:autoSpaceDE/>
              <w:autoSpaceDN/>
              <w:bidi w:val="0"/>
              <w:adjustRightInd w:val="0"/>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重金属或者其他有毒有害物质含量超标10%以上不足50%的污水、污泥</w:t>
            </w:r>
          </w:p>
        </w:tc>
        <w:tc>
          <w:tcPr>
            <w:tcW w:w="1280" w:type="dxa"/>
            <w:tcBorders>
              <w:top w:val="single" w:color="auto" w:sz="4" w:space="0"/>
              <w:left w:val="single" w:color="auto" w:sz="4" w:space="0"/>
              <w:bottom w:val="single" w:color="auto" w:sz="4" w:space="0"/>
              <w:right w:val="single" w:color="auto" w:sz="4" w:space="0"/>
            </w:tcBorders>
            <w:noWrap w:val="0"/>
            <w:vAlign w:val="center"/>
          </w:tcPr>
          <w:p w14:paraId="1C816ED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62F1E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2" w:type="dxa"/>
            <w:vMerge w:val="continue"/>
            <w:tcBorders>
              <w:top w:val="single" w:color="auto" w:sz="4" w:space="0"/>
              <w:left w:val="single" w:color="auto" w:sz="4" w:space="0"/>
              <w:bottom w:val="single" w:color="auto" w:sz="4" w:space="0"/>
              <w:right w:val="single" w:color="auto" w:sz="4" w:space="0"/>
            </w:tcBorders>
            <w:noWrap w:val="0"/>
            <w:vAlign w:val="center"/>
          </w:tcPr>
          <w:p w14:paraId="32D0FC70">
            <w:pPr>
              <w:rPr>
                <w:rFonts w:hint="eastAsia" w:ascii="宋体" w:hAnsi="宋体" w:eastAsia="宋体" w:cs="宋体"/>
                <w:color w:val="auto"/>
                <w:sz w:val="21"/>
                <w:szCs w:val="21"/>
                <w:highlight w:val="none"/>
              </w:rPr>
            </w:pPr>
          </w:p>
        </w:tc>
        <w:tc>
          <w:tcPr>
            <w:tcW w:w="5510" w:type="dxa"/>
            <w:tcBorders>
              <w:top w:val="single" w:color="auto" w:sz="4" w:space="0"/>
              <w:left w:val="single" w:color="auto" w:sz="4" w:space="0"/>
              <w:bottom w:val="single" w:color="auto" w:sz="4" w:space="0"/>
              <w:right w:val="single" w:color="auto" w:sz="4" w:space="0"/>
            </w:tcBorders>
            <w:noWrap w:val="0"/>
            <w:vAlign w:val="center"/>
          </w:tcPr>
          <w:p w14:paraId="664B0511">
            <w:pPr>
              <w:keepNext w:val="0"/>
              <w:keepLines w:val="0"/>
              <w:pageBreakBefore w:val="0"/>
              <w:widowControl w:val="0"/>
              <w:kinsoku/>
              <w:wordWrap/>
              <w:overflowPunct/>
              <w:topLinePunct w:val="0"/>
              <w:autoSpaceDE/>
              <w:autoSpaceDN/>
              <w:bidi w:val="0"/>
              <w:adjustRightInd w:val="0"/>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重金属或者其他有毒有害物质含量超标50%以上不足100%的污水、污泥</w:t>
            </w:r>
          </w:p>
        </w:tc>
        <w:tc>
          <w:tcPr>
            <w:tcW w:w="1280" w:type="dxa"/>
            <w:tcBorders>
              <w:top w:val="single" w:color="auto" w:sz="4" w:space="0"/>
              <w:left w:val="single" w:color="auto" w:sz="4" w:space="0"/>
              <w:bottom w:val="single" w:color="auto" w:sz="4" w:space="0"/>
              <w:right w:val="single" w:color="auto" w:sz="4" w:space="0"/>
            </w:tcBorders>
            <w:noWrap w:val="0"/>
            <w:vAlign w:val="center"/>
          </w:tcPr>
          <w:p w14:paraId="6BD38A2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r>
      <w:tr w14:paraId="7080D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2" w:type="dxa"/>
            <w:vMerge w:val="continue"/>
            <w:tcBorders>
              <w:top w:val="single" w:color="auto" w:sz="4" w:space="0"/>
              <w:left w:val="single" w:color="auto" w:sz="4" w:space="0"/>
              <w:bottom w:val="single" w:color="auto" w:sz="4" w:space="0"/>
              <w:right w:val="single" w:color="auto" w:sz="4" w:space="0"/>
            </w:tcBorders>
            <w:noWrap w:val="0"/>
            <w:vAlign w:val="center"/>
          </w:tcPr>
          <w:p w14:paraId="37E9951F">
            <w:pPr>
              <w:rPr>
                <w:rFonts w:hint="eastAsia" w:ascii="宋体" w:hAnsi="宋体" w:eastAsia="宋体" w:cs="宋体"/>
                <w:color w:val="auto"/>
                <w:sz w:val="21"/>
                <w:szCs w:val="21"/>
                <w:highlight w:val="none"/>
              </w:rPr>
            </w:pPr>
          </w:p>
        </w:tc>
        <w:tc>
          <w:tcPr>
            <w:tcW w:w="5510" w:type="dxa"/>
            <w:tcBorders>
              <w:top w:val="single" w:color="auto" w:sz="4" w:space="0"/>
              <w:left w:val="single" w:color="auto" w:sz="4" w:space="0"/>
              <w:bottom w:val="single" w:color="auto" w:sz="4" w:space="0"/>
              <w:right w:val="single" w:color="auto" w:sz="4" w:space="0"/>
            </w:tcBorders>
            <w:noWrap w:val="0"/>
            <w:vAlign w:val="center"/>
          </w:tcPr>
          <w:p w14:paraId="2C19AF44">
            <w:pPr>
              <w:keepNext w:val="0"/>
              <w:keepLines w:val="0"/>
              <w:pageBreakBefore w:val="0"/>
              <w:widowControl w:val="0"/>
              <w:kinsoku/>
              <w:wordWrap/>
              <w:overflowPunct/>
              <w:topLinePunct w:val="0"/>
              <w:autoSpaceDE/>
              <w:autoSpaceDN/>
              <w:bidi w:val="0"/>
              <w:adjustRightInd w:val="0"/>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重金属或者其他有毒有害物质含量超标100%以上的污水、污泥</w:t>
            </w:r>
          </w:p>
        </w:tc>
        <w:tc>
          <w:tcPr>
            <w:tcW w:w="1280" w:type="dxa"/>
            <w:tcBorders>
              <w:top w:val="single" w:color="auto" w:sz="4" w:space="0"/>
              <w:left w:val="single" w:color="auto" w:sz="4" w:space="0"/>
              <w:bottom w:val="single" w:color="auto" w:sz="4" w:space="0"/>
              <w:right w:val="single" w:color="auto" w:sz="4" w:space="0"/>
            </w:tcBorders>
            <w:noWrap w:val="0"/>
            <w:vAlign w:val="center"/>
          </w:tcPr>
          <w:p w14:paraId="6C55C6A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5FDB3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2" w:type="dxa"/>
            <w:vMerge w:val="restart"/>
            <w:tcBorders>
              <w:top w:val="single" w:color="auto" w:sz="4" w:space="0"/>
              <w:left w:val="single" w:color="auto" w:sz="4" w:space="0"/>
              <w:right w:val="single" w:color="auto" w:sz="4" w:space="0"/>
            </w:tcBorders>
            <w:noWrap w:val="0"/>
            <w:vAlign w:val="center"/>
          </w:tcPr>
          <w:p w14:paraId="2E569EA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污染物</w:t>
            </w:r>
            <w:r>
              <w:rPr>
                <w:rFonts w:hint="eastAsia" w:ascii="宋体" w:hAnsi="宋体" w:cs="宋体"/>
                <w:color w:val="auto"/>
                <w:sz w:val="21"/>
                <w:szCs w:val="21"/>
                <w:highlight w:val="none"/>
                <w:lang w:val="en-US" w:eastAsia="zh-CN"/>
              </w:rPr>
              <w:t>排放量</w:t>
            </w:r>
          </w:p>
        </w:tc>
        <w:tc>
          <w:tcPr>
            <w:tcW w:w="5510" w:type="dxa"/>
            <w:tcBorders>
              <w:top w:val="single" w:color="auto" w:sz="4" w:space="0"/>
              <w:left w:val="single" w:color="auto" w:sz="4" w:space="0"/>
              <w:bottom w:val="single" w:color="auto" w:sz="4" w:space="0"/>
              <w:right w:val="single" w:color="auto" w:sz="4" w:space="0"/>
            </w:tcBorders>
            <w:noWrap w:val="0"/>
            <w:vAlign w:val="center"/>
          </w:tcPr>
          <w:p w14:paraId="185B0A92">
            <w:pPr>
              <w:keepNext w:val="0"/>
              <w:keepLines w:val="0"/>
              <w:pageBreakBefore w:val="0"/>
              <w:widowControl w:val="0"/>
              <w:kinsoku/>
              <w:wordWrap/>
              <w:overflowPunct/>
              <w:topLinePunct w:val="0"/>
              <w:autoSpaceDE/>
              <w:autoSpaceDN/>
              <w:bidi w:val="0"/>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不足2吨</w:t>
            </w:r>
          </w:p>
        </w:tc>
        <w:tc>
          <w:tcPr>
            <w:tcW w:w="1280" w:type="dxa"/>
            <w:tcBorders>
              <w:top w:val="single" w:color="auto" w:sz="4" w:space="0"/>
              <w:left w:val="single" w:color="auto" w:sz="4" w:space="0"/>
              <w:bottom w:val="single" w:color="auto" w:sz="4" w:space="0"/>
              <w:right w:val="single" w:color="auto" w:sz="4" w:space="0"/>
            </w:tcBorders>
            <w:noWrap w:val="0"/>
            <w:vAlign w:val="center"/>
          </w:tcPr>
          <w:p w14:paraId="2B3E893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00412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2" w:type="dxa"/>
            <w:vMerge w:val="continue"/>
            <w:tcBorders>
              <w:top w:val="single" w:color="auto" w:sz="4" w:space="0"/>
              <w:left w:val="single" w:color="auto" w:sz="4" w:space="0"/>
              <w:bottom w:val="single" w:color="auto" w:sz="4" w:space="0"/>
              <w:right w:val="single" w:color="auto" w:sz="4" w:space="0"/>
            </w:tcBorders>
            <w:noWrap w:val="0"/>
            <w:vAlign w:val="center"/>
          </w:tcPr>
          <w:p w14:paraId="5F125861">
            <w:pPr>
              <w:rPr>
                <w:rFonts w:hint="eastAsia" w:ascii="宋体" w:hAnsi="宋体" w:eastAsia="宋体" w:cs="宋体"/>
                <w:color w:val="auto"/>
                <w:sz w:val="21"/>
                <w:szCs w:val="21"/>
                <w:highlight w:val="none"/>
              </w:rPr>
            </w:pPr>
          </w:p>
        </w:tc>
        <w:tc>
          <w:tcPr>
            <w:tcW w:w="5510" w:type="dxa"/>
            <w:tcBorders>
              <w:top w:val="single" w:color="auto" w:sz="4" w:space="0"/>
              <w:left w:val="single" w:color="auto" w:sz="4" w:space="0"/>
              <w:bottom w:val="single" w:color="auto" w:sz="4" w:space="0"/>
              <w:right w:val="single" w:color="auto" w:sz="4" w:space="0"/>
            </w:tcBorders>
            <w:noWrap w:val="0"/>
            <w:vAlign w:val="bottom"/>
          </w:tcPr>
          <w:p w14:paraId="71EA8F21">
            <w:pPr>
              <w:keepNext w:val="0"/>
              <w:keepLines w:val="0"/>
              <w:pageBreakBefore w:val="0"/>
              <w:widowControl w:val="0"/>
              <w:kinsoku/>
              <w:wordWrap/>
              <w:overflowPunct/>
              <w:topLinePunct w:val="0"/>
              <w:autoSpaceDE/>
              <w:autoSpaceDN/>
              <w:bidi w:val="0"/>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2吨以上不足5吨</w:t>
            </w:r>
          </w:p>
        </w:tc>
        <w:tc>
          <w:tcPr>
            <w:tcW w:w="1280" w:type="dxa"/>
            <w:tcBorders>
              <w:top w:val="single" w:color="auto" w:sz="4" w:space="0"/>
              <w:left w:val="single" w:color="auto" w:sz="4" w:space="0"/>
              <w:bottom w:val="single" w:color="auto" w:sz="4" w:space="0"/>
              <w:right w:val="single" w:color="auto" w:sz="4" w:space="0"/>
            </w:tcBorders>
            <w:noWrap w:val="0"/>
            <w:vAlign w:val="bottom"/>
          </w:tcPr>
          <w:p w14:paraId="44A9ABB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r>
      <w:tr w14:paraId="0D9DC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2" w:type="dxa"/>
            <w:vMerge w:val="continue"/>
            <w:tcBorders>
              <w:top w:val="single" w:color="auto" w:sz="4" w:space="0"/>
              <w:left w:val="single" w:color="auto" w:sz="4" w:space="0"/>
              <w:bottom w:val="single" w:color="auto" w:sz="4" w:space="0"/>
              <w:right w:val="single" w:color="auto" w:sz="4" w:space="0"/>
            </w:tcBorders>
            <w:noWrap w:val="0"/>
            <w:vAlign w:val="center"/>
          </w:tcPr>
          <w:p w14:paraId="367D3C37">
            <w:pPr>
              <w:rPr>
                <w:rFonts w:hint="eastAsia" w:ascii="宋体" w:hAnsi="宋体" w:eastAsia="宋体" w:cs="宋体"/>
                <w:color w:val="auto"/>
                <w:sz w:val="21"/>
                <w:szCs w:val="21"/>
                <w:highlight w:val="none"/>
              </w:rPr>
            </w:pPr>
          </w:p>
        </w:tc>
        <w:tc>
          <w:tcPr>
            <w:tcW w:w="5510" w:type="dxa"/>
            <w:tcBorders>
              <w:top w:val="single" w:color="auto" w:sz="4" w:space="0"/>
              <w:left w:val="single" w:color="auto" w:sz="4" w:space="0"/>
              <w:bottom w:val="single" w:color="auto" w:sz="4" w:space="0"/>
              <w:right w:val="single" w:color="auto" w:sz="4" w:space="0"/>
            </w:tcBorders>
            <w:noWrap w:val="0"/>
            <w:vAlign w:val="bottom"/>
          </w:tcPr>
          <w:p w14:paraId="11D01363">
            <w:pPr>
              <w:keepNext w:val="0"/>
              <w:keepLines w:val="0"/>
              <w:pageBreakBefore w:val="0"/>
              <w:widowControl w:val="0"/>
              <w:kinsoku/>
              <w:wordWrap/>
              <w:overflowPunct/>
              <w:topLinePunct w:val="0"/>
              <w:autoSpaceDE/>
              <w:autoSpaceDN/>
              <w:bidi w:val="0"/>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5吨以上不足10吨</w:t>
            </w:r>
          </w:p>
        </w:tc>
        <w:tc>
          <w:tcPr>
            <w:tcW w:w="1280" w:type="dxa"/>
            <w:tcBorders>
              <w:top w:val="single" w:color="auto" w:sz="4" w:space="0"/>
              <w:left w:val="single" w:color="auto" w:sz="4" w:space="0"/>
              <w:bottom w:val="single" w:color="auto" w:sz="4" w:space="0"/>
              <w:right w:val="single" w:color="auto" w:sz="4" w:space="0"/>
            </w:tcBorders>
            <w:noWrap w:val="0"/>
            <w:vAlign w:val="bottom"/>
          </w:tcPr>
          <w:p w14:paraId="2AF4AAB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7B901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2" w:type="dxa"/>
            <w:vMerge w:val="continue"/>
            <w:tcBorders>
              <w:top w:val="single" w:color="auto" w:sz="4" w:space="0"/>
              <w:left w:val="single" w:color="auto" w:sz="4" w:space="0"/>
              <w:bottom w:val="single" w:color="auto" w:sz="4" w:space="0"/>
              <w:right w:val="single" w:color="auto" w:sz="4" w:space="0"/>
            </w:tcBorders>
            <w:noWrap w:val="0"/>
            <w:vAlign w:val="center"/>
          </w:tcPr>
          <w:p w14:paraId="1EEBB668">
            <w:pPr>
              <w:rPr>
                <w:rFonts w:hint="eastAsia" w:ascii="宋体" w:hAnsi="宋体" w:eastAsia="宋体" w:cs="宋体"/>
                <w:color w:val="auto"/>
                <w:sz w:val="21"/>
                <w:szCs w:val="21"/>
                <w:highlight w:val="none"/>
              </w:rPr>
            </w:pPr>
          </w:p>
        </w:tc>
        <w:tc>
          <w:tcPr>
            <w:tcW w:w="5510" w:type="dxa"/>
            <w:tcBorders>
              <w:top w:val="single" w:color="auto" w:sz="4" w:space="0"/>
              <w:left w:val="single" w:color="auto" w:sz="4" w:space="0"/>
              <w:bottom w:val="single" w:color="auto" w:sz="4" w:space="0"/>
              <w:right w:val="single" w:color="auto" w:sz="4" w:space="0"/>
            </w:tcBorders>
            <w:noWrap w:val="0"/>
            <w:vAlign w:val="bottom"/>
          </w:tcPr>
          <w:p w14:paraId="1C387EED">
            <w:pPr>
              <w:keepNext w:val="0"/>
              <w:keepLines w:val="0"/>
              <w:pageBreakBefore w:val="0"/>
              <w:widowControl w:val="0"/>
              <w:kinsoku/>
              <w:wordWrap/>
              <w:overflowPunct/>
              <w:topLinePunct w:val="0"/>
              <w:autoSpaceDE/>
              <w:autoSpaceDN/>
              <w:bidi w:val="0"/>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10吨以上不足20吨</w:t>
            </w:r>
          </w:p>
        </w:tc>
        <w:tc>
          <w:tcPr>
            <w:tcW w:w="1280" w:type="dxa"/>
            <w:tcBorders>
              <w:top w:val="single" w:color="auto" w:sz="4" w:space="0"/>
              <w:left w:val="single" w:color="auto" w:sz="4" w:space="0"/>
              <w:bottom w:val="single" w:color="auto" w:sz="4" w:space="0"/>
              <w:right w:val="single" w:color="auto" w:sz="4" w:space="0"/>
            </w:tcBorders>
            <w:noWrap w:val="0"/>
            <w:vAlign w:val="bottom"/>
          </w:tcPr>
          <w:p w14:paraId="03F84EF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r>
      <w:tr w14:paraId="72B33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2" w:type="dxa"/>
            <w:vMerge w:val="continue"/>
            <w:tcBorders>
              <w:top w:val="single" w:color="auto" w:sz="4" w:space="0"/>
              <w:left w:val="single" w:color="auto" w:sz="4" w:space="0"/>
              <w:bottom w:val="single" w:color="auto" w:sz="4" w:space="0"/>
              <w:right w:val="single" w:color="auto" w:sz="4" w:space="0"/>
            </w:tcBorders>
            <w:noWrap w:val="0"/>
            <w:vAlign w:val="center"/>
          </w:tcPr>
          <w:p w14:paraId="3EC122A6">
            <w:pPr>
              <w:rPr>
                <w:rFonts w:hint="eastAsia" w:ascii="宋体" w:hAnsi="宋体" w:eastAsia="宋体" w:cs="宋体"/>
                <w:color w:val="auto"/>
                <w:sz w:val="21"/>
                <w:szCs w:val="21"/>
                <w:highlight w:val="none"/>
              </w:rPr>
            </w:pPr>
          </w:p>
        </w:tc>
        <w:tc>
          <w:tcPr>
            <w:tcW w:w="5510" w:type="dxa"/>
            <w:tcBorders>
              <w:top w:val="single" w:color="auto" w:sz="4" w:space="0"/>
              <w:left w:val="single" w:color="auto" w:sz="4" w:space="0"/>
              <w:bottom w:val="single" w:color="auto" w:sz="4" w:space="0"/>
              <w:right w:val="single" w:color="auto" w:sz="4" w:space="0"/>
            </w:tcBorders>
            <w:noWrap w:val="0"/>
            <w:vAlign w:val="center"/>
          </w:tcPr>
          <w:p w14:paraId="406DE9FF">
            <w:pPr>
              <w:keepNext w:val="0"/>
              <w:keepLines w:val="0"/>
              <w:pageBreakBefore w:val="0"/>
              <w:widowControl w:val="0"/>
              <w:kinsoku/>
              <w:wordWrap/>
              <w:overflowPunct/>
              <w:topLinePunct w:val="0"/>
              <w:autoSpaceDE/>
              <w:autoSpaceDN/>
              <w:bidi w:val="0"/>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20吨以上</w:t>
            </w:r>
          </w:p>
        </w:tc>
        <w:tc>
          <w:tcPr>
            <w:tcW w:w="1280" w:type="dxa"/>
            <w:tcBorders>
              <w:top w:val="single" w:color="auto" w:sz="4" w:space="0"/>
              <w:left w:val="single" w:color="auto" w:sz="4" w:space="0"/>
              <w:bottom w:val="single" w:color="auto" w:sz="4" w:space="0"/>
              <w:right w:val="single" w:color="auto" w:sz="4" w:space="0"/>
            </w:tcBorders>
            <w:noWrap w:val="0"/>
            <w:vAlign w:val="center"/>
          </w:tcPr>
          <w:p w14:paraId="15DE387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63914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2" w:type="dxa"/>
            <w:vMerge w:val="restart"/>
            <w:tcBorders>
              <w:top w:val="single" w:color="auto" w:sz="4" w:space="0"/>
              <w:left w:val="single" w:color="auto" w:sz="4" w:space="0"/>
              <w:right w:val="single" w:color="auto" w:sz="4" w:space="0"/>
            </w:tcBorders>
            <w:noWrap w:val="0"/>
            <w:vAlign w:val="center"/>
          </w:tcPr>
          <w:p w14:paraId="38FB6EF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农用地类型</w:t>
            </w:r>
          </w:p>
        </w:tc>
        <w:tc>
          <w:tcPr>
            <w:tcW w:w="5510" w:type="dxa"/>
            <w:tcBorders>
              <w:top w:val="single" w:color="auto" w:sz="4" w:space="0"/>
              <w:left w:val="single" w:color="auto" w:sz="4" w:space="0"/>
              <w:bottom w:val="single" w:color="auto" w:sz="4" w:space="0"/>
              <w:right w:val="single" w:color="auto" w:sz="4" w:space="0"/>
            </w:tcBorders>
            <w:noWrap w:val="0"/>
            <w:vAlign w:val="bottom"/>
          </w:tcPr>
          <w:p w14:paraId="728B9025">
            <w:pPr>
              <w:keepNext w:val="0"/>
              <w:keepLines w:val="0"/>
              <w:pageBreakBefore w:val="0"/>
              <w:widowControl w:val="0"/>
              <w:kinsoku/>
              <w:wordWrap/>
              <w:overflowPunct/>
              <w:topLinePunct w:val="0"/>
              <w:autoSpaceDE/>
              <w:autoSpaceDN/>
              <w:bidi w:val="0"/>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严格管控类农用地</w:t>
            </w:r>
          </w:p>
        </w:tc>
        <w:tc>
          <w:tcPr>
            <w:tcW w:w="1280" w:type="dxa"/>
            <w:tcBorders>
              <w:top w:val="single" w:color="auto" w:sz="4" w:space="0"/>
              <w:left w:val="single" w:color="auto" w:sz="4" w:space="0"/>
              <w:bottom w:val="single" w:color="auto" w:sz="4" w:space="0"/>
              <w:right w:val="single" w:color="auto" w:sz="4" w:space="0"/>
            </w:tcBorders>
            <w:noWrap w:val="0"/>
            <w:vAlign w:val="bottom"/>
          </w:tcPr>
          <w:p w14:paraId="1051D50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3D264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2" w:type="dxa"/>
            <w:vMerge w:val="continue"/>
            <w:tcBorders>
              <w:top w:val="single" w:color="auto" w:sz="4" w:space="0"/>
              <w:left w:val="single" w:color="auto" w:sz="4" w:space="0"/>
              <w:bottom w:val="single" w:color="auto" w:sz="4" w:space="0"/>
              <w:right w:val="single" w:color="auto" w:sz="4" w:space="0"/>
            </w:tcBorders>
            <w:noWrap w:val="0"/>
            <w:vAlign w:val="center"/>
          </w:tcPr>
          <w:p w14:paraId="08F16F27">
            <w:pPr>
              <w:rPr>
                <w:rFonts w:hint="eastAsia" w:ascii="宋体" w:hAnsi="宋体" w:eastAsia="宋体" w:cs="宋体"/>
                <w:color w:val="auto"/>
                <w:sz w:val="21"/>
                <w:szCs w:val="21"/>
                <w:highlight w:val="none"/>
              </w:rPr>
            </w:pPr>
          </w:p>
        </w:tc>
        <w:tc>
          <w:tcPr>
            <w:tcW w:w="5510" w:type="dxa"/>
            <w:tcBorders>
              <w:top w:val="single" w:color="auto" w:sz="4" w:space="0"/>
              <w:left w:val="single" w:color="auto" w:sz="4" w:space="0"/>
              <w:bottom w:val="single" w:color="auto" w:sz="4" w:space="0"/>
              <w:right w:val="single" w:color="auto" w:sz="4" w:space="0"/>
            </w:tcBorders>
            <w:noWrap w:val="0"/>
            <w:vAlign w:val="bottom"/>
          </w:tcPr>
          <w:p w14:paraId="069C84EA">
            <w:pPr>
              <w:keepNext w:val="0"/>
              <w:keepLines w:val="0"/>
              <w:pageBreakBefore w:val="0"/>
              <w:widowControl w:val="0"/>
              <w:kinsoku/>
              <w:wordWrap/>
              <w:overflowPunct/>
              <w:topLinePunct w:val="0"/>
              <w:autoSpaceDE/>
              <w:autoSpaceDN/>
              <w:bidi w:val="0"/>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安全利用类农用地</w:t>
            </w:r>
          </w:p>
        </w:tc>
        <w:tc>
          <w:tcPr>
            <w:tcW w:w="1280" w:type="dxa"/>
            <w:tcBorders>
              <w:top w:val="single" w:color="auto" w:sz="4" w:space="0"/>
              <w:left w:val="single" w:color="auto" w:sz="4" w:space="0"/>
              <w:bottom w:val="single" w:color="auto" w:sz="4" w:space="0"/>
              <w:right w:val="single" w:color="auto" w:sz="4" w:space="0"/>
            </w:tcBorders>
            <w:noWrap w:val="0"/>
            <w:vAlign w:val="bottom"/>
          </w:tcPr>
          <w:p w14:paraId="17A001F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41C6F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2" w:type="dxa"/>
            <w:vMerge w:val="continue"/>
            <w:tcBorders>
              <w:top w:val="single" w:color="auto" w:sz="4" w:space="0"/>
              <w:left w:val="single" w:color="auto" w:sz="4" w:space="0"/>
              <w:bottom w:val="single" w:color="auto" w:sz="4" w:space="0"/>
              <w:right w:val="single" w:color="auto" w:sz="4" w:space="0"/>
            </w:tcBorders>
            <w:noWrap w:val="0"/>
            <w:vAlign w:val="center"/>
          </w:tcPr>
          <w:p w14:paraId="08104956">
            <w:pPr>
              <w:rPr>
                <w:rFonts w:hint="eastAsia" w:ascii="宋体" w:hAnsi="宋体" w:eastAsia="宋体" w:cs="宋体"/>
                <w:color w:val="auto"/>
                <w:sz w:val="21"/>
                <w:szCs w:val="21"/>
                <w:highlight w:val="none"/>
              </w:rPr>
            </w:pPr>
          </w:p>
        </w:tc>
        <w:tc>
          <w:tcPr>
            <w:tcW w:w="5510" w:type="dxa"/>
            <w:tcBorders>
              <w:top w:val="single" w:color="auto" w:sz="4" w:space="0"/>
              <w:left w:val="single" w:color="auto" w:sz="4" w:space="0"/>
              <w:bottom w:val="single" w:color="auto" w:sz="4" w:space="0"/>
              <w:right w:val="single" w:color="auto" w:sz="4" w:space="0"/>
            </w:tcBorders>
            <w:noWrap w:val="0"/>
            <w:vAlign w:val="bottom"/>
          </w:tcPr>
          <w:p w14:paraId="434804A5">
            <w:pPr>
              <w:keepNext w:val="0"/>
              <w:keepLines w:val="0"/>
              <w:pageBreakBefore w:val="0"/>
              <w:widowControl w:val="0"/>
              <w:kinsoku/>
              <w:wordWrap/>
              <w:overflowPunct/>
              <w:topLinePunct w:val="0"/>
              <w:autoSpaceDE/>
              <w:autoSpaceDN/>
              <w:bidi w:val="0"/>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优先保护类农用地</w:t>
            </w:r>
          </w:p>
        </w:tc>
        <w:tc>
          <w:tcPr>
            <w:tcW w:w="1280" w:type="dxa"/>
            <w:tcBorders>
              <w:top w:val="single" w:color="auto" w:sz="4" w:space="0"/>
              <w:left w:val="single" w:color="auto" w:sz="4" w:space="0"/>
              <w:bottom w:val="single" w:color="auto" w:sz="4" w:space="0"/>
              <w:right w:val="single" w:color="auto" w:sz="4" w:space="0"/>
            </w:tcBorders>
            <w:noWrap w:val="0"/>
            <w:vAlign w:val="bottom"/>
          </w:tcPr>
          <w:p w14:paraId="42ABF10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3CDF0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2" w:type="dxa"/>
            <w:vMerge w:val="restart"/>
            <w:tcBorders>
              <w:top w:val="single" w:color="auto" w:sz="4" w:space="0"/>
              <w:left w:val="single" w:color="auto" w:sz="4" w:space="0"/>
              <w:right w:val="single" w:color="auto" w:sz="4" w:space="0"/>
            </w:tcBorders>
            <w:noWrap w:val="0"/>
            <w:vAlign w:val="center"/>
          </w:tcPr>
          <w:p w14:paraId="5DB22F3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土壤污染面积</w:t>
            </w:r>
          </w:p>
        </w:tc>
        <w:tc>
          <w:tcPr>
            <w:tcW w:w="5510" w:type="dxa"/>
            <w:tcBorders>
              <w:top w:val="single" w:color="auto" w:sz="4" w:space="0"/>
              <w:left w:val="single" w:color="auto" w:sz="4" w:space="0"/>
              <w:bottom w:val="single" w:color="auto" w:sz="4" w:space="0"/>
              <w:right w:val="single" w:color="auto" w:sz="4" w:space="0"/>
            </w:tcBorders>
            <w:noWrap w:val="0"/>
            <w:vAlign w:val="center"/>
          </w:tcPr>
          <w:p w14:paraId="4A3FD75A">
            <w:pPr>
              <w:keepNext w:val="0"/>
              <w:keepLines w:val="0"/>
              <w:pageBreakBefore w:val="0"/>
              <w:widowControl w:val="0"/>
              <w:kinsoku/>
              <w:wordWrap/>
              <w:overflowPunct/>
              <w:topLinePunct w:val="0"/>
              <w:autoSpaceDE/>
              <w:autoSpaceDN/>
              <w:bidi w:val="0"/>
              <w:snapToGrid/>
              <w:ind w:firstLine="420" w:firstLineChars="20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不足500</w:t>
            </w:r>
            <w:r>
              <w:rPr>
                <w:rFonts w:hint="eastAsia" w:ascii="宋体" w:hAnsi="宋体" w:cs="宋体"/>
                <w:color w:val="auto"/>
                <w:sz w:val="21"/>
                <w:szCs w:val="21"/>
                <w:highlight w:val="none"/>
                <w:lang w:eastAsia="zh-CN"/>
              </w:rPr>
              <w:t>平方米</w:t>
            </w:r>
          </w:p>
        </w:tc>
        <w:tc>
          <w:tcPr>
            <w:tcW w:w="1280" w:type="dxa"/>
            <w:tcBorders>
              <w:top w:val="single" w:color="auto" w:sz="4" w:space="0"/>
              <w:left w:val="single" w:color="auto" w:sz="4" w:space="0"/>
              <w:bottom w:val="single" w:color="auto" w:sz="4" w:space="0"/>
              <w:right w:val="single" w:color="auto" w:sz="4" w:space="0"/>
            </w:tcBorders>
            <w:noWrap w:val="0"/>
            <w:vAlign w:val="center"/>
          </w:tcPr>
          <w:p w14:paraId="0AF29D8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3F2DA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2" w:type="dxa"/>
            <w:vMerge w:val="continue"/>
            <w:tcBorders>
              <w:top w:val="single" w:color="auto" w:sz="4" w:space="0"/>
              <w:left w:val="single" w:color="auto" w:sz="4" w:space="0"/>
              <w:bottom w:val="single" w:color="auto" w:sz="4" w:space="0"/>
              <w:right w:val="single" w:color="auto" w:sz="4" w:space="0"/>
            </w:tcBorders>
            <w:noWrap w:val="0"/>
            <w:vAlign w:val="center"/>
          </w:tcPr>
          <w:p w14:paraId="29729A91">
            <w:pPr>
              <w:rPr>
                <w:rFonts w:hint="eastAsia" w:ascii="宋体" w:hAnsi="宋体" w:eastAsia="宋体" w:cs="宋体"/>
                <w:color w:val="auto"/>
                <w:sz w:val="21"/>
                <w:szCs w:val="21"/>
                <w:highlight w:val="none"/>
              </w:rPr>
            </w:pPr>
          </w:p>
        </w:tc>
        <w:tc>
          <w:tcPr>
            <w:tcW w:w="5510" w:type="dxa"/>
            <w:tcBorders>
              <w:top w:val="single" w:color="auto" w:sz="4" w:space="0"/>
              <w:left w:val="single" w:color="auto" w:sz="4" w:space="0"/>
              <w:bottom w:val="single" w:color="auto" w:sz="4" w:space="0"/>
              <w:right w:val="single" w:color="auto" w:sz="4" w:space="0"/>
            </w:tcBorders>
            <w:noWrap w:val="0"/>
            <w:vAlign w:val="center"/>
          </w:tcPr>
          <w:p w14:paraId="617392AE">
            <w:pPr>
              <w:keepNext w:val="0"/>
              <w:keepLines w:val="0"/>
              <w:pageBreakBefore w:val="0"/>
              <w:widowControl w:val="0"/>
              <w:kinsoku/>
              <w:wordWrap/>
              <w:overflowPunct/>
              <w:topLinePunct w:val="0"/>
              <w:autoSpaceDE/>
              <w:autoSpaceDN/>
              <w:bidi w:val="0"/>
              <w:snapToGrid/>
              <w:ind w:firstLine="420" w:firstLineChars="20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500</w:t>
            </w:r>
            <w:r>
              <w:rPr>
                <w:rFonts w:hint="eastAsia" w:ascii="宋体" w:hAnsi="宋体" w:cs="宋体"/>
                <w:color w:val="auto"/>
                <w:sz w:val="21"/>
                <w:szCs w:val="21"/>
                <w:highlight w:val="none"/>
                <w:lang w:eastAsia="zh-CN"/>
              </w:rPr>
              <w:t>平方米</w:t>
            </w:r>
            <w:r>
              <w:rPr>
                <w:rFonts w:hint="eastAsia" w:ascii="宋体" w:hAnsi="宋体" w:eastAsia="宋体" w:cs="宋体"/>
                <w:color w:val="auto"/>
                <w:sz w:val="21"/>
                <w:szCs w:val="21"/>
                <w:highlight w:val="none"/>
              </w:rPr>
              <w:t>以上不足5000</w:t>
            </w:r>
            <w:r>
              <w:rPr>
                <w:rFonts w:hint="eastAsia" w:ascii="宋体" w:hAnsi="宋体" w:cs="宋体"/>
                <w:color w:val="auto"/>
                <w:sz w:val="21"/>
                <w:szCs w:val="21"/>
                <w:highlight w:val="none"/>
                <w:lang w:eastAsia="zh-CN"/>
              </w:rPr>
              <w:t>平方米</w:t>
            </w:r>
          </w:p>
        </w:tc>
        <w:tc>
          <w:tcPr>
            <w:tcW w:w="1280" w:type="dxa"/>
            <w:tcBorders>
              <w:top w:val="single" w:color="auto" w:sz="4" w:space="0"/>
              <w:left w:val="single" w:color="auto" w:sz="4" w:space="0"/>
              <w:bottom w:val="single" w:color="auto" w:sz="4" w:space="0"/>
              <w:right w:val="single" w:color="auto" w:sz="4" w:space="0"/>
            </w:tcBorders>
            <w:noWrap w:val="0"/>
            <w:vAlign w:val="center"/>
          </w:tcPr>
          <w:p w14:paraId="60B4E6B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r>
      <w:tr w14:paraId="5850D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2" w:type="dxa"/>
            <w:vMerge w:val="continue"/>
            <w:tcBorders>
              <w:top w:val="single" w:color="auto" w:sz="4" w:space="0"/>
              <w:left w:val="single" w:color="auto" w:sz="4" w:space="0"/>
              <w:bottom w:val="single" w:color="auto" w:sz="4" w:space="0"/>
              <w:right w:val="single" w:color="auto" w:sz="4" w:space="0"/>
            </w:tcBorders>
            <w:noWrap w:val="0"/>
            <w:vAlign w:val="center"/>
          </w:tcPr>
          <w:p w14:paraId="3255214F">
            <w:pPr>
              <w:rPr>
                <w:rFonts w:hint="eastAsia" w:ascii="宋体" w:hAnsi="宋体" w:eastAsia="宋体" w:cs="宋体"/>
                <w:color w:val="auto"/>
                <w:sz w:val="21"/>
                <w:szCs w:val="21"/>
                <w:highlight w:val="none"/>
              </w:rPr>
            </w:pPr>
          </w:p>
        </w:tc>
        <w:tc>
          <w:tcPr>
            <w:tcW w:w="5510" w:type="dxa"/>
            <w:tcBorders>
              <w:top w:val="single" w:color="auto" w:sz="4" w:space="0"/>
              <w:left w:val="single" w:color="auto" w:sz="4" w:space="0"/>
              <w:bottom w:val="single" w:color="auto" w:sz="4" w:space="0"/>
              <w:right w:val="single" w:color="auto" w:sz="4" w:space="0"/>
            </w:tcBorders>
            <w:noWrap w:val="0"/>
            <w:vAlign w:val="center"/>
          </w:tcPr>
          <w:p w14:paraId="25ED8914">
            <w:pPr>
              <w:keepNext w:val="0"/>
              <w:keepLines w:val="0"/>
              <w:pageBreakBefore w:val="0"/>
              <w:widowControl w:val="0"/>
              <w:kinsoku/>
              <w:wordWrap/>
              <w:overflowPunct/>
              <w:topLinePunct w:val="0"/>
              <w:autoSpaceDE/>
              <w:autoSpaceDN/>
              <w:bidi w:val="0"/>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5000</w:t>
            </w:r>
            <w:r>
              <w:rPr>
                <w:rFonts w:hint="eastAsia" w:ascii="宋体" w:hAnsi="宋体" w:cs="宋体"/>
                <w:color w:val="auto"/>
                <w:sz w:val="21"/>
                <w:szCs w:val="21"/>
                <w:highlight w:val="none"/>
                <w:lang w:eastAsia="zh-CN"/>
              </w:rPr>
              <w:t>平方米</w:t>
            </w:r>
            <w:r>
              <w:rPr>
                <w:rFonts w:hint="eastAsia" w:ascii="宋体" w:hAnsi="宋体" w:eastAsia="宋体" w:cs="宋体"/>
                <w:color w:val="auto"/>
                <w:sz w:val="21"/>
                <w:szCs w:val="21"/>
                <w:highlight w:val="none"/>
              </w:rPr>
              <w:t xml:space="preserve"> 以上不足 10000</w:t>
            </w:r>
            <w:r>
              <w:rPr>
                <w:rFonts w:hint="eastAsia" w:ascii="宋体" w:hAnsi="宋体" w:cs="宋体"/>
                <w:color w:val="auto"/>
                <w:sz w:val="21"/>
                <w:szCs w:val="21"/>
                <w:highlight w:val="none"/>
                <w:lang w:eastAsia="zh-CN"/>
              </w:rPr>
              <w:t>平方米</w:t>
            </w:r>
            <w:r>
              <w:rPr>
                <w:rFonts w:hint="eastAsia" w:ascii="宋体" w:hAnsi="宋体" w:eastAsia="宋体" w:cs="宋体"/>
                <w:color w:val="auto"/>
                <w:sz w:val="21"/>
                <w:szCs w:val="21"/>
                <w:highlight w:val="none"/>
              </w:rPr>
              <w:t xml:space="preserve"> </w:t>
            </w:r>
          </w:p>
        </w:tc>
        <w:tc>
          <w:tcPr>
            <w:tcW w:w="1280" w:type="dxa"/>
            <w:tcBorders>
              <w:top w:val="single" w:color="auto" w:sz="4" w:space="0"/>
              <w:left w:val="single" w:color="auto" w:sz="4" w:space="0"/>
              <w:bottom w:val="single" w:color="auto" w:sz="4" w:space="0"/>
              <w:right w:val="single" w:color="auto" w:sz="4" w:space="0"/>
            </w:tcBorders>
            <w:noWrap w:val="0"/>
            <w:vAlign w:val="center"/>
          </w:tcPr>
          <w:p w14:paraId="5747DD4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20494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2" w:type="dxa"/>
            <w:vMerge w:val="continue"/>
            <w:tcBorders>
              <w:top w:val="single" w:color="auto" w:sz="4" w:space="0"/>
              <w:left w:val="single" w:color="auto" w:sz="4" w:space="0"/>
              <w:bottom w:val="single" w:color="auto" w:sz="4" w:space="0"/>
              <w:right w:val="single" w:color="auto" w:sz="4" w:space="0"/>
            </w:tcBorders>
            <w:noWrap w:val="0"/>
            <w:vAlign w:val="center"/>
          </w:tcPr>
          <w:p w14:paraId="4C4AA046">
            <w:pPr>
              <w:rPr>
                <w:rFonts w:hint="eastAsia" w:ascii="宋体" w:hAnsi="宋体" w:eastAsia="宋体" w:cs="宋体"/>
                <w:color w:val="auto"/>
                <w:sz w:val="21"/>
                <w:szCs w:val="21"/>
                <w:highlight w:val="none"/>
              </w:rPr>
            </w:pPr>
          </w:p>
        </w:tc>
        <w:tc>
          <w:tcPr>
            <w:tcW w:w="5510" w:type="dxa"/>
            <w:tcBorders>
              <w:top w:val="single" w:color="auto" w:sz="4" w:space="0"/>
              <w:left w:val="single" w:color="auto" w:sz="4" w:space="0"/>
              <w:bottom w:val="single" w:color="auto" w:sz="4" w:space="0"/>
              <w:right w:val="single" w:color="auto" w:sz="4" w:space="0"/>
            </w:tcBorders>
            <w:noWrap w:val="0"/>
            <w:vAlign w:val="center"/>
          </w:tcPr>
          <w:p w14:paraId="4F1CA27A">
            <w:pPr>
              <w:keepNext w:val="0"/>
              <w:keepLines w:val="0"/>
              <w:pageBreakBefore w:val="0"/>
              <w:widowControl w:val="0"/>
              <w:kinsoku/>
              <w:wordWrap/>
              <w:overflowPunct/>
              <w:topLinePunct w:val="0"/>
              <w:autoSpaceDE/>
              <w:autoSpaceDN/>
              <w:bidi w:val="0"/>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10000</w:t>
            </w:r>
            <w:r>
              <w:rPr>
                <w:rFonts w:hint="eastAsia" w:ascii="宋体" w:hAnsi="宋体" w:cs="宋体"/>
                <w:color w:val="auto"/>
                <w:sz w:val="21"/>
                <w:szCs w:val="21"/>
                <w:highlight w:val="none"/>
                <w:lang w:eastAsia="zh-CN"/>
              </w:rPr>
              <w:t>平方米</w:t>
            </w:r>
            <w:r>
              <w:rPr>
                <w:rFonts w:hint="eastAsia" w:ascii="宋体" w:hAnsi="宋体" w:eastAsia="宋体" w:cs="宋体"/>
                <w:color w:val="auto"/>
                <w:sz w:val="21"/>
                <w:szCs w:val="21"/>
                <w:highlight w:val="none"/>
              </w:rPr>
              <w:t xml:space="preserve"> 以上不足20000</w:t>
            </w:r>
            <w:r>
              <w:rPr>
                <w:rFonts w:hint="eastAsia" w:ascii="宋体" w:hAnsi="宋体" w:cs="宋体"/>
                <w:color w:val="auto"/>
                <w:sz w:val="21"/>
                <w:szCs w:val="21"/>
                <w:highlight w:val="none"/>
                <w:lang w:eastAsia="zh-CN"/>
              </w:rPr>
              <w:t>平方米</w:t>
            </w:r>
            <w:r>
              <w:rPr>
                <w:rFonts w:hint="eastAsia" w:ascii="宋体" w:hAnsi="宋体" w:eastAsia="宋体" w:cs="宋体"/>
                <w:color w:val="auto"/>
                <w:sz w:val="21"/>
                <w:szCs w:val="21"/>
                <w:highlight w:val="none"/>
              </w:rPr>
              <w:t xml:space="preserve"> </w:t>
            </w:r>
          </w:p>
        </w:tc>
        <w:tc>
          <w:tcPr>
            <w:tcW w:w="1280" w:type="dxa"/>
            <w:tcBorders>
              <w:top w:val="single" w:color="auto" w:sz="4" w:space="0"/>
              <w:left w:val="single" w:color="auto" w:sz="4" w:space="0"/>
              <w:bottom w:val="single" w:color="auto" w:sz="4" w:space="0"/>
              <w:right w:val="single" w:color="auto" w:sz="4" w:space="0"/>
            </w:tcBorders>
            <w:noWrap w:val="0"/>
            <w:vAlign w:val="center"/>
          </w:tcPr>
          <w:p w14:paraId="4F23697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r>
      <w:tr w14:paraId="11721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2" w:type="dxa"/>
            <w:vMerge w:val="continue"/>
            <w:tcBorders>
              <w:top w:val="single" w:color="auto" w:sz="4" w:space="0"/>
              <w:left w:val="single" w:color="auto" w:sz="4" w:space="0"/>
              <w:bottom w:val="single" w:color="auto" w:sz="4" w:space="0"/>
              <w:right w:val="single" w:color="auto" w:sz="4" w:space="0"/>
            </w:tcBorders>
            <w:noWrap w:val="0"/>
            <w:vAlign w:val="center"/>
          </w:tcPr>
          <w:p w14:paraId="268F6D67">
            <w:pPr>
              <w:rPr>
                <w:rFonts w:hint="eastAsia" w:ascii="宋体" w:hAnsi="宋体" w:eastAsia="宋体" w:cs="宋体"/>
                <w:color w:val="auto"/>
                <w:sz w:val="21"/>
                <w:szCs w:val="21"/>
                <w:highlight w:val="none"/>
              </w:rPr>
            </w:pPr>
          </w:p>
        </w:tc>
        <w:tc>
          <w:tcPr>
            <w:tcW w:w="5510" w:type="dxa"/>
            <w:tcBorders>
              <w:top w:val="single" w:color="auto" w:sz="4" w:space="0"/>
              <w:left w:val="single" w:color="auto" w:sz="4" w:space="0"/>
              <w:bottom w:val="single" w:color="auto" w:sz="4" w:space="0"/>
              <w:right w:val="single" w:color="auto" w:sz="4" w:space="0"/>
            </w:tcBorders>
            <w:noWrap w:val="0"/>
            <w:vAlign w:val="center"/>
          </w:tcPr>
          <w:p w14:paraId="4D61ECF1">
            <w:pPr>
              <w:keepNext w:val="0"/>
              <w:keepLines w:val="0"/>
              <w:pageBreakBefore w:val="0"/>
              <w:widowControl w:val="0"/>
              <w:kinsoku/>
              <w:wordWrap/>
              <w:overflowPunct/>
              <w:topLinePunct w:val="0"/>
              <w:autoSpaceDE/>
              <w:autoSpaceDN/>
              <w:bidi w:val="0"/>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20000</w:t>
            </w:r>
            <w:r>
              <w:rPr>
                <w:rFonts w:hint="eastAsia" w:ascii="宋体" w:hAnsi="宋体" w:cs="宋体"/>
                <w:color w:val="auto"/>
                <w:sz w:val="21"/>
                <w:szCs w:val="21"/>
                <w:highlight w:val="none"/>
                <w:lang w:eastAsia="zh-CN"/>
              </w:rPr>
              <w:t>平方米</w:t>
            </w:r>
            <w:r>
              <w:rPr>
                <w:rFonts w:hint="eastAsia" w:ascii="宋体" w:hAnsi="宋体" w:eastAsia="宋体" w:cs="宋体"/>
                <w:color w:val="auto"/>
                <w:sz w:val="21"/>
                <w:szCs w:val="21"/>
                <w:highlight w:val="none"/>
              </w:rPr>
              <w:t xml:space="preserve"> 以上</w:t>
            </w:r>
          </w:p>
        </w:tc>
        <w:tc>
          <w:tcPr>
            <w:tcW w:w="1280" w:type="dxa"/>
            <w:tcBorders>
              <w:top w:val="single" w:color="auto" w:sz="4" w:space="0"/>
              <w:left w:val="single" w:color="auto" w:sz="4" w:space="0"/>
              <w:bottom w:val="single" w:color="auto" w:sz="4" w:space="0"/>
              <w:right w:val="single" w:color="auto" w:sz="4" w:space="0"/>
            </w:tcBorders>
            <w:noWrap w:val="0"/>
            <w:vAlign w:val="center"/>
          </w:tcPr>
          <w:p w14:paraId="15F322F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bl>
    <w:p w14:paraId="393E58E8">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p w14:paraId="491A7128">
      <w:pPr>
        <w:rPr>
          <w:rFonts w:hint="eastAsia" w:ascii="宋体" w:hAnsi="宋体" w:eastAsia="宋体" w:cs="宋体"/>
          <w:sz w:val="21"/>
          <w:szCs w:val="21"/>
          <w:highlight w:val="none"/>
        </w:rPr>
      </w:pP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12"/>
        <w:gridCol w:w="5784"/>
        <w:gridCol w:w="1352"/>
      </w:tblGrid>
      <w:tr w14:paraId="3B491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3"/>
            <w:tcBorders>
              <w:top w:val="single" w:color="auto" w:sz="4" w:space="0"/>
              <w:left w:val="single" w:color="auto" w:sz="4" w:space="0"/>
              <w:bottom w:val="single" w:color="auto" w:sz="4" w:space="0"/>
              <w:right w:val="single" w:color="auto" w:sz="4" w:space="0"/>
            </w:tcBorders>
            <w:noWrap w:val="0"/>
            <w:vAlign w:val="center"/>
          </w:tcPr>
          <w:p w14:paraId="1B9C6FA4">
            <w:pPr>
              <w:jc w:val="center"/>
              <w:rPr>
                <w:rFonts w:hint="eastAsia" w:ascii="宋体" w:hAnsi="宋体" w:eastAsia="宋体" w:cs="宋体"/>
                <w:bCs/>
                <w:color w:val="auto"/>
                <w:sz w:val="21"/>
                <w:szCs w:val="21"/>
                <w:highlight w:val="none"/>
                <w:lang w:eastAsia="zh-CN"/>
              </w:rPr>
            </w:pPr>
            <w:r>
              <w:rPr>
                <w:rFonts w:hint="eastAsia" w:ascii="宋体" w:hAnsi="宋体" w:eastAsia="宋体" w:cs="宋体"/>
                <w:color w:val="auto"/>
                <w:sz w:val="21"/>
                <w:szCs w:val="21"/>
                <w:highlight w:val="none"/>
                <w:lang w:eastAsia="zh-CN"/>
              </w:rPr>
              <w:t>（七）土壤污染防治类</w:t>
            </w:r>
          </w:p>
        </w:tc>
      </w:tr>
      <w:tr w14:paraId="1D95A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6" w:type="dxa"/>
            <w:tcBorders>
              <w:top w:val="single" w:color="auto" w:sz="4" w:space="0"/>
              <w:left w:val="single" w:color="auto" w:sz="4" w:space="0"/>
              <w:bottom w:val="single" w:color="auto" w:sz="4" w:space="0"/>
              <w:right w:val="single" w:color="auto" w:sz="4" w:space="0"/>
            </w:tcBorders>
            <w:noWrap w:val="0"/>
            <w:vAlign w:val="center"/>
          </w:tcPr>
          <w:p w14:paraId="303F7E3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796" w:type="dxa"/>
            <w:gridSpan w:val="2"/>
            <w:tcBorders>
              <w:top w:val="single" w:color="auto" w:sz="4" w:space="0"/>
              <w:left w:val="single" w:color="auto" w:sz="4" w:space="0"/>
              <w:bottom w:val="single" w:color="auto" w:sz="4" w:space="0"/>
              <w:right w:val="single" w:color="auto" w:sz="4" w:space="0"/>
            </w:tcBorders>
            <w:noWrap w:val="0"/>
            <w:vAlign w:val="center"/>
          </w:tcPr>
          <w:p w14:paraId="293DAC35">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w:t>
            </w:r>
          </w:p>
        </w:tc>
      </w:tr>
      <w:tr w14:paraId="745B3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6" w:type="dxa"/>
            <w:tcBorders>
              <w:top w:val="single" w:color="auto" w:sz="4" w:space="0"/>
              <w:left w:val="single" w:color="auto" w:sz="4" w:space="0"/>
              <w:bottom w:val="single" w:color="auto" w:sz="4" w:space="0"/>
              <w:right w:val="single" w:color="auto" w:sz="4" w:space="0"/>
            </w:tcBorders>
            <w:noWrap w:val="0"/>
            <w:vAlign w:val="center"/>
          </w:tcPr>
          <w:p w14:paraId="2B493BD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6796" w:type="dxa"/>
            <w:gridSpan w:val="2"/>
            <w:tcBorders>
              <w:top w:val="single" w:color="auto" w:sz="4" w:space="0"/>
              <w:left w:val="single" w:color="auto" w:sz="4" w:space="0"/>
              <w:bottom w:val="single" w:color="auto" w:sz="4" w:space="0"/>
              <w:right w:val="single" w:color="auto" w:sz="4" w:space="0"/>
            </w:tcBorders>
            <w:noWrap w:val="0"/>
            <w:vAlign w:val="center"/>
          </w:tcPr>
          <w:p w14:paraId="7FCBCD08">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在土壤中使用重金属含量超标的降阻产品的</w:t>
            </w:r>
          </w:p>
        </w:tc>
      </w:tr>
      <w:tr w14:paraId="73B96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6" w:type="dxa"/>
            <w:tcBorders>
              <w:top w:val="single" w:color="auto" w:sz="4" w:space="0"/>
              <w:left w:val="single" w:color="auto" w:sz="4" w:space="0"/>
              <w:bottom w:val="single" w:color="auto" w:sz="4" w:space="0"/>
              <w:right w:val="single" w:color="auto" w:sz="4" w:space="0"/>
            </w:tcBorders>
            <w:noWrap w:val="0"/>
            <w:vAlign w:val="center"/>
          </w:tcPr>
          <w:p w14:paraId="720F652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6796" w:type="dxa"/>
            <w:gridSpan w:val="2"/>
            <w:tcBorders>
              <w:top w:val="single" w:color="auto" w:sz="4" w:space="0"/>
              <w:left w:val="single" w:color="auto" w:sz="4" w:space="0"/>
              <w:bottom w:val="single" w:color="auto" w:sz="4" w:space="0"/>
              <w:right w:val="single" w:color="auto" w:sz="4" w:space="0"/>
            </w:tcBorders>
            <w:noWrap w:val="0"/>
            <w:vAlign w:val="center"/>
          </w:tcPr>
          <w:p w14:paraId="2AE87FAB">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《中华人民共和国生态环境法典》第四百一十八条第二款  禁止在土壤中使用重金属含量超标的降阻产品。</w:t>
            </w:r>
          </w:p>
        </w:tc>
      </w:tr>
      <w:tr w14:paraId="1B208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6" w:type="dxa"/>
            <w:tcBorders>
              <w:top w:val="single" w:color="auto" w:sz="4" w:space="0"/>
              <w:left w:val="single" w:color="auto" w:sz="4" w:space="0"/>
              <w:bottom w:val="single" w:color="auto" w:sz="4" w:space="0"/>
              <w:right w:val="single" w:color="auto" w:sz="4" w:space="0"/>
            </w:tcBorders>
            <w:noWrap w:val="0"/>
            <w:vAlign w:val="center"/>
          </w:tcPr>
          <w:p w14:paraId="1D3FAAE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6796" w:type="dxa"/>
            <w:gridSpan w:val="2"/>
            <w:tcBorders>
              <w:top w:val="single" w:color="auto" w:sz="4" w:space="0"/>
              <w:left w:val="single" w:color="auto" w:sz="4" w:space="0"/>
              <w:bottom w:val="single" w:color="auto" w:sz="4" w:space="0"/>
              <w:right w:val="single" w:color="auto" w:sz="4" w:space="0"/>
            </w:tcBorders>
            <w:noWrap w:val="0"/>
            <w:vAlign w:val="center"/>
          </w:tcPr>
          <w:p w14:paraId="2B719B36">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《中华人民共和国生态环境法典》第一千一百六十二条</w:t>
            </w:r>
            <w:r>
              <w:rPr>
                <w:rFonts w:hint="eastAsia" w:ascii="宋体" w:hAnsi="宋体" w:eastAsia="宋体" w:cs="宋体"/>
                <w:color w:val="auto"/>
                <w:sz w:val="21"/>
                <w:szCs w:val="21"/>
                <w:highlight w:val="none"/>
                <w:lang w:val="en-US" w:eastAsia="zh-CN"/>
              </w:rPr>
              <w:t>第一项</w:t>
            </w:r>
            <w:r>
              <w:rPr>
                <w:rFonts w:hint="eastAsia" w:ascii="宋体" w:hAnsi="宋体" w:eastAsia="宋体" w:cs="宋体"/>
                <w:color w:val="auto"/>
                <w:sz w:val="21"/>
                <w:szCs w:val="21"/>
                <w:highlight w:val="none"/>
              </w:rPr>
              <w:t xml:space="preserve">  违反本法规定，有下列情形之一的，由生态环境主管部门责令改正，没收违法所得，并处十万元以上五十万元以下的罚款</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；对直接负责的主管人员和其他直接责任人员处五千元以上二万元以下的罚款：</w:t>
            </w:r>
          </w:p>
          <w:p w14:paraId="3AC3960D">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（一）在土壤中使用重金属含量超标的降阻产品；</w:t>
            </w:r>
          </w:p>
        </w:tc>
      </w:tr>
      <w:tr w14:paraId="68136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6" w:type="dxa"/>
            <w:tcBorders>
              <w:top w:val="single" w:color="auto" w:sz="4" w:space="0"/>
              <w:left w:val="single" w:color="auto" w:sz="4" w:space="0"/>
              <w:bottom w:val="single" w:color="auto" w:sz="4" w:space="0"/>
              <w:right w:val="single" w:color="auto" w:sz="4" w:space="0"/>
            </w:tcBorders>
            <w:noWrap w:val="0"/>
            <w:vAlign w:val="center"/>
          </w:tcPr>
          <w:p w14:paraId="15F3086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509" w:type="dxa"/>
            <w:tcBorders>
              <w:top w:val="single" w:color="auto" w:sz="4" w:space="0"/>
              <w:left w:val="single" w:color="auto" w:sz="4" w:space="0"/>
              <w:bottom w:val="single" w:color="auto" w:sz="4" w:space="0"/>
              <w:right w:val="single" w:color="auto" w:sz="4" w:space="0"/>
            </w:tcBorders>
            <w:noWrap w:val="0"/>
            <w:vAlign w:val="center"/>
          </w:tcPr>
          <w:p w14:paraId="6C36A37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287" w:type="dxa"/>
            <w:tcBorders>
              <w:top w:val="single" w:color="auto" w:sz="4" w:space="0"/>
              <w:left w:val="single" w:color="auto" w:sz="4" w:space="0"/>
              <w:bottom w:val="single" w:color="auto" w:sz="4" w:space="0"/>
              <w:right w:val="single" w:color="auto" w:sz="4" w:space="0"/>
            </w:tcBorders>
            <w:noWrap w:val="0"/>
            <w:vAlign w:val="center"/>
          </w:tcPr>
          <w:p w14:paraId="30C22ED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7217B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6" w:type="dxa"/>
            <w:vMerge w:val="restart"/>
            <w:tcBorders>
              <w:top w:val="single" w:color="auto" w:sz="4" w:space="0"/>
              <w:left w:val="single" w:color="auto" w:sz="4" w:space="0"/>
              <w:right w:val="single" w:color="auto" w:sz="4" w:space="0"/>
            </w:tcBorders>
            <w:noWrap w:val="0"/>
            <w:vAlign w:val="center"/>
          </w:tcPr>
          <w:p w14:paraId="7337629A">
            <w:pPr>
              <w:ind w:left="0" w:leftChars="0" w:right="0" w:rightChars="0"/>
              <w:jc w:val="center"/>
              <w:textAlignment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kern w:val="2"/>
                <w:sz w:val="21"/>
                <w:szCs w:val="21"/>
                <w:highlight w:val="none"/>
                <w:lang w:val="en-US" w:eastAsia="zh-CN" w:bidi="ar-SA"/>
              </w:rPr>
              <w:t>超标倍数</w:t>
            </w:r>
          </w:p>
        </w:tc>
        <w:tc>
          <w:tcPr>
            <w:tcW w:w="5509" w:type="dxa"/>
            <w:tcBorders>
              <w:top w:val="single" w:color="auto" w:sz="4" w:space="0"/>
              <w:left w:val="single" w:color="auto" w:sz="4" w:space="0"/>
              <w:bottom w:val="single" w:color="auto" w:sz="4" w:space="0"/>
              <w:right w:val="single" w:color="auto" w:sz="4" w:space="0"/>
            </w:tcBorders>
            <w:noWrap w:val="0"/>
            <w:vAlign w:val="center"/>
          </w:tcPr>
          <w:p w14:paraId="360E1882">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color w:val="auto"/>
                <w:sz w:val="21"/>
                <w:szCs w:val="21"/>
                <w:highlight w:val="none"/>
              </w:rPr>
              <w:t>10%以内</w:t>
            </w:r>
          </w:p>
        </w:tc>
        <w:tc>
          <w:tcPr>
            <w:tcW w:w="1287" w:type="dxa"/>
            <w:tcBorders>
              <w:top w:val="single" w:color="auto" w:sz="4" w:space="0"/>
              <w:left w:val="single" w:color="auto" w:sz="4" w:space="0"/>
              <w:bottom w:val="single" w:color="auto" w:sz="4" w:space="0"/>
              <w:right w:val="single" w:color="auto" w:sz="4" w:space="0"/>
            </w:tcBorders>
            <w:noWrap w:val="0"/>
            <w:vAlign w:val="center"/>
          </w:tcPr>
          <w:p w14:paraId="0CF4FBC1">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1</w:t>
            </w:r>
          </w:p>
        </w:tc>
      </w:tr>
      <w:tr w14:paraId="08970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6" w:type="dxa"/>
            <w:vMerge w:val="continue"/>
            <w:tcBorders>
              <w:left w:val="single" w:color="auto" w:sz="4" w:space="0"/>
              <w:right w:val="single" w:color="auto" w:sz="4" w:space="0"/>
            </w:tcBorders>
            <w:noWrap w:val="0"/>
            <w:vAlign w:val="center"/>
          </w:tcPr>
          <w:p w14:paraId="6C1D354F">
            <w:pPr>
              <w:ind w:left="0" w:leftChars="0" w:right="0" w:rightChars="0"/>
              <w:jc w:val="center"/>
              <w:textAlignment w:val="center"/>
              <w:rPr>
                <w:rFonts w:hint="eastAsia" w:ascii="宋体" w:hAnsi="宋体" w:eastAsia="宋体" w:cs="宋体"/>
                <w:b w:val="0"/>
                <w:bCs w:val="0"/>
                <w:color w:val="auto"/>
                <w:sz w:val="21"/>
                <w:szCs w:val="21"/>
                <w:highlight w:val="none"/>
              </w:rPr>
            </w:pPr>
          </w:p>
        </w:tc>
        <w:tc>
          <w:tcPr>
            <w:tcW w:w="5509" w:type="dxa"/>
            <w:tcBorders>
              <w:top w:val="single" w:color="auto" w:sz="4" w:space="0"/>
              <w:left w:val="single" w:color="auto" w:sz="4" w:space="0"/>
              <w:bottom w:val="single" w:color="auto" w:sz="4" w:space="0"/>
              <w:right w:val="single" w:color="auto" w:sz="4" w:space="0"/>
            </w:tcBorders>
            <w:noWrap w:val="0"/>
            <w:vAlign w:val="center"/>
          </w:tcPr>
          <w:p w14:paraId="62820AA6">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b w:val="0"/>
                <w:bCs w:val="0"/>
                <w:color w:val="auto"/>
                <w:sz w:val="21"/>
                <w:szCs w:val="21"/>
                <w:highlight w:val="none"/>
              </w:rPr>
            </w:pPr>
            <w:r>
              <w:rPr>
                <w:rFonts w:hint="eastAsia" w:ascii="宋体" w:hAnsi="宋体" w:eastAsia="宋体" w:cs="宋体"/>
                <w:color w:val="auto"/>
                <w:sz w:val="21"/>
                <w:szCs w:val="21"/>
                <w:highlight w:val="none"/>
              </w:rPr>
              <w:t>10%以上不足20%</w:t>
            </w:r>
          </w:p>
        </w:tc>
        <w:tc>
          <w:tcPr>
            <w:tcW w:w="1287" w:type="dxa"/>
            <w:tcBorders>
              <w:top w:val="single" w:color="auto" w:sz="4" w:space="0"/>
              <w:left w:val="single" w:color="auto" w:sz="4" w:space="0"/>
              <w:bottom w:val="single" w:color="auto" w:sz="4" w:space="0"/>
              <w:right w:val="single" w:color="auto" w:sz="4" w:space="0"/>
            </w:tcBorders>
            <w:noWrap w:val="0"/>
            <w:vAlign w:val="center"/>
          </w:tcPr>
          <w:p w14:paraId="2F82D8C6">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2</w:t>
            </w:r>
          </w:p>
        </w:tc>
      </w:tr>
      <w:tr w14:paraId="2D645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6" w:type="dxa"/>
            <w:vMerge w:val="continue"/>
            <w:tcBorders>
              <w:left w:val="single" w:color="auto" w:sz="4" w:space="0"/>
              <w:right w:val="single" w:color="auto" w:sz="4" w:space="0"/>
            </w:tcBorders>
            <w:noWrap w:val="0"/>
            <w:vAlign w:val="center"/>
          </w:tcPr>
          <w:p w14:paraId="4DA94FAE">
            <w:pPr>
              <w:ind w:left="0" w:leftChars="0" w:right="0" w:rightChars="0"/>
              <w:jc w:val="center"/>
              <w:textAlignment w:val="center"/>
              <w:rPr>
                <w:rFonts w:hint="eastAsia" w:ascii="宋体" w:hAnsi="宋体" w:eastAsia="宋体" w:cs="宋体"/>
                <w:b w:val="0"/>
                <w:bCs w:val="0"/>
                <w:color w:val="auto"/>
                <w:sz w:val="21"/>
                <w:szCs w:val="21"/>
                <w:highlight w:val="none"/>
              </w:rPr>
            </w:pPr>
          </w:p>
        </w:tc>
        <w:tc>
          <w:tcPr>
            <w:tcW w:w="5509" w:type="dxa"/>
            <w:tcBorders>
              <w:top w:val="single" w:color="auto" w:sz="4" w:space="0"/>
              <w:left w:val="single" w:color="auto" w:sz="4" w:space="0"/>
              <w:bottom w:val="single" w:color="auto" w:sz="4" w:space="0"/>
              <w:right w:val="single" w:color="auto" w:sz="4" w:space="0"/>
            </w:tcBorders>
            <w:noWrap w:val="0"/>
            <w:vAlign w:val="center"/>
          </w:tcPr>
          <w:p w14:paraId="75745DAC">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b w:val="0"/>
                <w:bCs w:val="0"/>
                <w:color w:val="auto"/>
                <w:sz w:val="21"/>
                <w:szCs w:val="21"/>
                <w:highlight w:val="none"/>
              </w:rPr>
            </w:pPr>
            <w:r>
              <w:rPr>
                <w:rFonts w:hint="eastAsia" w:ascii="宋体" w:hAnsi="宋体" w:eastAsia="宋体" w:cs="宋体"/>
                <w:color w:val="auto"/>
                <w:sz w:val="21"/>
                <w:szCs w:val="21"/>
                <w:highlight w:val="none"/>
              </w:rPr>
              <w:t>20%以上不足50%</w:t>
            </w:r>
          </w:p>
        </w:tc>
        <w:tc>
          <w:tcPr>
            <w:tcW w:w="1287" w:type="dxa"/>
            <w:tcBorders>
              <w:top w:val="single" w:color="auto" w:sz="4" w:space="0"/>
              <w:left w:val="single" w:color="auto" w:sz="4" w:space="0"/>
              <w:bottom w:val="single" w:color="auto" w:sz="4" w:space="0"/>
              <w:right w:val="single" w:color="auto" w:sz="4" w:space="0"/>
            </w:tcBorders>
            <w:noWrap w:val="0"/>
            <w:vAlign w:val="center"/>
          </w:tcPr>
          <w:p w14:paraId="16178226">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3</w:t>
            </w:r>
          </w:p>
        </w:tc>
      </w:tr>
      <w:tr w14:paraId="302EC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6" w:type="dxa"/>
            <w:vMerge w:val="continue"/>
            <w:tcBorders>
              <w:left w:val="single" w:color="auto" w:sz="4" w:space="0"/>
              <w:right w:val="single" w:color="auto" w:sz="4" w:space="0"/>
            </w:tcBorders>
            <w:noWrap w:val="0"/>
            <w:vAlign w:val="center"/>
          </w:tcPr>
          <w:p w14:paraId="7877A6B4">
            <w:pPr>
              <w:ind w:left="0" w:leftChars="0" w:right="0" w:rightChars="0"/>
              <w:jc w:val="center"/>
              <w:textAlignment w:val="center"/>
              <w:rPr>
                <w:rFonts w:hint="eastAsia" w:ascii="宋体" w:hAnsi="宋体" w:eastAsia="宋体" w:cs="宋体"/>
                <w:b w:val="0"/>
                <w:bCs w:val="0"/>
                <w:color w:val="auto"/>
                <w:sz w:val="21"/>
                <w:szCs w:val="21"/>
                <w:highlight w:val="none"/>
              </w:rPr>
            </w:pPr>
          </w:p>
        </w:tc>
        <w:tc>
          <w:tcPr>
            <w:tcW w:w="5509" w:type="dxa"/>
            <w:tcBorders>
              <w:top w:val="single" w:color="auto" w:sz="4" w:space="0"/>
              <w:left w:val="single" w:color="auto" w:sz="4" w:space="0"/>
              <w:bottom w:val="single" w:color="auto" w:sz="4" w:space="0"/>
              <w:right w:val="single" w:color="auto" w:sz="4" w:space="0"/>
            </w:tcBorders>
            <w:noWrap w:val="0"/>
            <w:vAlign w:val="center"/>
          </w:tcPr>
          <w:p w14:paraId="13AB9570">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50%以上不足100%</w:t>
            </w:r>
          </w:p>
        </w:tc>
        <w:tc>
          <w:tcPr>
            <w:tcW w:w="1287" w:type="dxa"/>
            <w:tcBorders>
              <w:top w:val="single" w:color="auto" w:sz="4" w:space="0"/>
              <w:left w:val="single" w:color="auto" w:sz="4" w:space="0"/>
              <w:bottom w:val="single" w:color="auto" w:sz="4" w:space="0"/>
              <w:right w:val="single" w:color="auto" w:sz="4" w:space="0"/>
            </w:tcBorders>
            <w:noWrap w:val="0"/>
            <w:vAlign w:val="center"/>
          </w:tcPr>
          <w:p w14:paraId="1268AF9C">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4</w:t>
            </w:r>
          </w:p>
        </w:tc>
      </w:tr>
      <w:tr w14:paraId="2B9DD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6" w:type="dxa"/>
            <w:vMerge w:val="continue"/>
            <w:tcBorders>
              <w:left w:val="single" w:color="auto" w:sz="4" w:space="0"/>
              <w:bottom w:val="single" w:color="auto" w:sz="4" w:space="0"/>
              <w:right w:val="single" w:color="auto" w:sz="4" w:space="0"/>
            </w:tcBorders>
            <w:noWrap w:val="0"/>
            <w:vAlign w:val="center"/>
          </w:tcPr>
          <w:p w14:paraId="678CAE4B">
            <w:pPr>
              <w:ind w:left="0" w:leftChars="0" w:right="0" w:rightChars="0"/>
              <w:jc w:val="center"/>
              <w:textAlignment w:val="center"/>
              <w:rPr>
                <w:rFonts w:hint="eastAsia" w:ascii="宋体" w:hAnsi="宋体" w:eastAsia="宋体" w:cs="宋体"/>
                <w:b w:val="0"/>
                <w:bCs w:val="0"/>
                <w:color w:val="auto"/>
                <w:sz w:val="21"/>
                <w:szCs w:val="21"/>
                <w:highlight w:val="none"/>
              </w:rPr>
            </w:pPr>
          </w:p>
        </w:tc>
        <w:tc>
          <w:tcPr>
            <w:tcW w:w="5509" w:type="dxa"/>
            <w:tcBorders>
              <w:top w:val="single" w:color="auto" w:sz="4" w:space="0"/>
              <w:left w:val="single" w:color="auto" w:sz="4" w:space="0"/>
              <w:bottom w:val="single" w:color="auto" w:sz="4" w:space="0"/>
              <w:right w:val="single" w:color="auto" w:sz="4" w:space="0"/>
            </w:tcBorders>
            <w:noWrap w:val="0"/>
            <w:vAlign w:val="center"/>
          </w:tcPr>
          <w:p w14:paraId="1CA7FAB3">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100%以上</w:t>
            </w:r>
          </w:p>
        </w:tc>
        <w:tc>
          <w:tcPr>
            <w:tcW w:w="1287" w:type="dxa"/>
            <w:tcBorders>
              <w:top w:val="single" w:color="auto" w:sz="4" w:space="0"/>
              <w:left w:val="single" w:color="auto" w:sz="4" w:space="0"/>
              <w:bottom w:val="single" w:color="auto" w:sz="4" w:space="0"/>
              <w:right w:val="single" w:color="auto" w:sz="4" w:space="0"/>
            </w:tcBorders>
            <w:noWrap w:val="0"/>
            <w:vAlign w:val="center"/>
          </w:tcPr>
          <w:p w14:paraId="1819F22D">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5</w:t>
            </w:r>
          </w:p>
        </w:tc>
      </w:tr>
      <w:tr w14:paraId="1CD90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6" w:type="dxa"/>
            <w:vMerge w:val="restart"/>
            <w:tcBorders>
              <w:top w:val="single" w:color="auto" w:sz="4" w:space="0"/>
              <w:left w:val="single" w:color="auto" w:sz="4" w:space="0"/>
              <w:bottom w:val="single" w:color="auto" w:sz="4" w:space="0"/>
              <w:right w:val="single" w:color="auto" w:sz="4" w:space="0"/>
            </w:tcBorders>
            <w:noWrap w:val="0"/>
            <w:vAlign w:val="center"/>
          </w:tcPr>
          <w:p w14:paraId="2B4A2668">
            <w:pPr>
              <w:pStyle w:val="11"/>
              <w:keepNext w:val="0"/>
              <w:keepLines w:val="0"/>
              <w:pageBreakBefore w:val="0"/>
              <w:widowControl w:val="0"/>
              <w:shd w:val="clear" w:color="auto" w:fill="auto"/>
              <w:kinsoku/>
              <w:wordWrap/>
              <w:overflowPunct/>
              <w:topLinePunct w:val="0"/>
              <w:autoSpaceDE w:val="0"/>
              <w:autoSpaceDN w:val="0"/>
              <w:bidi w:val="0"/>
              <w:adjustRightInd w:val="0"/>
              <w:snapToGrid w:val="0"/>
              <w:ind w:left="0" w:leftChars="0" w:right="0" w:rightChars="0" w:firstLine="0" w:firstLineChars="0"/>
              <w:jc w:val="center"/>
              <w:textAlignment w:val="baseline"/>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超标因子</w:t>
            </w:r>
          </w:p>
        </w:tc>
        <w:tc>
          <w:tcPr>
            <w:tcW w:w="5509" w:type="dxa"/>
            <w:tcBorders>
              <w:top w:val="single" w:color="auto" w:sz="4" w:space="0"/>
              <w:left w:val="single" w:color="auto" w:sz="4" w:space="0"/>
              <w:bottom w:val="single" w:color="auto" w:sz="4" w:space="0"/>
              <w:right w:val="single" w:color="auto" w:sz="4" w:space="0"/>
            </w:tcBorders>
            <w:noWrap w:val="0"/>
            <w:vAlign w:val="center"/>
          </w:tcPr>
          <w:p w14:paraId="6BB8C0FA">
            <w:pPr>
              <w:pStyle w:val="11"/>
              <w:keepNext w:val="0"/>
              <w:keepLines w:val="0"/>
              <w:pageBreakBefore w:val="0"/>
              <w:widowControl w:val="0"/>
              <w:shd w:val="clear" w:color="auto" w:fill="auto"/>
              <w:kinsoku/>
              <w:wordWrap/>
              <w:overflowPunct/>
              <w:topLinePunct w:val="0"/>
              <w:autoSpaceDE w:val="0"/>
              <w:autoSpaceDN w:val="0"/>
              <w:bidi w:val="0"/>
              <w:adjustRightInd w:val="0"/>
              <w:snapToGrid w:val="0"/>
              <w:ind w:left="0" w:leftChars="0" w:right="0" w:rightChars="0" w:firstLine="420" w:firstLineChars="200"/>
              <w:textAlignment w:val="baseline"/>
              <w:rPr>
                <w:rFonts w:hint="eastAsia" w:ascii="宋体" w:hAnsi="宋体" w:eastAsia="宋体" w:cs="宋体"/>
                <w:b w:val="0"/>
                <w:bCs w:val="0"/>
                <w:kern w:val="2"/>
                <w:sz w:val="21"/>
                <w:szCs w:val="21"/>
                <w:highlight w:val="none"/>
                <w:lang w:val="en-US" w:eastAsia="zh-CN" w:bidi="ar-SA"/>
              </w:rPr>
            </w:pPr>
            <w:r>
              <w:rPr>
                <w:rFonts w:hint="eastAsia" w:ascii="宋体" w:hAnsi="宋体" w:eastAsia="宋体" w:cs="宋体"/>
                <w:b w:val="0"/>
                <w:bCs w:val="0"/>
                <w:color w:val="auto"/>
                <w:sz w:val="21"/>
                <w:szCs w:val="21"/>
                <w:highlight w:val="none"/>
                <w:lang w:eastAsia="zh-CN"/>
              </w:rPr>
              <w:t>1个</w:t>
            </w:r>
          </w:p>
        </w:tc>
        <w:tc>
          <w:tcPr>
            <w:tcW w:w="1287" w:type="dxa"/>
            <w:tcBorders>
              <w:top w:val="single" w:color="auto" w:sz="4" w:space="0"/>
              <w:left w:val="single" w:color="auto" w:sz="4" w:space="0"/>
              <w:bottom w:val="single" w:color="auto" w:sz="4" w:space="0"/>
              <w:right w:val="single" w:color="auto" w:sz="4" w:space="0"/>
            </w:tcBorders>
            <w:noWrap w:val="0"/>
            <w:vAlign w:val="center"/>
          </w:tcPr>
          <w:p w14:paraId="46B2B27F">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51CBF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6" w:type="dxa"/>
            <w:vMerge w:val="continue"/>
            <w:tcBorders>
              <w:top w:val="single" w:color="auto" w:sz="4" w:space="0"/>
              <w:left w:val="single" w:color="auto" w:sz="4" w:space="0"/>
              <w:bottom w:val="single" w:color="auto" w:sz="4" w:space="0"/>
              <w:right w:val="single" w:color="auto" w:sz="4" w:space="0"/>
            </w:tcBorders>
            <w:noWrap w:val="0"/>
            <w:vAlign w:val="center"/>
          </w:tcPr>
          <w:p w14:paraId="70769329">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b w:val="0"/>
                <w:bCs w:val="0"/>
                <w:color w:val="auto"/>
                <w:sz w:val="21"/>
                <w:szCs w:val="21"/>
                <w:highlight w:val="none"/>
              </w:rPr>
            </w:pPr>
          </w:p>
        </w:tc>
        <w:tc>
          <w:tcPr>
            <w:tcW w:w="5509" w:type="dxa"/>
            <w:tcBorders>
              <w:top w:val="single" w:color="auto" w:sz="4" w:space="0"/>
              <w:left w:val="single" w:color="auto" w:sz="4" w:space="0"/>
              <w:bottom w:val="single" w:color="auto" w:sz="4" w:space="0"/>
              <w:right w:val="single" w:color="auto" w:sz="4" w:space="0"/>
            </w:tcBorders>
            <w:noWrap w:val="0"/>
            <w:vAlign w:val="center"/>
          </w:tcPr>
          <w:p w14:paraId="40CBAB96">
            <w:pPr>
              <w:pStyle w:val="11"/>
              <w:keepNext w:val="0"/>
              <w:keepLines w:val="0"/>
              <w:pageBreakBefore w:val="0"/>
              <w:widowControl w:val="0"/>
              <w:shd w:val="clear" w:color="auto" w:fill="auto"/>
              <w:kinsoku/>
              <w:wordWrap/>
              <w:overflowPunct/>
              <w:topLinePunct w:val="0"/>
              <w:autoSpaceDE w:val="0"/>
              <w:autoSpaceDN w:val="0"/>
              <w:bidi w:val="0"/>
              <w:adjustRightInd w:val="0"/>
              <w:snapToGrid w:val="0"/>
              <w:ind w:left="0" w:leftChars="0" w:right="0" w:rightChars="0" w:firstLine="420" w:firstLineChars="200"/>
              <w:textAlignment w:val="baseline"/>
              <w:rPr>
                <w:rFonts w:hint="eastAsia" w:ascii="宋体" w:hAnsi="宋体" w:eastAsia="宋体" w:cs="宋体"/>
                <w:b w:val="0"/>
                <w:bCs w:val="0"/>
                <w:kern w:val="2"/>
                <w:sz w:val="21"/>
                <w:szCs w:val="21"/>
                <w:highlight w:val="none"/>
                <w:lang w:val="en-US" w:eastAsia="zh-CN" w:bidi="ar-SA"/>
              </w:rPr>
            </w:pPr>
            <w:r>
              <w:rPr>
                <w:rFonts w:hint="eastAsia" w:ascii="宋体" w:hAnsi="宋体" w:eastAsia="宋体" w:cs="宋体"/>
                <w:b w:val="0"/>
                <w:bCs w:val="0"/>
                <w:color w:val="auto"/>
                <w:sz w:val="21"/>
                <w:szCs w:val="21"/>
                <w:highlight w:val="none"/>
                <w:lang w:eastAsia="zh-CN"/>
              </w:rPr>
              <w:t>2个</w:t>
            </w:r>
          </w:p>
        </w:tc>
        <w:tc>
          <w:tcPr>
            <w:tcW w:w="1287" w:type="dxa"/>
            <w:tcBorders>
              <w:top w:val="single" w:color="auto" w:sz="4" w:space="0"/>
              <w:left w:val="single" w:color="auto" w:sz="4" w:space="0"/>
              <w:bottom w:val="single" w:color="auto" w:sz="4" w:space="0"/>
              <w:right w:val="single" w:color="auto" w:sz="4" w:space="0"/>
            </w:tcBorders>
            <w:noWrap w:val="0"/>
            <w:vAlign w:val="center"/>
          </w:tcPr>
          <w:p w14:paraId="621284FF">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3</w:t>
            </w:r>
          </w:p>
        </w:tc>
      </w:tr>
      <w:tr w14:paraId="42C68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6" w:type="dxa"/>
            <w:vMerge w:val="continue"/>
            <w:tcBorders>
              <w:top w:val="single" w:color="auto" w:sz="4" w:space="0"/>
              <w:left w:val="single" w:color="auto" w:sz="4" w:space="0"/>
              <w:bottom w:val="single" w:color="auto" w:sz="4" w:space="0"/>
              <w:right w:val="single" w:color="auto" w:sz="4" w:space="0"/>
            </w:tcBorders>
            <w:noWrap w:val="0"/>
            <w:vAlign w:val="center"/>
          </w:tcPr>
          <w:p w14:paraId="371CAD7E">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b w:val="0"/>
                <w:bCs w:val="0"/>
                <w:color w:val="auto"/>
                <w:sz w:val="21"/>
                <w:szCs w:val="21"/>
                <w:highlight w:val="none"/>
              </w:rPr>
            </w:pPr>
          </w:p>
        </w:tc>
        <w:tc>
          <w:tcPr>
            <w:tcW w:w="5509" w:type="dxa"/>
            <w:tcBorders>
              <w:top w:val="single" w:color="auto" w:sz="4" w:space="0"/>
              <w:left w:val="single" w:color="auto" w:sz="4" w:space="0"/>
              <w:bottom w:val="single" w:color="auto" w:sz="4" w:space="0"/>
              <w:right w:val="single" w:color="auto" w:sz="4" w:space="0"/>
            </w:tcBorders>
            <w:noWrap w:val="0"/>
            <w:vAlign w:val="center"/>
          </w:tcPr>
          <w:p w14:paraId="512BD00E">
            <w:pPr>
              <w:pStyle w:val="11"/>
              <w:keepNext w:val="0"/>
              <w:keepLines w:val="0"/>
              <w:pageBreakBefore w:val="0"/>
              <w:widowControl w:val="0"/>
              <w:shd w:val="clear" w:color="auto" w:fill="auto"/>
              <w:kinsoku/>
              <w:wordWrap/>
              <w:overflowPunct/>
              <w:topLinePunct w:val="0"/>
              <w:autoSpaceDE w:val="0"/>
              <w:autoSpaceDN w:val="0"/>
              <w:bidi w:val="0"/>
              <w:adjustRightInd w:val="0"/>
              <w:snapToGrid w:val="0"/>
              <w:ind w:left="0" w:leftChars="0" w:right="0" w:rightChars="0" w:firstLine="420" w:firstLineChars="200"/>
              <w:textAlignment w:val="baseline"/>
              <w:rPr>
                <w:rFonts w:hint="eastAsia" w:ascii="宋体" w:hAnsi="宋体" w:eastAsia="宋体" w:cs="宋体"/>
                <w:b w:val="0"/>
                <w:bCs w:val="0"/>
                <w:kern w:val="2"/>
                <w:sz w:val="21"/>
                <w:szCs w:val="21"/>
                <w:highlight w:val="none"/>
                <w:lang w:val="en-US" w:eastAsia="zh-CN" w:bidi="ar-SA"/>
              </w:rPr>
            </w:pPr>
            <w:r>
              <w:rPr>
                <w:rFonts w:hint="eastAsia" w:ascii="宋体" w:hAnsi="宋体" w:eastAsia="宋体" w:cs="宋体"/>
                <w:b w:val="0"/>
                <w:bCs w:val="0"/>
                <w:color w:val="auto"/>
                <w:sz w:val="21"/>
                <w:szCs w:val="21"/>
                <w:highlight w:val="none"/>
                <w:lang w:eastAsia="zh-CN"/>
              </w:rPr>
              <w:t>3个及以上</w:t>
            </w:r>
          </w:p>
        </w:tc>
        <w:tc>
          <w:tcPr>
            <w:tcW w:w="1287" w:type="dxa"/>
            <w:tcBorders>
              <w:top w:val="single" w:color="auto" w:sz="4" w:space="0"/>
              <w:left w:val="single" w:color="auto" w:sz="4" w:space="0"/>
              <w:bottom w:val="single" w:color="auto" w:sz="4" w:space="0"/>
              <w:right w:val="single" w:color="auto" w:sz="4" w:space="0"/>
            </w:tcBorders>
            <w:noWrap w:val="0"/>
            <w:vAlign w:val="center"/>
          </w:tcPr>
          <w:p w14:paraId="07AABD2D">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1"/>
                <w:sz w:val="21"/>
                <w:szCs w:val="21"/>
                <w:highlight w:val="none"/>
                <w:lang w:val="en-US" w:eastAsia="zh-CN"/>
              </w:rPr>
              <w:t>5</w:t>
            </w:r>
          </w:p>
        </w:tc>
      </w:tr>
      <w:tr w14:paraId="4D738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6" w:type="dxa"/>
            <w:vMerge w:val="restart"/>
            <w:tcBorders>
              <w:top w:val="single" w:color="auto" w:sz="4" w:space="0"/>
              <w:left w:val="single" w:color="auto" w:sz="4" w:space="0"/>
              <w:bottom w:val="single" w:color="auto" w:sz="4" w:space="0"/>
              <w:right w:val="single" w:color="auto" w:sz="4" w:space="0"/>
            </w:tcBorders>
            <w:noWrap w:val="0"/>
            <w:vAlign w:val="center"/>
          </w:tcPr>
          <w:p w14:paraId="7F212034">
            <w:pPr>
              <w:ind w:left="0" w:leftChars="0" w:right="0" w:rightChars="0"/>
              <w:jc w:val="center"/>
              <w:textAlignment w:val="center"/>
              <w:rPr>
                <w:rFonts w:hint="eastAsia" w:ascii="宋体" w:hAnsi="宋体" w:eastAsia="宋体" w:cs="宋体"/>
                <w:b w:val="0"/>
                <w:bCs w:val="0"/>
                <w:kern w:val="2"/>
                <w:sz w:val="21"/>
                <w:szCs w:val="21"/>
                <w:highlight w:val="none"/>
                <w:lang w:val="en-US" w:eastAsia="zh-CN" w:bidi="ar-SA"/>
              </w:rPr>
            </w:pPr>
            <w:r>
              <w:rPr>
                <w:rFonts w:hint="eastAsia" w:ascii="宋体" w:hAnsi="宋体" w:eastAsia="宋体" w:cs="宋体"/>
                <w:b w:val="0"/>
                <w:bCs w:val="0"/>
                <w:kern w:val="2"/>
                <w:sz w:val="21"/>
                <w:szCs w:val="21"/>
                <w:highlight w:val="none"/>
                <w:lang w:val="en-US" w:eastAsia="zh-CN" w:bidi="ar-SA"/>
              </w:rPr>
              <w:t>降阻产品</w:t>
            </w:r>
          </w:p>
          <w:p w14:paraId="0D00F1F2">
            <w:pPr>
              <w:ind w:left="0" w:leftChars="0" w:right="0" w:rightChars="0"/>
              <w:jc w:val="center"/>
              <w:textAlignment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kern w:val="2"/>
                <w:sz w:val="21"/>
                <w:szCs w:val="21"/>
                <w:highlight w:val="none"/>
                <w:lang w:val="en-US" w:eastAsia="zh-CN" w:bidi="ar-SA"/>
              </w:rPr>
              <w:t>用量</w:t>
            </w:r>
          </w:p>
        </w:tc>
        <w:tc>
          <w:tcPr>
            <w:tcW w:w="5509" w:type="dxa"/>
            <w:tcBorders>
              <w:top w:val="single" w:color="auto" w:sz="4" w:space="0"/>
              <w:left w:val="single" w:color="auto" w:sz="4" w:space="0"/>
              <w:bottom w:val="single" w:color="auto" w:sz="4" w:space="0"/>
              <w:right w:val="single" w:color="auto" w:sz="4" w:space="0"/>
            </w:tcBorders>
            <w:noWrap w:val="0"/>
            <w:vAlign w:val="center"/>
          </w:tcPr>
          <w:p w14:paraId="39ABE5D2">
            <w:pPr>
              <w:keepNext w:val="0"/>
              <w:keepLines w:val="0"/>
              <w:pageBreakBefore w:val="0"/>
              <w:widowControl w:val="0"/>
              <w:kinsoku/>
              <w:wordWrap/>
              <w:overflowPunct/>
              <w:topLinePunct w:val="0"/>
              <w:bidi w:val="0"/>
              <w:ind w:left="0" w:leftChars="0" w:right="0" w:rightChars="0" w:firstLine="420" w:firstLineChars="200"/>
              <w:jc w:val="both"/>
              <w:textAlignment w:val="center"/>
              <w:rPr>
                <w:rFonts w:hint="eastAsia" w:ascii="宋体" w:hAnsi="宋体" w:eastAsia="宋体" w:cs="宋体"/>
                <w:b w:val="0"/>
                <w:bCs w:val="0"/>
                <w:kern w:val="2"/>
                <w:sz w:val="21"/>
                <w:szCs w:val="21"/>
                <w:highlight w:val="none"/>
                <w:lang w:val="en-US" w:eastAsia="zh-CN" w:bidi="ar-SA"/>
              </w:rPr>
            </w:pPr>
            <w:r>
              <w:rPr>
                <w:rFonts w:hint="eastAsia" w:ascii="宋体" w:hAnsi="宋体" w:eastAsia="宋体" w:cs="宋体"/>
                <w:b w:val="0"/>
                <w:bCs w:val="0"/>
                <w:kern w:val="2"/>
                <w:sz w:val="21"/>
                <w:szCs w:val="21"/>
                <w:highlight w:val="none"/>
                <w:lang w:val="en-US" w:eastAsia="zh-CN" w:bidi="ar-SA"/>
              </w:rPr>
              <w:t>不足50千克</w:t>
            </w:r>
          </w:p>
        </w:tc>
        <w:tc>
          <w:tcPr>
            <w:tcW w:w="1287" w:type="dxa"/>
            <w:tcBorders>
              <w:top w:val="single" w:color="auto" w:sz="4" w:space="0"/>
              <w:left w:val="single" w:color="auto" w:sz="4" w:space="0"/>
              <w:bottom w:val="single" w:color="auto" w:sz="4" w:space="0"/>
              <w:right w:val="single" w:color="auto" w:sz="4" w:space="0"/>
            </w:tcBorders>
            <w:noWrap w:val="0"/>
            <w:vAlign w:val="center"/>
          </w:tcPr>
          <w:p w14:paraId="29DDEDB9">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r>
      <w:tr w14:paraId="2E67E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6" w:type="dxa"/>
            <w:vMerge w:val="continue"/>
            <w:tcBorders>
              <w:top w:val="single" w:color="auto" w:sz="4" w:space="0"/>
              <w:left w:val="single" w:color="auto" w:sz="4" w:space="0"/>
              <w:bottom w:val="single" w:color="auto" w:sz="4" w:space="0"/>
              <w:right w:val="single" w:color="auto" w:sz="4" w:space="0"/>
            </w:tcBorders>
            <w:noWrap w:val="0"/>
            <w:vAlign w:val="center"/>
          </w:tcPr>
          <w:p w14:paraId="22B17FB9">
            <w:pPr>
              <w:ind w:left="0" w:leftChars="0" w:right="0" w:rightChars="0"/>
              <w:jc w:val="center"/>
              <w:textAlignment w:val="center"/>
              <w:rPr>
                <w:rFonts w:hint="eastAsia" w:ascii="宋体" w:hAnsi="宋体" w:eastAsia="宋体" w:cs="宋体"/>
                <w:b w:val="0"/>
                <w:bCs w:val="0"/>
                <w:color w:val="auto"/>
                <w:sz w:val="21"/>
                <w:szCs w:val="21"/>
                <w:highlight w:val="none"/>
              </w:rPr>
            </w:pPr>
          </w:p>
        </w:tc>
        <w:tc>
          <w:tcPr>
            <w:tcW w:w="5509" w:type="dxa"/>
            <w:tcBorders>
              <w:top w:val="single" w:color="auto" w:sz="4" w:space="0"/>
              <w:left w:val="single" w:color="auto" w:sz="4" w:space="0"/>
              <w:bottom w:val="single" w:color="auto" w:sz="4" w:space="0"/>
              <w:right w:val="single" w:color="auto" w:sz="4" w:space="0"/>
            </w:tcBorders>
            <w:noWrap w:val="0"/>
            <w:vAlign w:val="center"/>
          </w:tcPr>
          <w:p w14:paraId="0AA40D92">
            <w:pPr>
              <w:keepNext w:val="0"/>
              <w:keepLines w:val="0"/>
              <w:pageBreakBefore w:val="0"/>
              <w:widowControl w:val="0"/>
              <w:kinsoku/>
              <w:wordWrap/>
              <w:overflowPunct/>
              <w:topLinePunct w:val="0"/>
              <w:bidi w:val="0"/>
              <w:ind w:left="0" w:leftChars="0" w:right="0" w:rightChars="0" w:firstLine="420" w:firstLineChars="200"/>
              <w:jc w:val="both"/>
              <w:textAlignment w:val="center"/>
              <w:rPr>
                <w:rFonts w:hint="eastAsia" w:ascii="宋体" w:hAnsi="宋体" w:eastAsia="宋体" w:cs="宋体"/>
                <w:b w:val="0"/>
                <w:bCs w:val="0"/>
                <w:kern w:val="2"/>
                <w:sz w:val="21"/>
                <w:szCs w:val="21"/>
                <w:highlight w:val="none"/>
                <w:lang w:val="en-US" w:eastAsia="zh-CN" w:bidi="ar-SA"/>
              </w:rPr>
            </w:pPr>
            <w:r>
              <w:rPr>
                <w:rFonts w:hint="eastAsia" w:ascii="宋体" w:hAnsi="宋体" w:eastAsia="宋体" w:cs="宋体"/>
                <w:b w:val="0"/>
                <w:bCs w:val="0"/>
                <w:kern w:val="2"/>
                <w:sz w:val="21"/>
                <w:szCs w:val="21"/>
                <w:highlight w:val="none"/>
                <w:lang w:val="en-US" w:eastAsia="zh-CN" w:bidi="ar-SA"/>
              </w:rPr>
              <w:t>50千克以上不足200千克</w:t>
            </w:r>
          </w:p>
        </w:tc>
        <w:tc>
          <w:tcPr>
            <w:tcW w:w="1287" w:type="dxa"/>
            <w:tcBorders>
              <w:top w:val="single" w:color="auto" w:sz="4" w:space="0"/>
              <w:left w:val="single" w:color="auto" w:sz="4" w:space="0"/>
              <w:bottom w:val="single" w:color="auto" w:sz="4" w:space="0"/>
              <w:right w:val="single" w:color="auto" w:sz="4" w:space="0"/>
            </w:tcBorders>
            <w:noWrap w:val="0"/>
            <w:vAlign w:val="center"/>
          </w:tcPr>
          <w:p w14:paraId="2C759624">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r>
      <w:tr w14:paraId="1C09E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6" w:type="dxa"/>
            <w:vMerge w:val="continue"/>
            <w:tcBorders>
              <w:top w:val="single" w:color="auto" w:sz="4" w:space="0"/>
              <w:left w:val="single" w:color="auto" w:sz="4" w:space="0"/>
              <w:bottom w:val="single" w:color="auto" w:sz="4" w:space="0"/>
              <w:right w:val="single" w:color="auto" w:sz="4" w:space="0"/>
            </w:tcBorders>
            <w:noWrap w:val="0"/>
            <w:vAlign w:val="center"/>
          </w:tcPr>
          <w:p w14:paraId="310E12A9">
            <w:pPr>
              <w:ind w:left="0" w:leftChars="0" w:right="0" w:rightChars="0"/>
              <w:jc w:val="center"/>
              <w:textAlignment w:val="center"/>
              <w:rPr>
                <w:rFonts w:hint="eastAsia" w:ascii="宋体" w:hAnsi="宋体" w:eastAsia="宋体" w:cs="宋体"/>
                <w:b w:val="0"/>
                <w:bCs w:val="0"/>
                <w:color w:val="auto"/>
                <w:sz w:val="21"/>
                <w:szCs w:val="21"/>
                <w:highlight w:val="none"/>
              </w:rPr>
            </w:pPr>
          </w:p>
        </w:tc>
        <w:tc>
          <w:tcPr>
            <w:tcW w:w="5509" w:type="dxa"/>
            <w:tcBorders>
              <w:top w:val="single" w:color="auto" w:sz="4" w:space="0"/>
              <w:left w:val="single" w:color="auto" w:sz="4" w:space="0"/>
              <w:bottom w:val="single" w:color="auto" w:sz="4" w:space="0"/>
              <w:right w:val="single" w:color="auto" w:sz="4" w:space="0"/>
            </w:tcBorders>
            <w:noWrap w:val="0"/>
            <w:vAlign w:val="center"/>
          </w:tcPr>
          <w:p w14:paraId="2AA380E4">
            <w:pPr>
              <w:keepNext w:val="0"/>
              <w:keepLines w:val="0"/>
              <w:pageBreakBefore w:val="0"/>
              <w:widowControl w:val="0"/>
              <w:kinsoku/>
              <w:wordWrap/>
              <w:overflowPunct/>
              <w:topLinePunct w:val="0"/>
              <w:bidi w:val="0"/>
              <w:ind w:left="0" w:leftChars="0" w:right="0" w:rightChars="0" w:firstLine="420" w:firstLineChars="200"/>
              <w:jc w:val="both"/>
              <w:textAlignment w:val="center"/>
              <w:rPr>
                <w:rFonts w:hint="eastAsia" w:ascii="宋体" w:hAnsi="宋体" w:eastAsia="宋体" w:cs="宋体"/>
                <w:b w:val="0"/>
                <w:bCs w:val="0"/>
                <w:kern w:val="2"/>
                <w:sz w:val="21"/>
                <w:szCs w:val="21"/>
                <w:highlight w:val="none"/>
                <w:lang w:val="en-US" w:eastAsia="zh-CN" w:bidi="ar-SA"/>
              </w:rPr>
            </w:pPr>
            <w:r>
              <w:rPr>
                <w:rFonts w:hint="eastAsia" w:ascii="宋体" w:hAnsi="宋体" w:eastAsia="宋体" w:cs="宋体"/>
                <w:b w:val="0"/>
                <w:bCs w:val="0"/>
                <w:kern w:val="2"/>
                <w:sz w:val="21"/>
                <w:szCs w:val="21"/>
                <w:highlight w:val="none"/>
                <w:lang w:val="en-US" w:eastAsia="zh-CN" w:bidi="ar-SA"/>
              </w:rPr>
              <w:t>200千克以上</w:t>
            </w:r>
          </w:p>
        </w:tc>
        <w:tc>
          <w:tcPr>
            <w:tcW w:w="1287" w:type="dxa"/>
            <w:tcBorders>
              <w:top w:val="single" w:color="auto" w:sz="4" w:space="0"/>
              <w:left w:val="single" w:color="auto" w:sz="4" w:space="0"/>
              <w:bottom w:val="single" w:color="auto" w:sz="4" w:space="0"/>
              <w:right w:val="single" w:color="auto" w:sz="4" w:space="0"/>
            </w:tcBorders>
            <w:noWrap w:val="0"/>
            <w:vAlign w:val="center"/>
          </w:tcPr>
          <w:p w14:paraId="6F925B8A">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r>
      <w:tr w14:paraId="13146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6" w:type="dxa"/>
            <w:tcBorders>
              <w:top w:val="single" w:color="auto" w:sz="4" w:space="0"/>
              <w:left w:val="single" w:color="auto" w:sz="4" w:space="0"/>
              <w:bottom w:val="single" w:color="auto" w:sz="4" w:space="0"/>
              <w:right w:val="single" w:color="auto" w:sz="4" w:space="0"/>
            </w:tcBorders>
            <w:noWrap w:val="0"/>
            <w:vAlign w:val="center"/>
          </w:tcPr>
          <w:p w14:paraId="5113226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备注</w:t>
            </w:r>
          </w:p>
        </w:tc>
        <w:tc>
          <w:tcPr>
            <w:tcW w:w="6796" w:type="dxa"/>
            <w:gridSpan w:val="2"/>
            <w:tcBorders>
              <w:top w:val="single" w:color="auto" w:sz="4" w:space="0"/>
              <w:left w:val="single" w:color="auto" w:sz="4" w:space="0"/>
              <w:bottom w:val="single" w:color="auto" w:sz="4" w:space="0"/>
              <w:right w:val="single" w:color="auto" w:sz="4" w:space="0"/>
            </w:tcBorders>
            <w:noWrap w:val="0"/>
            <w:vAlign w:val="center"/>
          </w:tcPr>
          <w:p w14:paraId="6D544346">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拟对单位、直接负责的主管人员和其他直接责任人员实施罚款处罚的，应当分别套用计算公式确定罚款数额。</w:t>
            </w:r>
          </w:p>
        </w:tc>
      </w:tr>
    </w:tbl>
    <w:p w14:paraId="5F2F6009">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p w14:paraId="5DF8B539">
      <w:pPr>
        <w:rPr>
          <w:rFonts w:hint="eastAsia" w:ascii="宋体" w:hAnsi="宋体" w:eastAsia="宋体" w:cs="宋体"/>
          <w:sz w:val="21"/>
          <w:szCs w:val="21"/>
          <w:highlight w:val="none"/>
        </w:rPr>
      </w:pPr>
    </w:p>
    <w:tbl>
      <w:tblPr>
        <w:tblStyle w:val="8"/>
        <w:tblW w:w="504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43"/>
        <w:gridCol w:w="5933"/>
        <w:gridCol w:w="1353"/>
      </w:tblGrid>
      <w:tr w14:paraId="5062D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8599" w:type="dxa"/>
            <w:gridSpan w:val="3"/>
            <w:noWrap w:val="0"/>
            <w:vAlign w:val="center"/>
          </w:tcPr>
          <w:p w14:paraId="5BFB490B">
            <w:pPr>
              <w:jc w:val="center"/>
              <w:rPr>
                <w:rFonts w:hint="eastAsia" w:ascii="宋体" w:hAnsi="宋体" w:eastAsia="宋体" w:cs="宋体"/>
                <w:bCs/>
                <w:color w:val="auto"/>
                <w:sz w:val="21"/>
                <w:szCs w:val="21"/>
                <w:highlight w:val="none"/>
                <w:lang w:eastAsia="zh-CN"/>
              </w:rPr>
            </w:pPr>
            <w:r>
              <w:rPr>
                <w:rFonts w:hint="eastAsia" w:ascii="宋体" w:hAnsi="宋体" w:eastAsia="宋体" w:cs="宋体"/>
                <w:color w:val="auto"/>
                <w:sz w:val="21"/>
                <w:szCs w:val="21"/>
                <w:highlight w:val="none"/>
                <w:lang w:eastAsia="zh-CN"/>
              </w:rPr>
              <w:t>（七）土壤污染防治类</w:t>
            </w:r>
          </w:p>
        </w:tc>
      </w:tr>
      <w:tr w14:paraId="722F8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1660" w:type="dxa"/>
            <w:noWrap w:val="0"/>
            <w:vAlign w:val="center"/>
          </w:tcPr>
          <w:p w14:paraId="44E5771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939" w:type="dxa"/>
            <w:gridSpan w:val="2"/>
            <w:noWrap w:val="0"/>
            <w:vAlign w:val="center"/>
          </w:tcPr>
          <w:p w14:paraId="2337EB3E">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w:t>
            </w:r>
          </w:p>
        </w:tc>
      </w:tr>
      <w:tr w14:paraId="31644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1660" w:type="dxa"/>
            <w:noWrap w:val="0"/>
            <w:vAlign w:val="center"/>
          </w:tcPr>
          <w:p w14:paraId="3B64ECC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6939" w:type="dxa"/>
            <w:gridSpan w:val="2"/>
            <w:noWrap w:val="0"/>
            <w:vAlign w:val="center"/>
          </w:tcPr>
          <w:p w14:paraId="364920CD">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未单独收集、存放开发建设过程中剥离的表土的</w:t>
            </w:r>
          </w:p>
        </w:tc>
      </w:tr>
      <w:tr w14:paraId="10C5D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9" w:hRule="atLeast"/>
          <w:jc w:val="center"/>
        </w:trPr>
        <w:tc>
          <w:tcPr>
            <w:tcW w:w="1660" w:type="dxa"/>
            <w:noWrap w:val="0"/>
            <w:vAlign w:val="center"/>
          </w:tcPr>
          <w:p w14:paraId="1F678BF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6939" w:type="dxa"/>
            <w:gridSpan w:val="2"/>
            <w:noWrap w:val="0"/>
            <w:vAlign w:val="center"/>
          </w:tcPr>
          <w:p w14:paraId="4BB2E11D">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《中华人民共和国生态环境法典》第四百二十八条</w:t>
            </w:r>
            <w:r>
              <w:rPr>
                <w:rFonts w:hint="eastAsia" w:ascii="宋体" w:hAnsi="宋体" w:eastAsia="宋体" w:cs="宋体"/>
                <w:color w:val="auto"/>
                <w:sz w:val="21"/>
                <w:szCs w:val="21"/>
                <w:highlight w:val="none"/>
                <w:lang w:val="en-US" w:eastAsia="zh-CN"/>
              </w:rPr>
              <w:t>第一款 对开发建设过程中剥离的表土，应当单独收集和存放，符合条件的应当优先用于土地复垦、土壤改良、造地和绿化等。</w:t>
            </w:r>
          </w:p>
        </w:tc>
      </w:tr>
      <w:tr w14:paraId="27F0B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660" w:type="dxa"/>
            <w:noWrap w:val="0"/>
            <w:vAlign w:val="center"/>
          </w:tcPr>
          <w:p w14:paraId="748212D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6939" w:type="dxa"/>
            <w:gridSpan w:val="2"/>
            <w:noWrap w:val="0"/>
            <w:vAlign w:val="center"/>
          </w:tcPr>
          <w:p w14:paraId="0E7D0F87">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《中华人民共和国生态环境法典》第一千一百六十二条</w:t>
            </w:r>
            <w:r>
              <w:rPr>
                <w:rFonts w:hint="eastAsia" w:ascii="宋体" w:hAnsi="宋体" w:eastAsia="宋体" w:cs="宋体"/>
                <w:color w:val="auto"/>
                <w:sz w:val="21"/>
                <w:szCs w:val="21"/>
                <w:highlight w:val="none"/>
                <w:lang w:val="en-US" w:eastAsia="zh-CN"/>
              </w:rPr>
              <w:t>第二项</w:t>
            </w:r>
            <w:r>
              <w:rPr>
                <w:rFonts w:hint="eastAsia" w:ascii="宋体" w:hAnsi="宋体" w:eastAsia="宋体" w:cs="宋体"/>
                <w:color w:val="auto"/>
                <w:sz w:val="21"/>
                <w:szCs w:val="21"/>
                <w:highlight w:val="none"/>
              </w:rPr>
              <w:t xml:space="preserve">  违反本法规定，有下列情形之一的，由生态环境主管部门责令改正，没收违法所得，并处十万元以上五十万元以下的罚款</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对直接负责的主管人员和其他直接责任人员处五千元以上二万元以下的罚款：</w:t>
            </w:r>
          </w:p>
          <w:p w14:paraId="4F4ADDD1">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（二）未单独收集、存放开发建设过程中剥离的表土；</w:t>
            </w:r>
          </w:p>
        </w:tc>
      </w:tr>
      <w:tr w14:paraId="5F8C0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1660" w:type="dxa"/>
            <w:noWrap w:val="0"/>
            <w:vAlign w:val="center"/>
          </w:tcPr>
          <w:p w14:paraId="1BBE591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650" w:type="dxa"/>
            <w:noWrap w:val="0"/>
            <w:vAlign w:val="center"/>
          </w:tcPr>
          <w:p w14:paraId="1AD957A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289" w:type="dxa"/>
            <w:noWrap w:val="0"/>
            <w:vAlign w:val="center"/>
          </w:tcPr>
          <w:p w14:paraId="4334B05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3BD83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1660" w:type="dxa"/>
            <w:vMerge w:val="restart"/>
            <w:noWrap w:val="0"/>
            <w:vAlign w:val="center"/>
          </w:tcPr>
          <w:p w14:paraId="78B8D10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剥离面积</w:t>
            </w:r>
          </w:p>
        </w:tc>
        <w:tc>
          <w:tcPr>
            <w:tcW w:w="5650" w:type="dxa"/>
            <w:noWrap w:val="0"/>
            <w:vAlign w:val="center"/>
          </w:tcPr>
          <w:p w14:paraId="042964F7">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不足500</w:t>
            </w:r>
            <w:r>
              <w:rPr>
                <w:rFonts w:hint="eastAsia" w:ascii="宋体" w:hAnsi="宋体" w:cs="宋体"/>
                <w:color w:val="auto"/>
                <w:sz w:val="21"/>
                <w:szCs w:val="21"/>
                <w:highlight w:val="none"/>
                <w:lang w:eastAsia="zh-CN"/>
              </w:rPr>
              <w:t>平方米</w:t>
            </w:r>
          </w:p>
        </w:tc>
        <w:tc>
          <w:tcPr>
            <w:tcW w:w="1289" w:type="dxa"/>
            <w:noWrap w:val="0"/>
            <w:vAlign w:val="center"/>
          </w:tcPr>
          <w:p w14:paraId="06C195B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2446C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1660" w:type="dxa"/>
            <w:vMerge w:val="continue"/>
            <w:noWrap w:val="0"/>
            <w:vAlign w:val="center"/>
          </w:tcPr>
          <w:p w14:paraId="04AC333D">
            <w:pPr>
              <w:rPr>
                <w:rFonts w:hint="eastAsia" w:ascii="宋体" w:hAnsi="宋体" w:eastAsia="宋体" w:cs="宋体"/>
                <w:color w:val="auto"/>
                <w:sz w:val="21"/>
                <w:szCs w:val="21"/>
                <w:highlight w:val="none"/>
              </w:rPr>
            </w:pPr>
          </w:p>
        </w:tc>
        <w:tc>
          <w:tcPr>
            <w:tcW w:w="5650" w:type="dxa"/>
            <w:noWrap w:val="0"/>
            <w:vAlign w:val="bottom"/>
          </w:tcPr>
          <w:p w14:paraId="3562CC7F">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500</w:t>
            </w:r>
            <w:r>
              <w:rPr>
                <w:rFonts w:hint="eastAsia" w:ascii="宋体" w:hAnsi="宋体" w:cs="宋体"/>
                <w:color w:val="auto"/>
                <w:sz w:val="21"/>
                <w:szCs w:val="21"/>
                <w:highlight w:val="none"/>
                <w:lang w:eastAsia="zh-CN"/>
              </w:rPr>
              <w:t>平方米</w:t>
            </w:r>
            <w:r>
              <w:rPr>
                <w:rFonts w:hint="eastAsia" w:ascii="宋体" w:hAnsi="宋体" w:eastAsia="宋体" w:cs="宋体"/>
                <w:color w:val="auto"/>
                <w:sz w:val="21"/>
                <w:szCs w:val="21"/>
                <w:highlight w:val="none"/>
              </w:rPr>
              <w:t>以上不足1000</w:t>
            </w:r>
            <w:r>
              <w:rPr>
                <w:rFonts w:hint="eastAsia" w:ascii="宋体" w:hAnsi="宋体" w:cs="宋体"/>
                <w:color w:val="auto"/>
                <w:sz w:val="21"/>
                <w:szCs w:val="21"/>
                <w:highlight w:val="none"/>
                <w:lang w:eastAsia="zh-CN"/>
              </w:rPr>
              <w:t>平方米</w:t>
            </w:r>
          </w:p>
        </w:tc>
        <w:tc>
          <w:tcPr>
            <w:tcW w:w="1289" w:type="dxa"/>
            <w:noWrap w:val="0"/>
            <w:vAlign w:val="bottom"/>
          </w:tcPr>
          <w:p w14:paraId="3180520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r>
      <w:tr w14:paraId="1C6DE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60" w:type="dxa"/>
            <w:vMerge w:val="continue"/>
            <w:noWrap w:val="0"/>
            <w:vAlign w:val="center"/>
          </w:tcPr>
          <w:p w14:paraId="3107F9CA">
            <w:pPr>
              <w:rPr>
                <w:rFonts w:hint="eastAsia" w:ascii="宋体" w:hAnsi="宋体" w:eastAsia="宋体" w:cs="宋体"/>
                <w:color w:val="auto"/>
                <w:sz w:val="21"/>
                <w:szCs w:val="21"/>
                <w:highlight w:val="none"/>
              </w:rPr>
            </w:pPr>
          </w:p>
        </w:tc>
        <w:tc>
          <w:tcPr>
            <w:tcW w:w="5650" w:type="dxa"/>
            <w:noWrap w:val="0"/>
            <w:vAlign w:val="bottom"/>
          </w:tcPr>
          <w:p w14:paraId="01AF1189">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1000</w:t>
            </w:r>
            <w:r>
              <w:rPr>
                <w:rFonts w:hint="eastAsia" w:ascii="宋体" w:hAnsi="宋体" w:cs="宋体"/>
                <w:color w:val="auto"/>
                <w:sz w:val="21"/>
                <w:szCs w:val="21"/>
                <w:highlight w:val="none"/>
                <w:lang w:eastAsia="zh-CN"/>
              </w:rPr>
              <w:t>平方米</w:t>
            </w:r>
            <w:r>
              <w:rPr>
                <w:rFonts w:hint="eastAsia" w:ascii="宋体" w:hAnsi="宋体" w:eastAsia="宋体" w:cs="宋体"/>
                <w:color w:val="auto"/>
                <w:sz w:val="21"/>
                <w:szCs w:val="21"/>
                <w:highlight w:val="none"/>
              </w:rPr>
              <w:t>以上不足5000</w:t>
            </w:r>
            <w:r>
              <w:rPr>
                <w:rFonts w:hint="eastAsia" w:ascii="宋体" w:hAnsi="宋体" w:cs="宋体"/>
                <w:color w:val="auto"/>
                <w:sz w:val="21"/>
                <w:szCs w:val="21"/>
                <w:highlight w:val="none"/>
                <w:lang w:eastAsia="zh-CN"/>
              </w:rPr>
              <w:t>平方米</w:t>
            </w:r>
          </w:p>
        </w:tc>
        <w:tc>
          <w:tcPr>
            <w:tcW w:w="1289" w:type="dxa"/>
            <w:noWrap w:val="0"/>
            <w:vAlign w:val="bottom"/>
          </w:tcPr>
          <w:p w14:paraId="5D5FEE3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69F26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1660" w:type="dxa"/>
            <w:vMerge w:val="continue"/>
            <w:noWrap w:val="0"/>
            <w:vAlign w:val="center"/>
          </w:tcPr>
          <w:p w14:paraId="739325F7">
            <w:pPr>
              <w:rPr>
                <w:rFonts w:hint="eastAsia" w:ascii="宋体" w:hAnsi="宋体" w:eastAsia="宋体" w:cs="宋体"/>
                <w:color w:val="auto"/>
                <w:sz w:val="21"/>
                <w:szCs w:val="21"/>
                <w:highlight w:val="none"/>
              </w:rPr>
            </w:pPr>
          </w:p>
        </w:tc>
        <w:tc>
          <w:tcPr>
            <w:tcW w:w="5650" w:type="dxa"/>
            <w:noWrap w:val="0"/>
            <w:vAlign w:val="bottom"/>
          </w:tcPr>
          <w:p w14:paraId="6636F38E">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5000</w:t>
            </w:r>
            <w:r>
              <w:rPr>
                <w:rFonts w:hint="eastAsia" w:ascii="宋体" w:hAnsi="宋体" w:cs="宋体"/>
                <w:color w:val="auto"/>
                <w:sz w:val="21"/>
                <w:szCs w:val="21"/>
                <w:highlight w:val="none"/>
                <w:lang w:eastAsia="zh-CN"/>
              </w:rPr>
              <w:t>平方米</w:t>
            </w:r>
            <w:r>
              <w:rPr>
                <w:rFonts w:hint="eastAsia" w:ascii="宋体" w:hAnsi="宋体" w:eastAsia="宋体" w:cs="宋体"/>
                <w:color w:val="auto"/>
                <w:sz w:val="21"/>
                <w:szCs w:val="21"/>
                <w:highlight w:val="none"/>
              </w:rPr>
              <w:t>以上不足10000</w:t>
            </w:r>
            <w:r>
              <w:rPr>
                <w:rFonts w:hint="eastAsia" w:ascii="宋体" w:hAnsi="宋体" w:cs="宋体"/>
                <w:color w:val="auto"/>
                <w:sz w:val="21"/>
                <w:szCs w:val="21"/>
                <w:highlight w:val="none"/>
                <w:lang w:eastAsia="zh-CN"/>
              </w:rPr>
              <w:t>平方米</w:t>
            </w:r>
          </w:p>
        </w:tc>
        <w:tc>
          <w:tcPr>
            <w:tcW w:w="1289" w:type="dxa"/>
            <w:noWrap w:val="0"/>
            <w:vAlign w:val="bottom"/>
          </w:tcPr>
          <w:p w14:paraId="4D0D4BF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r>
      <w:tr w14:paraId="0F184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1660" w:type="dxa"/>
            <w:vMerge w:val="continue"/>
            <w:noWrap w:val="0"/>
            <w:vAlign w:val="center"/>
          </w:tcPr>
          <w:p w14:paraId="583E6BB3">
            <w:pPr>
              <w:rPr>
                <w:rFonts w:hint="eastAsia" w:ascii="宋体" w:hAnsi="宋体" w:eastAsia="宋体" w:cs="宋体"/>
                <w:color w:val="auto"/>
                <w:sz w:val="21"/>
                <w:szCs w:val="21"/>
                <w:highlight w:val="none"/>
              </w:rPr>
            </w:pPr>
          </w:p>
        </w:tc>
        <w:tc>
          <w:tcPr>
            <w:tcW w:w="5650" w:type="dxa"/>
            <w:noWrap w:val="0"/>
            <w:vAlign w:val="bottom"/>
          </w:tcPr>
          <w:p w14:paraId="22E28600">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10000</w:t>
            </w:r>
            <w:r>
              <w:rPr>
                <w:rFonts w:hint="eastAsia" w:ascii="宋体" w:hAnsi="宋体" w:cs="宋体"/>
                <w:color w:val="auto"/>
                <w:sz w:val="21"/>
                <w:szCs w:val="21"/>
                <w:highlight w:val="none"/>
                <w:lang w:eastAsia="zh-CN"/>
              </w:rPr>
              <w:t>平方米</w:t>
            </w:r>
            <w:r>
              <w:rPr>
                <w:rFonts w:hint="eastAsia" w:ascii="宋体" w:hAnsi="宋体" w:eastAsia="宋体" w:cs="宋体"/>
                <w:color w:val="auto"/>
                <w:sz w:val="21"/>
                <w:szCs w:val="21"/>
                <w:highlight w:val="none"/>
              </w:rPr>
              <w:t>以上</w:t>
            </w:r>
          </w:p>
        </w:tc>
        <w:tc>
          <w:tcPr>
            <w:tcW w:w="1289" w:type="dxa"/>
            <w:noWrap w:val="0"/>
            <w:vAlign w:val="bottom"/>
          </w:tcPr>
          <w:p w14:paraId="2CFF66F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041A7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1660" w:type="dxa"/>
            <w:noWrap w:val="0"/>
            <w:vAlign w:val="center"/>
          </w:tcPr>
          <w:p w14:paraId="251C143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备注</w:t>
            </w:r>
          </w:p>
        </w:tc>
        <w:tc>
          <w:tcPr>
            <w:tcW w:w="6939" w:type="dxa"/>
            <w:gridSpan w:val="2"/>
            <w:noWrap w:val="0"/>
            <w:vAlign w:val="center"/>
          </w:tcPr>
          <w:p w14:paraId="59BBBA74">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拟对单位、直接负责的主管人员和其他直接责任人员实施罚款处罚的，应当分别套用计算公式确定罚款数额。</w:t>
            </w:r>
          </w:p>
        </w:tc>
      </w:tr>
    </w:tbl>
    <w:p w14:paraId="5CF41AB0">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p w14:paraId="02DADEFA">
      <w:pPr>
        <w:rPr>
          <w:rFonts w:hint="eastAsia" w:ascii="宋体" w:hAnsi="宋体" w:eastAsia="宋体" w:cs="宋体"/>
          <w:sz w:val="21"/>
          <w:szCs w:val="21"/>
          <w:highlight w:val="none"/>
        </w:rPr>
      </w:pPr>
    </w:p>
    <w:tbl>
      <w:tblPr>
        <w:tblStyle w:val="8"/>
        <w:tblW w:w="510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39"/>
        <w:gridCol w:w="5926"/>
        <w:gridCol w:w="1367"/>
      </w:tblGrid>
      <w:tr w14:paraId="0D4DA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8698" w:type="dxa"/>
            <w:gridSpan w:val="3"/>
            <w:noWrap w:val="0"/>
            <w:vAlign w:val="center"/>
          </w:tcPr>
          <w:p w14:paraId="75FFA631">
            <w:pPr>
              <w:jc w:val="center"/>
              <w:rPr>
                <w:rFonts w:hint="eastAsia" w:ascii="宋体" w:hAnsi="宋体" w:eastAsia="宋体" w:cs="宋体"/>
                <w:bCs/>
                <w:color w:val="auto"/>
                <w:sz w:val="21"/>
                <w:szCs w:val="21"/>
                <w:highlight w:val="none"/>
                <w:lang w:eastAsia="zh-CN"/>
              </w:rPr>
            </w:pPr>
            <w:r>
              <w:rPr>
                <w:rFonts w:hint="eastAsia" w:ascii="宋体" w:hAnsi="宋体" w:eastAsia="宋体" w:cs="宋体"/>
                <w:color w:val="auto"/>
                <w:sz w:val="21"/>
                <w:szCs w:val="21"/>
                <w:highlight w:val="none"/>
                <w:lang w:eastAsia="zh-CN"/>
              </w:rPr>
              <w:t>（七）土壤污染防治类</w:t>
            </w:r>
          </w:p>
        </w:tc>
      </w:tr>
      <w:tr w14:paraId="7C3F6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752" w:type="dxa"/>
            <w:noWrap w:val="0"/>
            <w:vAlign w:val="center"/>
          </w:tcPr>
          <w:p w14:paraId="0A1C381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946" w:type="dxa"/>
            <w:gridSpan w:val="2"/>
            <w:noWrap w:val="0"/>
            <w:vAlign w:val="center"/>
          </w:tcPr>
          <w:p w14:paraId="5E22B18E">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w:t>
            </w:r>
          </w:p>
        </w:tc>
      </w:tr>
      <w:tr w14:paraId="44E7F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752" w:type="dxa"/>
            <w:noWrap w:val="0"/>
            <w:vAlign w:val="center"/>
          </w:tcPr>
          <w:p w14:paraId="2874E36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6946" w:type="dxa"/>
            <w:gridSpan w:val="2"/>
            <w:noWrap w:val="0"/>
            <w:vAlign w:val="center"/>
          </w:tcPr>
          <w:p w14:paraId="6BCA0372">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实施风险管控、修复活动未对产生的污染物采取处理、处置措施，或者对土壤、周边环境造成新的污染的</w:t>
            </w:r>
          </w:p>
        </w:tc>
      </w:tr>
      <w:tr w14:paraId="22745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3" w:hRule="atLeast"/>
          <w:jc w:val="center"/>
        </w:trPr>
        <w:tc>
          <w:tcPr>
            <w:tcW w:w="1752" w:type="dxa"/>
            <w:noWrap w:val="0"/>
            <w:vAlign w:val="center"/>
          </w:tcPr>
          <w:p w14:paraId="2209369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6946" w:type="dxa"/>
            <w:gridSpan w:val="2"/>
            <w:noWrap w:val="0"/>
            <w:vAlign w:val="center"/>
          </w:tcPr>
          <w:p w14:paraId="132FD79F">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《中华人民共和国生态环境法典》第四百三十三条</w:t>
            </w:r>
            <w:r>
              <w:rPr>
                <w:rFonts w:hint="eastAsia" w:ascii="宋体" w:hAnsi="宋体" w:eastAsia="宋体" w:cs="宋体"/>
                <w:color w:val="auto"/>
                <w:sz w:val="21"/>
                <w:szCs w:val="21"/>
                <w:highlight w:val="none"/>
                <w:lang w:val="en-US" w:eastAsia="zh-CN"/>
              </w:rPr>
              <w:t>第二款</w:t>
            </w:r>
            <w:r>
              <w:rPr>
                <w:rFonts w:hint="eastAsia" w:ascii="宋体" w:hAnsi="宋体" w:eastAsia="宋体" w:cs="宋体"/>
                <w:color w:val="auto"/>
                <w:sz w:val="21"/>
                <w:szCs w:val="21"/>
                <w:highlight w:val="none"/>
              </w:rPr>
              <w:t xml:space="preserve">  实施风险管控、修复活动，不得对土壤和周边环境造成新的污染。</w:t>
            </w:r>
          </w:p>
          <w:p w14:paraId="6C57C7E1">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《中华人民共和国生态环境法典》第四百三十五条第一款、第二款 实施风险管控、修复活动中产生的废水、废气和固体废物，应当按照规定进行处理、处置，并达到相关生态环境保护标准。</w:t>
            </w:r>
          </w:p>
          <w:p w14:paraId="316C977E">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实施风险管控、修复活动中产生的固体废物以及拆除的设施、设备或者建筑物、构筑物属于危险废物的，应当依照法律法规规定和相关标准的要求进行处置。</w:t>
            </w:r>
          </w:p>
        </w:tc>
      </w:tr>
      <w:tr w14:paraId="7EB70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1" w:hRule="atLeast"/>
          <w:jc w:val="center"/>
        </w:trPr>
        <w:tc>
          <w:tcPr>
            <w:tcW w:w="1752" w:type="dxa"/>
            <w:noWrap w:val="0"/>
            <w:vAlign w:val="center"/>
          </w:tcPr>
          <w:p w14:paraId="6146B29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6946" w:type="dxa"/>
            <w:gridSpan w:val="2"/>
            <w:noWrap w:val="0"/>
            <w:vAlign w:val="center"/>
          </w:tcPr>
          <w:p w14:paraId="62F34D20">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《中华人民共和国生态环境法典》第一千一百六十二条</w:t>
            </w:r>
            <w:r>
              <w:rPr>
                <w:rFonts w:hint="eastAsia" w:ascii="宋体" w:hAnsi="宋体" w:eastAsia="宋体" w:cs="宋体"/>
                <w:color w:val="auto"/>
                <w:sz w:val="21"/>
                <w:szCs w:val="21"/>
                <w:highlight w:val="none"/>
                <w:lang w:val="en-US" w:eastAsia="zh-CN"/>
              </w:rPr>
              <w:t>第三项</w:t>
            </w:r>
            <w:r>
              <w:rPr>
                <w:rFonts w:hint="eastAsia" w:ascii="宋体" w:hAnsi="宋体" w:eastAsia="宋体" w:cs="宋体"/>
                <w:color w:val="auto"/>
                <w:sz w:val="21"/>
                <w:szCs w:val="21"/>
                <w:highlight w:val="none"/>
              </w:rPr>
              <w:t xml:space="preserve">  违反本法规定，有下列情形之一的，由生态环境主管部门责令改正，没收违法所得，并处十万元以上五十万元以下的罚款</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；对直接负责的主管人员和其他直接责任人员处五千元以上二万元以下的罚款：</w:t>
            </w:r>
          </w:p>
          <w:p w14:paraId="46A22065">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（三）实施风险管控、修复活动未对产生的污染物采取处理、处置措施，或者对土壤、周边环境造成新的污染；</w:t>
            </w:r>
          </w:p>
        </w:tc>
      </w:tr>
      <w:tr w14:paraId="74A0B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752" w:type="dxa"/>
            <w:noWrap w:val="0"/>
            <w:vAlign w:val="center"/>
          </w:tcPr>
          <w:p w14:paraId="3854F6E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644" w:type="dxa"/>
            <w:noWrap w:val="0"/>
            <w:vAlign w:val="center"/>
          </w:tcPr>
          <w:p w14:paraId="6C4461E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302" w:type="dxa"/>
            <w:noWrap w:val="0"/>
            <w:vAlign w:val="center"/>
          </w:tcPr>
          <w:p w14:paraId="703CA7B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03528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752" w:type="dxa"/>
            <w:vMerge w:val="restart"/>
            <w:noWrap w:val="0"/>
            <w:vAlign w:val="center"/>
          </w:tcPr>
          <w:p w14:paraId="5F64F4E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涉及污染物类型</w:t>
            </w:r>
          </w:p>
        </w:tc>
        <w:tc>
          <w:tcPr>
            <w:tcW w:w="5644" w:type="dxa"/>
            <w:noWrap w:val="0"/>
            <w:vAlign w:val="bottom"/>
          </w:tcPr>
          <w:p w14:paraId="521A2138">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危险废物、重金属、有毒有害物质以外的污染物</w:t>
            </w:r>
          </w:p>
        </w:tc>
        <w:tc>
          <w:tcPr>
            <w:tcW w:w="1302" w:type="dxa"/>
            <w:noWrap w:val="0"/>
            <w:vAlign w:val="bottom"/>
          </w:tcPr>
          <w:p w14:paraId="1D6D7C44">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r>
      <w:tr w14:paraId="41015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752" w:type="dxa"/>
            <w:vMerge w:val="continue"/>
            <w:noWrap w:val="0"/>
            <w:vAlign w:val="center"/>
          </w:tcPr>
          <w:p w14:paraId="358FE3D8">
            <w:pPr>
              <w:rPr>
                <w:rFonts w:hint="eastAsia" w:ascii="宋体" w:hAnsi="宋体" w:eastAsia="宋体" w:cs="宋体"/>
                <w:color w:val="auto"/>
                <w:sz w:val="21"/>
                <w:szCs w:val="21"/>
                <w:highlight w:val="none"/>
              </w:rPr>
            </w:pPr>
          </w:p>
        </w:tc>
        <w:tc>
          <w:tcPr>
            <w:tcW w:w="5644" w:type="dxa"/>
            <w:noWrap w:val="0"/>
            <w:vAlign w:val="bottom"/>
          </w:tcPr>
          <w:p w14:paraId="16FAF3F9">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涉及危险废物、重金属、有毒有害物质的污染物</w:t>
            </w:r>
          </w:p>
        </w:tc>
        <w:tc>
          <w:tcPr>
            <w:tcW w:w="1302" w:type="dxa"/>
            <w:noWrap w:val="0"/>
            <w:vAlign w:val="bottom"/>
          </w:tcPr>
          <w:p w14:paraId="35945584">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r>
      <w:tr w14:paraId="2BBB2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752" w:type="dxa"/>
            <w:vMerge w:val="restart"/>
            <w:noWrap w:val="0"/>
            <w:vAlign w:val="center"/>
          </w:tcPr>
          <w:p w14:paraId="4DFEEF39">
            <w:pPr>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土壤</w:t>
            </w:r>
            <w:r>
              <w:rPr>
                <w:rFonts w:hint="eastAsia" w:ascii="宋体" w:hAnsi="宋体" w:eastAsia="宋体" w:cs="宋体"/>
                <w:color w:val="auto"/>
                <w:sz w:val="21"/>
                <w:szCs w:val="21"/>
                <w:highlight w:val="none"/>
              </w:rPr>
              <w:t>污染面积</w:t>
            </w:r>
          </w:p>
        </w:tc>
        <w:tc>
          <w:tcPr>
            <w:tcW w:w="5644" w:type="dxa"/>
            <w:noWrap w:val="0"/>
            <w:vAlign w:val="center"/>
          </w:tcPr>
          <w:p w14:paraId="7763920A">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不足500</w:t>
            </w:r>
            <w:r>
              <w:rPr>
                <w:rFonts w:hint="eastAsia" w:ascii="宋体" w:hAnsi="宋体" w:cs="宋体"/>
                <w:color w:val="auto"/>
                <w:sz w:val="21"/>
                <w:szCs w:val="21"/>
                <w:highlight w:val="none"/>
                <w:lang w:eastAsia="zh-CN"/>
              </w:rPr>
              <w:t>平方米</w:t>
            </w:r>
          </w:p>
        </w:tc>
        <w:tc>
          <w:tcPr>
            <w:tcW w:w="1302" w:type="dxa"/>
            <w:noWrap w:val="0"/>
            <w:vAlign w:val="center"/>
          </w:tcPr>
          <w:p w14:paraId="4155D19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2FC24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752" w:type="dxa"/>
            <w:vMerge w:val="continue"/>
            <w:noWrap w:val="0"/>
            <w:vAlign w:val="center"/>
          </w:tcPr>
          <w:p w14:paraId="742C6F4E">
            <w:pPr>
              <w:rPr>
                <w:rFonts w:hint="eastAsia" w:ascii="宋体" w:hAnsi="宋体" w:eastAsia="宋体" w:cs="宋体"/>
                <w:color w:val="auto"/>
                <w:sz w:val="21"/>
                <w:szCs w:val="21"/>
                <w:highlight w:val="none"/>
              </w:rPr>
            </w:pPr>
          </w:p>
        </w:tc>
        <w:tc>
          <w:tcPr>
            <w:tcW w:w="5644" w:type="dxa"/>
            <w:noWrap w:val="0"/>
            <w:vAlign w:val="center"/>
          </w:tcPr>
          <w:p w14:paraId="33DAC624">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500</w:t>
            </w:r>
            <w:r>
              <w:rPr>
                <w:rFonts w:hint="eastAsia" w:ascii="宋体" w:hAnsi="宋体" w:cs="宋体"/>
                <w:color w:val="auto"/>
                <w:sz w:val="21"/>
                <w:szCs w:val="21"/>
                <w:highlight w:val="none"/>
                <w:lang w:eastAsia="zh-CN"/>
              </w:rPr>
              <w:t>平方米</w:t>
            </w:r>
            <w:r>
              <w:rPr>
                <w:rFonts w:hint="eastAsia" w:ascii="宋体" w:hAnsi="宋体" w:eastAsia="宋体" w:cs="宋体"/>
                <w:color w:val="auto"/>
                <w:sz w:val="21"/>
                <w:szCs w:val="21"/>
                <w:highlight w:val="none"/>
              </w:rPr>
              <w:t>以上不足5000</w:t>
            </w:r>
            <w:r>
              <w:rPr>
                <w:rFonts w:hint="eastAsia" w:ascii="宋体" w:hAnsi="宋体" w:cs="宋体"/>
                <w:color w:val="auto"/>
                <w:sz w:val="21"/>
                <w:szCs w:val="21"/>
                <w:highlight w:val="none"/>
                <w:lang w:eastAsia="zh-CN"/>
              </w:rPr>
              <w:t>平方米</w:t>
            </w:r>
          </w:p>
        </w:tc>
        <w:tc>
          <w:tcPr>
            <w:tcW w:w="1302" w:type="dxa"/>
            <w:noWrap w:val="0"/>
            <w:vAlign w:val="center"/>
          </w:tcPr>
          <w:p w14:paraId="37CB096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r>
      <w:tr w14:paraId="4AAAF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752" w:type="dxa"/>
            <w:vMerge w:val="continue"/>
            <w:noWrap w:val="0"/>
            <w:vAlign w:val="center"/>
          </w:tcPr>
          <w:p w14:paraId="047BB64D">
            <w:pPr>
              <w:rPr>
                <w:rFonts w:hint="eastAsia" w:ascii="宋体" w:hAnsi="宋体" w:eastAsia="宋体" w:cs="宋体"/>
                <w:color w:val="auto"/>
                <w:sz w:val="21"/>
                <w:szCs w:val="21"/>
                <w:highlight w:val="none"/>
              </w:rPr>
            </w:pPr>
          </w:p>
        </w:tc>
        <w:tc>
          <w:tcPr>
            <w:tcW w:w="5644" w:type="dxa"/>
            <w:noWrap w:val="0"/>
            <w:vAlign w:val="center"/>
          </w:tcPr>
          <w:p w14:paraId="3D5EF14E">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5000</w:t>
            </w:r>
            <w:r>
              <w:rPr>
                <w:rFonts w:hint="eastAsia" w:ascii="宋体" w:hAnsi="宋体" w:cs="宋体"/>
                <w:color w:val="auto"/>
                <w:sz w:val="21"/>
                <w:szCs w:val="21"/>
                <w:highlight w:val="none"/>
                <w:lang w:eastAsia="zh-CN"/>
              </w:rPr>
              <w:t>平方米</w:t>
            </w:r>
            <w:r>
              <w:rPr>
                <w:rFonts w:hint="eastAsia" w:ascii="宋体" w:hAnsi="宋体" w:eastAsia="宋体" w:cs="宋体"/>
                <w:color w:val="auto"/>
                <w:sz w:val="21"/>
                <w:szCs w:val="21"/>
                <w:highlight w:val="none"/>
              </w:rPr>
              <w:t xml:space="preserve"> 以上不足 10000</w:t>
            </w:r>
            <w:r>
              <w:rPr>
                <w:rFonts w:hint="eastAsia" w:ascii="宋体" w:hAnsi="宋体" w:cs="宋体"/>
                <w:color w:val="auto"/>
                <w:sz w:val="21"/>
                <w:szCs w:val="21"/>
                <w:highlight w:val="none"/>
                <w:lang w:eastAsia="zh-CN"/>
              </w:rPr>
              <w:t>平方米</w:t>
            </w:r>
            <w:r>
              <w:rPr>
                <w:rFonts w:hint="eastAsia" w:ascii="宋体" w:hAnsi="宋体" w:eastAsia="宋体" w:cs="宋体"/>
                <w:color w:val="auto"/>
                <w:sz w:val="21"/>
                <w:szCs w:val="21"/>
                <w:highlight w:val="none"/>
              </w:rPr>
              <w:t xml:space="preserve"> </w:t>
            </w:r>
          </w:p>
        </w:tc>
        <w:tc>
          <w:tcPr>
            <w:tcW w:w="1302" w:type="dxa"/>
            <w:noWrap w:val="0"/>
            <w:vAlign w:val="center"/>
          </w:tcPr>
          <w:p w14:paraId="4C0254E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3937E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752" w:type="dxa"/>
            <w:vMerge w:val="continue"/>
            <w:noWrap w:val="0"/>
            <w:vAlign w:val="center"/>
          </w:tcPr>
          <w:p w14:paraId="3CE9438B">
            <w:pPr>
              <w:rPr>
                <w:rFonts w:hint="eastAsia" w:ascii="宋体" w:hAnsi="宋体" w:eastAsia="宋体" w:cs="宋体"/>
                <w:color w:val="auto"/>
                <w:sz w:val="21"/>
                <w:szCs w:val="21"/>
                <w:highlight w:val="none"/>
              </w:rPr>
            </w:pPr>
          </w:p>
        </w:tc>
        <w:tc>
          <w:tcPr>
            <w:tcW w:w="5644" w:type="dxa"/>
            <w:noWrap w:val="0"/>
            <w:vAlign w:val="center"/>
          </w:tcPr>
          <w:p w14:paraId="2662CA0F">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10000</w:t>
            </w:r>
            <w:r>
              <w:rPr>
                <w:rFonts w:hint="eastAsia" w:ascii="宋体" w:hAnsi="宋体" w:cs="宋体"/>
                <w:color w:val="auto"/>
                <w:sz w:val="21"/>
                <w:szCs w:val="21"/>
                <w:highlight w:val="none"/>
                <w:lang w:eastAsia="zh-CN"/>
              </w:rPr>
              <w:t>平方米</w:t>
            </w:r>
            <w:r>
              <w:rPr>
                <w:rFonts w:hint="eastAsia" w:ascii="宋体" w:hAnsi="宋体" w:eastAsia="宋体" w:cs="宋体"/>
                <w:color w:val="auto"/>
                <w:sz w:val="21"/>
                <w:szCs w:val="21"/>
                <w:highlight w:val="none"/>
              </w:rPr>
              <w:t xml:space="preserve"> 以上不足 20000</w:t>
            </w:r>
            <w:r>
              <w:rPr>
                <w:rFonts w:hint="eastAsia" w:ascii="宋体" w:hAnsi="宋体" w:cs="宋体"/>
                <w:color w:val="auto"/>
                <w:sz w:val="21"/>
                <w:szCs w:val="21"/>
                <w:highlight w:val="none"/>
                <w:lang w:eastAsia="zh-CN"/>
              </w:rPr>
              <w:t>平方米</w:t>
            </w:r>
            <w:r>
              <w:rPr>
                <w:rFonts w:hint="eastAsia" w:ascii="宋体" w:hAnsi="宋体" w:eastAsia="宋体" w:cs="宋体"/>
                <w:color w:val="auto"/>
                <w:sz w:val="21"/>
                <w:szCs w:val="21"/>
                <w:highlight w:val="none"/>
              </w:rPr>
              <w:t xml:space="preserve"> </w:t>
            </w:r>
          </w:p>
        </w:tc>
        <w:tc>
          <w:tcPr>
            <w:tcW w:w="1302" w:type="dxa"/>
            <w:noWrap w:val="0"/>
            <w:vAlign w:val="center"/>
          </w:tcPr>
          <w:p w14:paraId="008B63D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r>
      <w:tr w14:paraId="5AEC4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752" w:type="dxa"/>
            <w:vMerge w:val="continue"/>
            <w:noWrap w:val="0"/>
            <w:vAlign w:val="center"/>
          </w:tcPr>
          <w:p w14:paraId="2581769C">
            <w:pPr>
              <w:rPr>
                <w:rFonts w:hint="eastAsia" w:ascii="宋体" w:hAnsi="宋体" w:eastAsia="宋体" w:cs="宋体"/>
                <w:color w:val="auto"/>
                <w:sz w:val="21"/>
                <w:szCs w:val="21"/>
                <w:highlight w:val="none"/>
              </w:rPr>
            </w:pPr>
          </w:p>
        </w:tc>
        <w:tc>
          <w:tcPr>
            <w:tcW w:w="5644" w:type="dxa"/>
            <w:noWrap w:val="0"/>
            <w:vAlign w:val="center"/>
          </w:tcPr>
          <w:p w14:paraId="0D695FAB">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20000</w:t>
            </w:r>
            <w:r>
              <w:rPr>
                <w:rFonts w:hint="eastAsia" w:ascii="宋体" w:hAnsi="宋体" w:cs="宋体"/>
                <w:color w:val="auto"/>
                <w:sz w:val="21"/>
                <w:szCs w:val="21"/>
                <w:highlight w:val="none"/>
                <w:lang w:eastAsia="zh-CN"/>
              </w:rPr>
              <w:t>平方米</w:t>
            </w:r>
            <w:r>
              <w:rPr>
                <w:rFonts w:hint="eastAsia" w:ascii="宋体" w:hAnsi="宋体" w:eastAsia="宋体" w:cs="宋体"/>
                <w:color w:val="auto"/>
                <w:sz w:val="21"/>
                <w:szCs w:val="21"/>
                <w:highlight w:val="none"/>
              </w:rPr>
              <w:t xml:space="preserve"> 以上</w:t>
            </w:r>
          </w:p>
        </w:tc>
        <w:tc>
          <w:tcPr>
            <w:tcW w:w="1302" w:type="dxa"/>
            <w:noWrap w:val="0"/>
            <w:vAlign w:val="center"/>
          </w:tcPr>
          <w:p w14:paraId="082A498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7E6D4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1752" w:type="dxa"/>
            <w:noWrap w:val="0"/>
            <w:vAlign w:val="center"/>
          </w:tcPr>
          <w:p w14:paraId="4A3DE0D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备注</w:t>
            </w:r>
          </w:p>
        </w:tc>
        <w:tc>
          <w:tcPr>
            <w:tcW w:w="6946" w:type="dxa"/>
            <w:gridSpan w:val="2"/>
            <w:noWrap w:val="0"/>
            <w:vAlign w:val="center"/>
          </w:tcPr>
          <w:p w14:paraId="5167D623">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拟对单位、直接负责的主管人员和其他直接责任人员实施罚款处罚的，应当分别套用计算公式确定罚款数额。</w:t>
            </w:r>
          </w:p>
        </w:tc>
      </w:tr>
    </w:tbl>
    <w:p w14:paraId="5A2081EB">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510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46"/>
        <w:gridCol w:w="5906"/>
        <w:gridCol w:w="1379"/>
      </w:tblGrid>
      <w:tr w14:paraId="54636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8696" w:type="dxa"/>
            <w:gridSpan w:val="3"/>
            <w:noWrap w:val="0"/>
            <w:vAlign w:val="center"/>
          </w:tcPr>
          <w:p w14:paraId="72E48760">
            <w:pPr>
              <w:jc w:val="center"/>
              <w:rPr>
                <w:rFonts w:hint="eastAsia" w:ascii="宋体" w:hAnsi="宋体" w:eastAsia="宋体" w:cs="宋体"/>
                <w:bCs/>
                <w:color w:val="auto"/>
                <w:sz w:val="21"/>
                <w:szCs w:val="21"/>
                <w:highlight w:val="none"/>
                <w:lang w:val="en-US" w:eastAsia="zh-CN"/>
              </w:rPr>
            </w:pPr>
            <w:r>
              <w:rPr>
                <w:rFonts w:hint="eastAsia" w:ascii="宋体" w:hAnsi="宋体" w:eastAsia="宋体" w:cs="宋体"/>
                <w:color w:val="auto"/>
                <w:sz w:val="21"/>
                <w:szCs w:val="21"/>
                <w:highlight w:val="none"/>
                <w:lang w:eastAsia="zh-CN"/>
              </w:rPr>
              <w:t>（七）土壤污染防治类</w:t>
            </w:r>
          </w:p>
        </w:tc>
      </w:tr>
      <w:tr w14:paraId="2B5B4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758" w:type="dxa"/>
            <w:noWrap w:val="0"/>
            <w:vAlign w:val="center"/>
          </w:tcPr>
          <w:p w14:paraId="736E731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938" w:type="dxa"/>
            <w:gridSpan w:val="2"/>
            <w:noWrap w:val="0"/>
            <w:vAlign w:val="center"/>
          </w:tcPr>
          <w:p w14:paraId="6DE8FC23">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w:t>
            </w:r>
          </w:p>
        </w:tc>
      </w:tr>
      <w:tr w14:paraId="75BF8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758" w:type="dxa"/>
            <w:noWrap w:val="0"/>
            <w:vAlign w:val="center"/>
          </w:tcPr>
          <w:p w14:paraId="57EF73E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6938" w:type="dxa"/>
            <w:gridSpan w:val="2"/>
            <w:noWrap w:val="0"/>
            <w:vAlign w:val="center"/>
          </w:tcPr>
          <w:p w14:paraId="12E5A25F">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转运的污染土壤属于危险废物的，修复施工单位未依法进行处置的</w:t>
            </w:r>
          </w:p>
        </w:tc>
      </w:tr>
      <w:tr w14:paraId="0DA0A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3" w:hRule="atLeast"/>
          <w:jc w:val="center"/>
        </w:trPr>
        <w:tc>
          <w:tcPr>
            <w:tcW w:w="1758" w:type="dxa"/>
            <w:noWrap w:val="0"/>
            <w:vAlign w:val="center"/>
          </w:tcPr>
          <w:p w14:paraId="15B6F90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6938" w:type="dxa"/>
            <w:gridSpan w:val="2"/>
            <w:noWrap w:val="0"/>
            <w:vAlign w:val="center"/>
          </w:tcPr>
          <w:p w14:paraId="007DE376">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《中华人民共和国生态环境法典》第四百三十六条</w:t>
            </w:r>
            <w:r>
              <w:rPr>
                <w:rFonts w:hint="eastAsia" w:ascii="宋体" w:hAnsi="宋体" w:eastAsia="宋体" w:cs="宋体"/>
                <w:color w:val="auto"/>
                <w:sz w:val="21"/>
                <w:szCs w:val="21"/>
                <w:highlight w:val="none"/>
                <w:lang w:val="en-US" w:eastAsia="zh-CN"/>
              </w:rPr>
              <w:t>第二款</w:t>
            </w:r>
            <w:r>
              <w:rPr>
                <w:rFonts w:hint="eastAsia" w:ascii="宋体" w:hAnsi="宋体" w:eastAsia="宋体" w:cs="宋体"/>
                <w:color w:val="auto"/>
                <w:sz w:val="21"/>
                <w:szCs w:val="21"/>
                <w:highlight w:val="none"/>
              </w:rPr>
              <w:t xml:space="preserve">  转运的污染土壤属于危险废物的，修复施工单位应当依照法律法规规定和相关标准的要求进行处置。</w:t>
            </w:r>
          </w:p>
        </w:tc>
      </w:tr>
      <w:tr w14:paraId="00DEC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3" w:hRule="atLeast"/>
          <w:jc w:val="center"/>
        </w:trPr>
        <w:tc>
          <w:tcPr>
            <w:tcW w:w="1758" w:type="dxa"/>
            <w:noWrap w:val="0"/>
            <w:vAlign w:val="center"/>
          </w:tcPr>
          <w:p w14:paraId="4B780AC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6938" w:type="dxa"/>
            <w:gridSpan w:val="2"/>
            <w:noWrap w:val="0"/>
            <w:vAlign w:val="center"/>
          </w:tcPr>
          <w:p w14:paraId="31DF6618">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《中华人民共和国生态环境法典》第一千一百六十二条</w:t>
            </w:r>
            <w:r>
              <w:rPr>
                <w:rFonts w:hint="eastAsia" w:ascii="宋体" w:hAnsi="宋体" w:eastAsia="宋体" w:cs="宋体"/>
                <w:color w:val="auto"/>
                <w:sz w:val="21"/>
                <w:szCs w:val="21"/>
                <w:highlight w:val="none"/>
                <w:lang w:val="en-US" w:eastAsia="zh-CN"/>
              </w:rPr>
              <w:t>第四项</w:t>
            </w:r>
            <w:r>
              <w:rPr>
                <w:rFonts w:hint="eastAsia" w:ascii="宋体" w:hAnsi="宋体" w:eastAsia="宋体" w:cs="宋体"/>
                <w:color w:val="auto"/>
                <w:sz w:val="21"/>
                <w:szCs w:val="21"/>
                <w:highlight w:val="none"/>
              </w:rPr>
              <w:t xml:space="preserve">  违反本法规定，有下列情形之一的，由生态环境主管部门责令改正，没收违法所得，并处十万元以上五十万元以下的罚款</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；对直接负责的主管人员和其他直接责任人员处五千元以上二万元以下的罚款：</w:t>
            </w:r>
          </w:p>
          <w:p w14:paraId="1B7BA470">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（四）转运的污染土壤属于危险废物的，修复施工单位未依法进行处置；</w:t>
            </w:r>
          </w:p>
        </w:tc>
      </w:tr>
      <w:tr w14:paraId="67E01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758" w:type="dxa"/>
            <w:noWrap w:val="0"/>
            <w:vAlign w:val="center"/>
          </w:tcPr>
          <w:p w14:paraId="4153F51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625" w:type="dxa"/>
            <w:noWrap w:val="0"/>
            <w:vAlign w:val="center"/>
          </w:tcPr>
          <w:p w14:paraId="1A57339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313" w:type="dxa"/>
            <w:noWrap w:val="0"/>
            <w:vAlign w:val="center"/>
          </w:tcPr>
          <w:p w14:paraId="2E96446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67D41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758" w:type="dxa"/>
            <w:vMerge w:val="restart"/>
            <w:noWrap w:val="0"/>
            <w:vAlign w:val="center"/>
          </w:tcPr>
          <w:p w14:paraId="280135B0">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288" w:lineRule="exact"/>
              <w:ind w:left="0" w:right="0" w:rightChars="0" w:firstLine="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转运土壤</w:t>
            </w:r>
          </w:p>
          <w:p w14:paraId="34C2ED06">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288"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数量</w:t>
            </w:r>
          </w:p>
        </w:tc>
        <w:tc>
          <w:tcPr>
            <w:tcW w:w="5625" w:type="dxa"/>
            <w:noWrap w:val="0"/>
            <w:vAlign w:val="center"/>
          </w:tcPr>
          <w:p w14:paraId="1A8B186A">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288" w:lineRule="exact"/>
              <w:ind w:left="0" w:leftChars="0" w:right="0" w:rightChars="0"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2吨</w:t>
            </w:r>
            <w:r>
              <w:rPr>
                <w:rFonts w:hint="eastAsia" w:ascii="宋体" w:hAnsi="宋体" w:eastAsia="宋体" w:cs="宋体"/>
                <w:color w:val="auto"/>
                <w:spacing w:val="5"/>
                <w:sz w:val="21"/>
                <w:szCs w:val="21"/>
                <w:highlight w:val="none"/>
                <w:lang w:eastAsia="zh-CN"/>
              </w:rPr>
              <w:t>以下</w:t>
            </w:r>
          </w:p>
        </w:tc>
        <w:tc>
          <w:tcPr>
            <w:tcW w:w="1313" w:type="dxa"/>
            <w:noWrap w:val="0"/>
            <w:vAlign w:val="center"/>
          </w:tcPr>
          <w:p w14:paraId="28A76DC6">
            <w:pPr>
              <w:keepNext w:val="0"/>
              <w:keepLines w:val="0"/>
              <w:pageBreakBefore w:val="0"/>
              <w:widowControl w:val="0"/>
              <w:shd w:val="clear" w:color="auto" w:fill="auto"/>
              <w:kinsoku/>
              <w:wordWrap/>
              <w:overflowPunct/>
              <w:topLinePunct w:val="0"/>
              <w:autoSpaceDE w:val="0"/>
              <w:autoSpaceDN w:val="0"/>
              <w:bidi w:val="0"/>
              <w:adjustRightInd w:val="0"/>
              <w:snapToGrid w:val="0"/>
              <w:spacing w:line="288"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2F997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758" w:type="dxa"/>
            <w:vMerge w:val="continue"/>
            <w:noWrap w:val="0"/>
            <w:vAlign w:val="center"/>
          </w:tcPr>
          <w:p w14:paraId="65BF989F">
            <w:pPr>
              <w:keepNext w:val="0"/>
              <w:keepLines w:val="0"/>
              <w:pageBreakBefore w:val="0"/>
              <w:widowControl w:val="0"/>
              <w:shd w:val="clear" w:color="auto" w:fill="auto"/>
              <w:kinsoku/>
              <w:wordWrap/>
              <w:overflowPunct/>
              <w:topLinePunct w:val="0"/>
              <w:autoSpaceDE w:val="0"/>
              <w:autoSpaceDN w:val="0"/>
              <w:bidi w:val="0"/>
              <w:adjustRightInd w:val="0"/>
              <w:snapToGrid w:val="0"/>
              <w:spacing w:line="288"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p>
        </w:tc>
        <w:tc>
          <w:tcPr>
            <w:tcW w:w="5625" w:type="dxa"/>
            <w:noWrap w:val="0"/>
            <w:vAlign w:val="center"/>
          </w:tcPr>
          <w:p w14:paraId="67F8604B">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288" w:lineRule="exact"/>
              <w:ind w:left="0" w:leftChars="0" w:right="0" w:rightChars="0"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2吨以上5吨</w:t>
            </w:r>
            <w:r>
              <w:rPr>
                <w:rFonts w:hint="eastAsia" w:ascii="宋体" w:hAnsi="宋体" w:eastAsia="宋体" w:cs="宋体"/>
                <w:color w:val="auto"/>
                <w:spacing w:val="5"/>
                <w:sz w:val="21"/>
                <w:szCs w:val="21"/>
                <w:highlight w:val="none"/>
                <w:lang w:eastAsia="zh-CN"/>
              </w:rPr>
              <w:t>以下</w:t>
            </w:r>
          </w:p>
        </w:tc>
        <w:tc>
          <w:tcPr>
            <w:tcW w:w="1313" w:type="dxa"/>
            <w:noWrap w:val="0"/>
            <w:vAlign w:val="center"/>
          </w:tcPr>
          <w:p w14:paraId="6DC20CEC">
            <w:pPr>
              <w:keepNext w:val="0"/>
              <w:keepLines w:val="0"/>
              <w:pageBreakBefore w:val="0"/>
              <w:widowControl w:val="0"/>
              <w:shd w:val="clear" w:color="auto" w:fill="auto"/>
              <w:kinsoku/>
              <w:wordWrap/>
              <w:overflowPunct/>
              <w:topLinePunct w:val="0"/>
              <w:autoSpaceDE w:val="0"/>
              <w:autoSpaceDN w:val="0"/>
              <w:bidi w:val="0"/>
              <w:adjustRightInd w:val="0"/>
              <w:snapToGrid w:val="0"/>
              <w:spacing w:line="288"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r>
      <w:tr w14:paraId="738EE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758" w:type="dxa"/>
            <w:vMerge w:val="continue"/>
            <w:noWrap w:val="0"/>
            <w:vAlign w:val="center"/>
          </w:tcPr>
          <w:p w14:paraId="2D40E642">
            <w:pPr>
              <w:keepNext w:val="0"/>
              <w:keepLines w:val="0"/>
              <w:pageBreakBefore w:val="0"/>
              <w:widowControl w:val="0"/>
              <w:shd w:val="clear" w:color="auto" w:fill="auto"/>
              <w:kinsoku/>
              <w:wordWrap/>
              <w:overflowPunct/>
              <w:topLinePunct w:val="0"/>
              <w:autoSpaceDE w:val="0"/>
              <w:autoSpaceDN w:val="0"/>
              <w:bidi w:val="0"/>
              <w:adjustRightInd w:val="0"/>
              <w:snapToGrid w:val="0"/>
              <w:spacing w:line="288"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p>
        </w:tc>
        <w:tc>
          <w:tcPr>
            <w:tcW w:w="5625" w:type="dxa"/>
            <w:noWrap w:val="0"/>
            <w:vAlign w:val="center"/>
          </w:tcPr>
          <w:p w14:paraId="088C0603">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288" w:lineRule="exact"/>
              <w:ind w:left="0" w:leftChars="0" w:right="0" w:rightChars="0"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5吨以上10吨</w:t>
            </w:r>
            <w:r>
              <w:rPr>
                <w:rFonts w:hint="eastAsia" w:ascii="宋体" w:hAnsi="宋体" w:eastAsia="宋体" w:cs="宋体"/>
                <w:color w:val="auto"/>
                <w:spacing w:val="5"/>
                <w:sz w:val="21"/>
                <w:szCs w:val="21"/>
                <w:highlight w:val="none"/>
                <w:lang w:eastAsia="zh-CN"/>
              </w:rPr>
              <w:t>以下</w:t>
            </w:r>
          </w:p>
        </w:tc>
        <w:tc>
          <w:tcPr>
            <w:tcW w:w="1313" w:type="dxa"/>
            <w:noWrap w:val="0"/>
            <w:vAlign w:val="center"/>
          </w:tcPr>
          <w:p w14:paraId="4FB380CA">
            <w:pPr>
              <w:keepNext w:val="0"/>
              <w:keepLines w:val="0"/>
              <w:pageBreakBefore w:val="0"/>
              <w:widowControl w:val="0"/>
              <w:shd w:val="clear" w:color="auto" w:fill="auto"/>
              <w:kinsoku/>
              <w:wordWrap/>
              <w:overflowPunct/>
              <w:topLinePunct w:val="0"/>
              <w:autoSpaceDE w:val="0"/>
              <w:autoSpaceDN w:val="0"/>
              <w:bidi w:val="0"/>
              <w:adjustRightInd w:val="0"/>
              <w:snapToGrid w:val="0"/>
              <w:spacing w:line="288"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522FB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758" w:type="dxa"/>
            <w:vMerge w:val="continue"/>
            <w:noWrap w:val="0"/>
            <w:vAlign w:val="center"/>
          </w:tcPr>
          <w:p w14:paraId="1D19BD7A">
            <w:pPr>
              <w:keepNext w:val="0"/>
              <w:keepLines w:val="0"/>
              <w:pageBreakBefore w:val="0"/>
              <w:widowControl w:val="0"/>
              <w:shd w:val="clear" w:color="auto" w:fill="auto"/>
              <w:kinsoku/>
              <w:wordWrap/>
              <w:overflowPunct/>
              <w:topLinePunct w:val="0"/>
              <w:autoSpaceDE w:val="0"/>
              <w:autoSpaceDN w:val="0"/>
              <w:bidi w:val="0"/>
              <w:adjustRightInd w:val="0"/>
              <w:snapToGrid w:val="0"/>
              <w:spacing w:line="288"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p>
        </w:tc>
        <w:tc>
          <w:tcPr>
            <w:tcW w:w="5625" w:type="dxa"/>
            <w:noWrap w:val="0"/>
            <w:vAlign w:val="center"/>
          </w:tcPr>
          <w:p w14:paraId="07358590">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288" w:lineRule="exact"/>
              <w:ind w:left="0" w:leftChars="0" w:right="0" w:rightChars="0" w:firstLine="420" w:firstLineChars="200"/>
              <w:textAlignment w:val="baseline"/>
              <w:rPr>
                <w:rFonts w:hint="eastAsia" w:ascii="宋体" w:hAnsi="宋体" w:eastAsia="宋体" w:cs="宋体"/>
                <w:b/>
                <w:bCs/>
                <w:kern w:val="2"/>
                <w:sz w:val="21"/>
                <w:szCs w:val="21"/>
                <w:highlight w:val="none"/>
                <w:lang w:val="en-US" w:eastAsia="zh-CN" w:bidi="ar-SA"/>
              </w:rPr>
            </w:pPr>
            <w:r>
              <w:rPr>
                <w:rFonts w:hint="eastAsia" w:ascii="宋体" w:hAnsi="宋体" w:eastAsia="宋体" w:cs="宋体"/>
                <w:color w:val="auto"/>
                <w:sz w:val="21"/>
                <w:szCs w:val="21"/>
                <w:highlight w:val="none"/>
              </w:rPr>
              <w:t>10吨以上20吨</w:t>
            </w:r>
            <w:r>
              <w:rPr>
                <w:rFonts w:hint="eastAsia" w:ascii="宋体" w:hAnsi="宋体" w:eastAsia="宋体" w:cs="宋体"/>
                <w:color w:val="auto"/>
                <w:spacing w:val="5"/>
                <w:sz w:val="21"/>
                <w:szCs w:val="21"/>
                <w:highlight w:val="none"/>
                <w:lang w:eastAsia="zh-CN"/>
              </w:rPr>
              <w:t>以下</w:t>
            </w:r>
          </w:p>
        </w:tc>
        <w:tc>
          <w:tcPr>
            <w:tcW w:w="1313" w:type="dxa"/>
            <w:noWrap w:val="0"/>
            <w:vAlign w:val="center"/>
          </w:tcPr>
          <w:p w14:paraId="2C146FA5">
            <w:pPr>
              <w:keepNext w:val="0"/>
              <w:keepLines w:val="0"/>
              <w:pageBreakBefore w:val="0"/>
              <w:widowControl w:val="0"/>
              <w:shd w:val="clear" w:color="auto" w:fill="auto"/>
              <w:kinsoku/>
              <w:wordWrap/>
              <w:overflowPunct/>
              <w:topLinePunct w:val="0"/>
              <w:autoSpaceDE w:val="0"/>
              <w:autoSpaceDN w:val="0"/>
              <w:bidi w:val="0"/>
              <w:adjustRightInd w:val="0"/>
              <w:snapToGrid w:val="0"/>
              <w:spacing w:line="288"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4</w:t>
            </w:r>
          </w:p>
        </w:tc>
      </w:tr>
      <w:tr w14:paraId="3E75A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758" w:type="dxa"/>
            <w:vMerge w:val="continue"/>
            <w:noWrap w:val="0"/>
            <w:vAlign w:val="center"/>
          </w:tcPr>
          <w:p w14:paraId="71EA166B">
            <w:pPr>
              <w:keepNext w:val="0"/>
              <w:keepLines w:val="0"/>
              <w:pageBreakBefore w:val="0"/>
              <w:widowControl w:val="0"/>
              <w:shd w:val="clear" w:color="auto" w:fill="auto"/>
              <w:kinsoku/>
              <w:wordWrap/>
              <w:overflowPunct/>
              <w:topLinePunct w:val="0"/>
              <w:autoSpaceDE w:val="0"/>
              <w:autoSpaceDN w:val="0"/>
              <w:bidi w:val="0"/>
              <w:adjustRightInd w:val="0"/>
              <w:snapToGrid w:val="0"/>
              <w:spacing w:line="288"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p>
        </w:tc>
        <w:tc>
          <w:tcPr>
            <w:tcW w:w="5625" w:type="dxa"/>
            <w:noWrap w:val="0"/>
            <w:vAlign w:val="center"/>
          </w:tcPr>
          <w:p w14:paraId="170C9AFF">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288" w:lineRule="exact"/>
              <w:ind w:left="0" w:leftChars="0" w:right="0" w:rightChars="0" w:firstLine="420" w:firstLineChars="200"/>
              <w:textAlignment w:val="baseline"/>
              <w:rPr>
                <w:rFonts w:hint="eastAsia" w:ascii="宋体" w:hAnsi="宋体" w:eastAsia="宋体" w:cs="宋体"/>
                <w:b/>
                <w:bCs/>
                <w:kern w:val="2"/>
                <w:sz w:val="21"/>
                <w:szCs w:val="21"/>
                <w:highlight w:val="none"/>
                <w:lang w:val="en-US" w:eastAsia="zh-CN" w:bidi="ar-SA"/>
              </w:rPr>
            </w:pPr>
            <w:r>
              <w:rPr>
                <w:rFonts w:hint="eastAsia" w:ascii="宋体" w:hAnsi="宋体" w:eastAsia="宋体" w:cs="宋体"/>
                <w:color w:val="auto"/>
                <w:sz w:val="21"/>
                <w:szCs w:val="21"/>
                <w:highlight w:val="none"/>
              </w:rPr>
              <w:t>20吨以上</w:t>
            </w:r>
          </w:p>
        </w:tc>
        <w:tc>
          <w:tcPr>
            <w:tcW w:w="1313" w:type="dxa"/>
            <w:noWrap w:val="0"/>
            <w:vAlign w:val="center"/>
          </w:tcPr>
          <w:p w14:paraId="29A441AC">
            <w:pPr>
              <w:keepNext w:val="0"/>
              <w:keepLines w:val="0"/>
              <w:pageBreakBefore w:val="0"/>
              <w:widowControl w:val="0"/>
              <w:shd w:val="clear" w:color="auto" w:fill="auto"/>
              <w:kinsoku/>
              <w:wordWrap/>
              <w:overflowPunct/>
              <w:topLinePunct w:val="0"/>
              <w:autoSpaceDE w:val="0"/>
              <w:autoSpaceDN w:val="0"/>
              <w:bidi w:val="0"/>
              <w:adjustRightInd w:val="0"/>
              <w:snapToGrid w:val="0"/>
              <w:spacing w:line="288"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33D4F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1758" w:type="dxa"/>
            <w:noWrap w:val="0"/>
            <w:vAlign w:val="center"/>
          </w:tcPr>
          <w:p w14:paraId="711173F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备注</w:t>
            </w:r>
          </w:p>
        </w:tc>
        <w:tc>
          <w:tcPr>
            <w:tcW w:w="6938" w:type="dxa"/>
            <w:gridSpan w:val="2"/>
            <w:noWrap w:val="0"/>
            <w:vAlign w:val="center"/>
          </w:tcPr>
          <w:p w14:paraId="4C7CE8A6">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拟对单位、直接负责的主管人员和其他直接责任人员实施罚款处罚的，应当分别套用计算公式确定罚款数额。</w:t>
            </w:r>
          </w:p>
        </w:tc>
      </w:tr>
    </w:tbl>
    <w:p w14:paraId="3A85B930">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505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26"/>
        <w:gridCol w:w="5866"/>
        <w:gridCol w:w="1354"/>
      </w:tblGrid>
      <w:tr w14:paraId="262C9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8616" w:type="dxa"/>
            <w:gridSpan w:val="3"/>
            <w:noWrap w:val="0"/>
            <w:vAlign w:val="center"/>
          </w:tcPr>
          <w:p w14:paraId="384F62C4">
            <w:pPr>
              <w:jc w:val="center"/>
              <w:rPr>
                <w:rFonts w:hint="eastAsia" w:ascii="宋体" w:hAnsi="宋体" w:eastAsia="宋体" w:cs="宋体"/>
                <w:bCs/>
                <w:color w:val="auto"/>
                <w:sz w:val="21"/>
                <w:szCs w:val="21"/>
                <w:highlight w:val="none"/>
                <w:lang w:eastAsia="zh-CN"/>
              </w:rPr>
            </w:pPr>
            <w:r>
              <w:rPr>
                <w:rFonts w:hint="eastAsia" w:ascii="宋体" w:hAnsi="宋体" w:eastAsia="宋体" w:cs="宋体"/>
                <w:color w:val="auto"/>
                <w:sz w:val="21"/>
                <w:szCs w:val="21"/>
                <w:highlight w:val="none"/>
                <w:lang w:eastAsia="zh-CN"/>
              </w:rPr>
              <w:t>（七）土壤污染防治类</w:t>
            </w:r>
          </w:p>
        </w:tc>
      </w:tr>
      <w:tr w14:paraId="1C53C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1739" w:type="dxa"/>
            <w:noWrap w:val="0"/>
            <w:vAlign w:val="center"/>
          </w:tcPr>
          <w:p w14:paraId="45F51B2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877" w:type="dxa"/>
            <w:gridSpan w:val="2"/>
            <w:noWrap w:val="0"/>
            <w:vAlign w:val="center"/>
          </w:tcPr>
          <w:p w14:paraId="0E657EBD">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w:t>
            </w:r>
          </w:p>
        </w:tc>
      </w:tr>
      <w:tr w14:paraId="2141C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9" w:hRule="atLeast"/>
          <w:jc w:val="center"/>
        </w:trPr>
        <w:tc>
          <w:tcPr>
            <w:tcW w:w="1739" w:type="dxa"/>
            <w:noWrap w:val="0"/>
            <w:vAlign w:val="center"/>
          </w:tcPr>
          <w:p w14:paraId="4A6733F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6877" w:type="dxa"/>
            <w:gridSpan w:val="2"/>
            <w:noWrap w:val="0"/>
            <w:vAlign w:val="center"/>
          </w:tcPr>
          <w:p w14:paraId="0E47026D">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转运污染土壤，未将运输时间、方式、线路和污染土壤数量、去向、最终处置措施等提前报所在地和接受地生态环境主管部门的</w:t>
            </w:r>
          </w:p>
        </w:tc>
      </w:tr>
      <w:tr w14:paraId="6B5ED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jc w:val="center"/>
        </w:trPr>
        <w:tc>
          <w:tcPr>
            <w:tcW w:w="1739" w:type="dxa"/>
            <w:noWrap w:val="0"/>
            <w:vAlign w:val="center"/>
          </w:tcPr>
          <w:p w14:paraId="692533B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6877" w:type="dxa"/>
            <w:gridSpan w:val="2"/>
            <w:noWrap w:val="0"/>
            <w:vAlign w:val="center"/>
          </w:tcPr>
          <w:p w14:paraId="15FC33E9">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《中华人民共和国生态环境法典》第四百三十六条</w:t>
            </w:r>
            <w:r>
              <w:rPr>
                <w:rFonts w:hint="eastAsia" w:ascii="宋体" w:hAnsi="宋体" w:eastAsia="宋体" w:cs="宋体"/>
                <w:color w:val="auto"/>
                <w:sz w:val="21"/>
                <w:szCs w:val="21"/>
                <w:highlight w:val="none"/>
                <w:lang w:val="en-US" w:eastAsia="zh-CN"/>
              </w:rPr>
              <w:t>第一款</w:t>
            </w:r>
            <w:r>
              <w:rPr>
                <w:rFonts w:hint="eastAsia" w:ascii="宋体" w:hAnsi="宋体" w:eastAsia="宋体" w:cs="宋体"/>
                <w:color w:val="auto"/>
                <w:sz w:val="21"/>
                <w:szCs w:val="21"/>
                <w:highlight w:val="none"/>
              </w:rPr>
              <w:t xml:space="preserve">  修复施工单位转运污染土壤的，应当制定转运计划，将运输时间、方式、线路和污染土壤数量、去向、最终处置措施等，提前报送所在地和接受地生态环境主管部门。</w:t>
            </w:r>
          </w:p>
        </w:tc>
      </w:tr>
      <w:tr w14:paraId="74A75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1739" w:type="dxa"/>
            <w:noWrap w:val="0"/>
            <w:vAlign w:val="center"/>
          </w:tcPr>
          <w:p w14:paraId="2414AC7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6877" w:type="dxa"/>
            <w:gridSpan w:val="2"/>
            <w:noWrap w:val="0"/>
            <w:vAlign w:val="center"/>
          </w:tcPr>
          <w:p w14:paraId="6E189C77">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《中华人民共和国生态环境法典》第一千一百六十二条</w:t>
            </w:r>
            <w:r>
              <w:rPr>
                <w:rFonts w:hint="eastAsia" w:ascii="宋体" w:hAnsi="宋体" w:cs="宋体"/>
                <w:color w:val="auto"/>
                <w:sz w:val="21"/>
                <w:szCs w:val="21"/>
                <w:highlight w:val="none"/>
                <w:lang w:val="en-US" w:eastAsia="zh-CN"/>
              </w:rPr>
              <w:t>第五项</w:t>
            </w:r>
            <w:r>
              <w:rPr>
                <w:rFonts w:hint="eastAsia" w:ascii="宋体" w:hAnsi="宋体" w:eastAsia="宋体" w:cs="宋体"/>
                <w:color w:val="auto"/>
                <w:sz w:val="21"/>
                <w:szCs w:val="21"/>
                <w:highlight w:val="none"/>
              </w:rPr>
              <w:t xml:space="preserve">  违反本法规定，有下列情形之一的，由生态环境主管部门责令改正，没收违法所得，并处十万元以上五十万元以下的罚款</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；对直接负责的主管人员和其他直接责任人员处五千元以上二万元以下的罚款：</w:t>
            </w:r>
          </w:p>
          <w:p w14:paraId="02ABC309">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（五）转运污染土壤，未将运输时间、方式、线路和污染土壤数量、去向、最终处置措施等提前报所在地和接受地生态环境主管部门；</w:t>
            </w:r>
          </w:p>
        </w:tc>
      </w:tr>
      <w:tr w14:paraId="33757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1739" w:type="dxa"/>
            <w:noWrap w:val="0"/>
            <w:vAlign w:val="center"/>
          </w:tcPr>
          <w:p w14:paraId="1C01E5D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587" w:type="dxa"/>
            <w:noWrap w:val="0"/>
            <w:vAlign w:val="center"/>
          </w:tcPr>
          <w:p w14:paraId="5D44A1C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290" w:type="dxa"/>
            <w:noWrap w:val="0"/>
            <w:vAlign w:val="center"/>
          </w:tcPr>
          <w:p w14:paraId="61BAAA1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5347C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1739" w:type="dxa"/>
            <w:vMerge w:val="restart"/>
            <w:noWrap w:val="0"/>
            <w:vAlign w:val="center"/>
          </w:tcPr>
          <w:p w14:paraId="2FBFDA98">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违法事实</w:t>
            </w:r>
          </w:p>
        </w:tc>
        <w:tc>
          <w:tcPr>
            <w:tcW w:w="5587" w:type="dxa"/>
            <w:noWrap w:val="0"/>
            <w:vAlign w:val="center"/>
          </w:tcPr>
          <w:p w14:paraId="4F902F42">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报告不及时、不完全</w:t>
            </w:r>
          </w:p>
        </w:tc>
        <w:tc>
          <w:tcPr>
            <w:tcW w:w="1290" w:type="dxa"/>
            <w:noWrap w:val="0"/>
            <w:vAlign w:val="center"/>
          </w:tcPr>
          <w:p w14:paraId="605AFBC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1D12D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1739" w:type="dxa"/>
            <w:vMerge w:val="continue"/>
            <w:noWrap w:val="0"/>
            <w:vAlign w:val="center"/>
          </w:tcPr>
          <w:p w14:paraId="06DBBDC6">
            <w:pPr>
              <w:rPr>
                <w:rFonts w:hint="eastAsia" w:ascii="宋体" w:hAnsi="宋体" w:eastAsia="宋体" w:cs="宋体"/>
                <w:color w:val="auto"/>
                <w:sz w:val="21"/>
                <w:szCs w:val="21"/>
                <w:highlight w:val="none"/>
              </w:rPr>
            </w:pPr>
          </w:p>
        </w:tc>
        <w:tc>
          <w:tcPr>
            <w:tcW w:w="5587" w:type="dxa"/>
            <w:noWrap w:val="0"/>
            <w:vAlign w:val="bottom"/>
          </w:tcPr>
          <w:p w14:paraId="53ED11B7">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未报告</w:t>
            </w:r>
          </w:p>
        </w:tc>
        <w:tc>
          <w:tcPr>
            <w:tcW w:w="1290" w:type="dxa"/>
            <w:noWrap w:val="0"/>
            <w:vAlign w:val="bottom"/>
          </w:tcPr>
          <w:p w14:paraId="7F6A7E4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29E7B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1739" w:type="dxa"/>
            <w:vMerge w:val="continue"/>
            <w:noWrap w:val="0"/>
            <w:vAlign w:val="center"/>
          </w:tcPr>
          <w:p w14:paraId="68CB967F">
            <w:pPr>
              <w:rPr>
                <w:rFonts w:hint="eastAsia" w:ascii="宋体" w:hAnsi="宋体" w:eastAsia="宋体" w:cs="宋体"/>
                <w:color w:val="auto"/>
                <w:sz w:val="21"/>
                <w:szCs w:val="21"/>
                <w:highlight w:val="none"/>
              </w:rPr>
            </w:pPr>
          </w:p>
        </w:tc>
        <w:tc>
          <w:tcPr>
            <w:tcW w:w="5587" w:type="dxa"/>
            <w:noWrap w:val="0"/>
            <w:vAlign w:val="bottom"/>
          </w:tcPr>
          <w:p w14:paraId="57AA04DD">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弄虚作假、不如实报告</w:t>
            </w:r>
          </w:p>
        </w:tc>
        <w:tc>
          <w:tcPr>
            <w:tcW w:w="1290" w:type="dxa"/>
            <w:noWrap w:val="0"/>
            <w:vAlign w:val="bottom"/>
          </w:tcPr>
          <w:p w14:paraId="4227615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33C88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1739" w:type="dxa"/>
            <w:vMerge w:val="restart"/>
            <w:noWrap w:val="0"/>
            <w:vAlign w:val="center"/>
          </w:tcPr>
          <w:p w14:paraId="45A5582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转运</w:t>
            </w:r>
            <w:r>
              <w:rPr>
                <w:rFonts w:hint="eastAsia" w:ascii="宋体" w:hAnsi="宋体" w:cs="宋体"/>
                <w:color w:val="auto"/>
                <w:sz w:val="21"/>
                <w:szCs w:val="21"/>
                <w:highlight w:val="none"/>
                <w:lang w:val="en-US" w:eastAsia="zh-CN"/>
              </w:rPr>
              <w:t>土壤</w:t>
            </w:r>
            <w:r>
              <w:rPr>
                <w:rFonts w:hint="eastAsia" w:ascii="宋体" w:hAnsi="宋体" w:eastAsia="宋体" w:cs="宋体"/>
                <w:color w:val="auto"/>
                <w:sz w:val="21"/>
                <w:szCs w:val="21"/>
                <w:highlight w:val="none"/>
              </w:rPr>
              <w:t>数量</w:t>
            </w:r>
          </w:p>
        </w:tc>
        <w:tc>
          <w:tcPr>
            <w:tcW w:w="5587" w:type="dxa"/>
            <w:noWrap w:val="0"/>
            <w:vAlign w:val="center"/>
          </w:tcPr>
          <w:p w14:paraId="02CBA1E4">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不足2吨</w:t>
            </w:r>
          </w:p>
        </w:tc>
        <w:tc>
          <w:tcPr>
            <w:tcW w:w="1290" w:type="dxa"/>
            <w:noWrap w:val="0"/>
            <w:vAlign w:val="center"/>
          </w:tcPr>
          <w:p w14:paraId="1E5FEBC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42CD8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1739" w:type="dxa"/>
            <w:vMerge w:val="continue"/>
            <w:noWrap w:val="0"/>
            <w:vAlign w:val="center"/>
          </w:tcPr>
          <w:p w14:paraId="23C4F4BE">
            <w:pPr>
              <w:rPr>
                <w:rFonts w:hint="eastAsia" w:ascii="宋体" w:hAnsi="宋体" w:eastAsia="宋体" w:cs="宋体"/>
                <w:color w:val="auto"/>
                <w:sz w:val="21"/>
                <w:szCs w:val="21"/>
                <w:highlight w:val="none"/>
              </w:rPr>
            </w:pPr>
          </w:p>
        </w:tc>
        <w:tc>
          <w:tcPr>
            <w:tcW w:w="5587" w:type="dxa"/>
            <w:noWrap w:val="0"/>
            <w:vAlign w:val="bottom"/>
          </w:tcPr>
          <w:p w14:paraId="5C4010C2">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2吨以上不足5吨</w:t>
            </w:r>
          </w:p>
        </w:tc>
        <w:tc>
          <w:tcPr>
            <w:tcW w:w="1290" w:type="dxa"/>
            <w:noWrap w:val="0"/>
            <w:vAlign w:val="center"/>
          </w:tcPr>
          <w:p w14:paraId="5E52982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r>
      <w:tr w14:paraId="73026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1739" w:type="dxa"/>
            <w:vMerge w:val="continue"/>
            <w:noWrap w:val="0"/>
            <w:vAlign w:val="center"/>
          </w:tcPr>
          <w:p w14:paraId="4E39C2AC">
            <w:pPr>
              <w:rPr>
                <w:rFonts w:hint="eastAsia" w:ascii="宋体" w:hAnsi="宋体" w:eastAsia="宋体" w:cs="宋体"/>
                <w:color w:val="auto"/>
                <w:sz w:val="21"/>
                <w:szCs w:val="21"/>
                <w:highlight w:val="none"/>
              </w:rPr>
            </w:pPr>
          </w:p>
        </w:tc>
        <w:tc>
          <w:tcPr>
            <w:tcW w:w="5587" w:type="dxa"/>
            <w:noWrap w:val="0"/>
            <w:vAlign w:val="bottom"/>
          </w:tcPr>
          <w:p w14:paraId="45C85663">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5吨以上不足10吨</w:t>
            </w:r>
          </w:p>
        </w:tc>
        <w:tc>
          <w:tcPr>
            <w:tcW w:w="1290" w:type="dxa"/>
            <w:noWrap w:val="0"/>
            <w:vAlign w:val="center"/>
          </w:tcPr>
          <w:p w14:paraId="36EA14D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4C082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1739" w:type="dxa"/>
            <w:vMerge w:val="continue"/>
            <w:noWrap w:val="0"/>
            <w:vAlign w:val="center"/>
          </w:tcPr>
          <w:p w14:paraId="0B6006DE">
            <w:pPr>
              <w:rPr>
                <w:rFonts w:hint="eastAsia" w:ascii="宋体" w:hAnsi="宋体" w:eastAsia="宋体" w:cs="宋体"/>
                <w:color w:val="auto"/>
                <w:sz w:val="21"/>
                <w:szCs w:val="21"/>
                <w:highlight w:val="none"/>
              </w:rPr>
            </w:pPr>
          </w:p>
        </w:tc>
        <w:tc>
          <w:tcPr>
            <w:tcW w:w="5587" w:type="dxa"/>
            <w:noWrap w:val="0"/>
            <w:vAlign w:val="bottom"/>
          </w:tcPr>
          <w:p w14:paraId="092717D6">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10吨以上不足20吨</w:t>
            </w:r>
          </w:p>
        </w:tc>
        <w:tc>
          <w:tcPr>
            <w:tcW w:w="1290" w:type="dxa"/>
            <w:noWrap w:val="0"/>
            <w:vAlign w:val="center"/>
          </w:tcPr>
          <w:p w14:paraId="6C038D9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r>
      <w:tr w14:paraId="53B06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1739" w:type="dxa"/>
            <w:vMerge w:val="continue"/>
            <w:noWrap w:val="0"/>
            <w:vAlign w:val="center"/>
          </w:tcPr>
          <w:p w14:paraId="6932C09E">
            <w:pPr>
              <w:rPr>
                <w:rFonts w:hint="eastAsia" w:ascii="宋体" w:hAnsi="宋体" w:eastAsia="宋体" w:cs="宋体"/>
                <w:color w:val="auto"/>
                <w:sz w:val="21"/>
                <w:szCs w:val="21"/>
                <w:highlight w:val="none"/>
              </w:rPr>
            </w:pPr>
          </w:p>
        </w:tc>
        <w:tc>
          <w:tcPr>
            <w:tcW w:w="5587" w:type="dxa"/>
            <w:noWrap w:val="0"/>
            <w:vAlign w:val="bottom"/>
          </w:tcPr>
          <w:p w14:paraId="315FCAC6">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20吨以上</w:t>
            </w:r>
          </w:p>
        </w:tc>
        <w:tc>
          <w:tcPr>
            <w:tcW w:w="1290" w:type="dxa"/>
            <w:noWrap w:val="0"/>
            <w:vAlign w:val="center"/>
          </w:tcPr>
          <w:p w14:paraId="6F217A4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6DF1E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1739" w:type="dxa"/>
            <w:noWrap w:val="0"/>
            <w:vAlign w:val="center"/>
          </w:tcPr>
          <w:p w14:paraId="6AC48EB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备注</w:t>
            </w:r>
          </w:p>
        </w:tc>
        <w:tc>
          <w:tcPr>
            <w:tcW w:w="6877" w:type="dxa"/>
            <w:gridSpan w:val="2"/>
            <w:noWrap w:val="0"/>
            <w:vAlign w:val="center"/>
          </w:tcPr>
          <w:p w14:paraId="01A60A5C">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拟对单位、直接负责的主管人员和其他直接责任人员实施罚款处罚的，应当分别套用计算公式确定罚款数额。</w:t>
            </w:r>
          </w:p>
        </w:tc>
      </w:tr>
    </w:tbl>
    <w:p w14:paraId="301C4865">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505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29"/>
        <w:gridCol w:w="5850"/>
        <w:gridCol w:w="1364"/>
      </w:tblGrid>
      <w:tr w14:paraId="2AE93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8614" w:type="dxa"/>
            <w:gridSpan w:val="3"/>
            <w:noWrap w:val="0"/>
            <w:vAlign w:val="center"/>
          </w:tcPr>
          <w:p w14:paraId="68AC9CD1">
            <w:pPr>
              <w:jc w:val="center"/>
              <w:rPr>
                <w:rFonts w:hint="eastAsia" w:ascii="宋体" w:hAnsi="宋体" w:eastAsia="宋体" w:cs="宋体"/>
                <w:bCs/>
                <w:color w:val="auto"/>
                <w:sz w:val="21"/>
                <w:szCs w:val="21"/>
                <w:highlight w:val="none"/>
                <w:lang w:eastAsia="zh-CN"/>
              </w:rPr>
            </w:pPr>
            <w:r>
              <w:rPr>
                <w:rFonts w:hint="eastAsia" w:ascii="宋体" w:hAnsi="宋体" w:eastAsia="宋体" w:cs="宋体"/>
                <w:color w:val="auto"/>
                <w:sz w:val="21"/>
                <w:szCs w:val="21"/>
                <w:highlight w:val="none"/>
                <w:lang w:eastAsia="zh-CN"/>
              </w:rPr>
              <w:t>（七）土壤污染防治类</w:t>
            </w:r>
          </w:p>
        </w:tc>
      </w:tr>
      <w:tr w14:paraId="5BC79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1743" w:type="dxa"/>
            <w:noWrap w:val="0"/>
            <w:vAlign w:val="center"/>
          </w:tcPr>
          <w:p w14:paraId="7CE09B1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871" w:type="dxa"/>
            <w:gridSpan w:val="2"/>
            <w:noWrap w:val="0"/>
            <w:vAlign w:val="center"/>
          </w:tcPr>
          <w:p w14:paraId="7841297B">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w:t>
            </w:r>
          </w:p>
        </w:tc>
      </w:tr>
      <w:tr w14:paraId="58424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743" w:type="dxa"/>
            <w:noWrap w:val="0"/>
            <w:vAlign w:val="center"/>
          </w:tcPr>
          <w:p w14:paraId="775E670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6871" w:type="dxa"/>
            <w:gridSpan w:val="2"/>
            <w:noWrap w:val="0"/>
            <w:vAlign w:val="center"/>
          </w:tcPr>
          <w:p w14:paraId="0DFF9465">
            <w:pPr>
              <w:adjustRightInd w:val="0"/>
              <w:ind w:firstLine="420" w:firstLineChars="200"/>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在永久基本农田集中区域新建可能造成土壤污染的建设项目的</w:t>
            </w:r>
          </w:p>
        </w:tc>
      </w:tr>
      <w:tr w14:paraId="41DE7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743" w:type="dxa"/>
            <w:noWrap w:val="0"/>
            <w:vAlign w:val="center"/>
          </w:tcPr>
          <w:p w14:paraId="0862919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6871" w:type="dxa"/>
            <w:gridSpan w:val="2"/>
            <w:noWrap w:val="0"/>
            <w:vAlign w:val="center"/>
          </w:tcPr>
          <w:p w14:paraId="5E83FC70">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《中华人民共和国生态环境法典》第四百四十五条第二款  在永久基本农田集中区域，不得新建可能造成土壤污染的建设项目；已建成的，应当限期拆除或者关闭。</w:t>
            </w:r>
          </w:p>
        </w:tc>
      </w:tr>
      <w:tr w14:paraId="07750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1743" w:type="dxa"/>
            <w:noWrap w:val="0"/>
            <w:vAlign w:val="center"/>
          </w:tcPr>
          <w:p w14:paraId="0A9615D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6871" w:type="dxa"/>
            <w:gridSpan w:val="2"/>
            <w:noWrap w:val="0"/>
            <w:vAlign w:val="center"/>
          </w:tcPr>
          <w:p w14:paraId="32BE2B43">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《中华人民共和国生态环境法典》第一千一百六十二条</w:t>
            </w:r>
            <w:r>
              <w:rPr>
                <w:rFonts w:hint="eastAsia" w:ascii="宋体" w:hAnsi="宋体" w:cs="宋体"/>
                <w:color w:val="auto"/>
                <w:sz w:val="21"/>
                <w:szCs w:val="21"/>
                <w:highlight w:val="none"/>
                <w:lang w:val="en-US" w:eastAsia="zh-CN"/>
              </w:rPr>
              <w:t>第六项</w:t>
            </w:r>
            <w:r>
              <w:rPr>
                <w:rFonts w:hint="eastAsia" w:ascii="宋体" w:hAnsi="宋体" w:eastAsia="宋体" w:cs="宋体"/>
                <w:color w:val="auto"/>
                <w:sz w:val="21"/>
                <w:szCs w:val="21"/>
                <w:highlight w:val="none"/>
              </w:rPr>
              <w:t xml:space="preserve">  违反本法规定，有下列情形之一的，由生态环境主管部门责令改正，没收违法所得，并处十万元以上五十万元以下的罚款</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；对直接负责的主管人员和其他直接责任人员处五千元以上二万元以下的罚款：</w:t>
            </w:r>
          </w:p>
          <w:p w14:paraId="713C8E73">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（六）在永久基本农田集中区域新建可能造成土壤污染的建设项目；</w:t>
            </w:r>
          </w:p>
        </w:tc>
      </w:tr>
      <w:tr w14:paraId="68DE0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1743" w:type="dxa"/>
            <w:noWrap w:val="0"/>
            <w:vAlign w:val="center"/>
          </w:tcPr>
          <w:p w14:paraId="67439C4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572" w:type="dxa"/>
            <w:noWrap w:val="0"/>
            <w:vAlign w:val="center"/>
          </w:tcPr>
          <w:p w14:paraId="3CD9BCB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299" w:type="dxa"/>
            <w:noWrap w:val="0"/>
            <w:vAlign w:val="center"/>
          </w:tcPr>
          <w:p w14:paraId="15719B7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707FF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1743" w:type="dxa"/>
            <w:vMerge w:val="restart"/>
            <w:noWrap w:val="0"/>
            <w:vAlign w:val="center"/>
          </w:tcPr>
          <w:p w14:paraId="2A37EFC0">
            <w:pPr>
              <w:ind w:left="0" w:leftChars="0" w:right="0" w:rightChars="0"/>
              <w:jc w:val="center"/>
              <w:textAlignment w:val="center"/>
              <w:rPr>
                <w:rFonts w:hint="eastAsia" w:ascii="宋体" w:hAnsi="宋体" w:eastAsia="宋体" w:cs="宋体"/>
                <w:b w:val="0"/>
                <w:bCs w:val="0"/>
                <w:color w:val="auto"/>
                <w:sz w:val="21"/>
                <w:szCs w:val="21"/>
                <w:highlight w:val="none"/>
              </w:rPr>
            </w:pPr>
            <w:r>
              <w:rPr>
                <w:rFonts w:hint="eastAsia" w:ascii="宋体" w:hAnsi="宋体" w:cs="宋体"/>
                <w:b w:val="0"/>
                <w:bCs w:val="0"/>
                <w:kern w:val="2"/>
                <w:sz w:val="21"/>
                <w:szCs w:val="21"/>
                <w:highlight w:val="none"/>
                <w:lang w:val="en-US" w:eastAsia="zh-CN" w:bidi="ar-SA"/>
              </w:rPr>
              <w:t>项目建设状态</w:t>
            </w:r>
          </w:p>
        </w:tc>
        <w:tc>
          <w:tcPr>
            <w:tcW w:w="5572" w:type="dxa"/>
            <w:noWrap w:val="0"/>
            <w:vAlign w:val="center"/>
          </w:tcPr>
          <w:p w14:paraId="7FA9461C">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b w:val="0"/>
                <w:bCs w:val="0"/>
                <w:color w:val="auto"/>
                <w:sz w:val="21"/>
                <w:szCs w:val="21"/>
                <w:highlight w:val="none"/>
              </w:rPr>
            </w:pPr>
            <w:r>
              <w:rPr>
                <w:rFonts w:hint="eastAsia" w:ascii="宋体" w:hAnsi="宋体" w:eastAsia="宋体" w:cs="宋体"/>
                <w:color w:val="auto"/>
                <w:sz w:val="21"/>
                <w:szCs w:val="21"/>
                <w:highlight w:val="none"/>
              </w:rPr>
              <w:t>项目已开工，但未建成</w:t>
            </w:r>
          </w:p>
        </w:tc>
        <w:tc>
          <w:tcPr>
            <w:tcW w:w="1299" w:type="dxa"/>
            <w:noWrap w:val="0"/>
            <w:vAlign w:val="center"/>
          </w:tcPr>
          <w:p w14:paraId="32542306">
            <w:pPr>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w:t>
            </w:r>
          </w:p>
        </w:tc>
      </w:tr>
      <w:tr w14:paraId="04154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1743" w:type="dxa"/>
            <w:vMerge w:val="continue"/>
            <w:noWrap w:val="0"/>
            <w:vAlign w:val="center"/>
          </w:tcPr>
          <w:p w14:paraId="41EF7EC9">
            <w:pPr>
              <w:ind w:left="0" w:leftChars="0" w:right="0" w:rightChars="0"/>
              <w:jc w:val="center"/>
              <w:textAlignment w:val="center"/>
              <w:rPr>
                <w:rFonts w:hint="eastAsia" w:ascii="宋体" w:hAnsi="宋体" w:eastAsia="宋体" w:cs="宋体"/>
                <w:b w:val="0"/>
                <w:bCs w:val="0"/>
                <w:color w:val="auto"/>
                <w:sz w:val="21"/>
                <w:szCs w:val="21"/>
                <w:highlight w:val="none"/>
              </w:rPr>
            </w:pPr>
          </w:p>
        </w:tc>
        <w:tc>
          <w:tcPr>
            <w:tcW w:w="5572" w:type="dxa"/>
            <w:noWrap w:val="0"/>
            <w:vAlign w:val="bottom"/>
          </w:tcPr>
          <w:p w14:paraId="642BFFE9">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b w:val="0"/>
                <w:bCs w:val="0"/>
                <w:color w:val="auto"/>
                <w:sz w:val="21"/>
                <w:szCs w:val="21"/>
                <w:highlight w:val="none"/>
              </w:rPr>
            </w:pPr>
            <w:r>
              <w:rPr>
                <w:rFonts w:hint="eastAsia" w:ascii="宋体" w:hAnsi="宋体" w:eastAsia="宋体" w:cs="宋体"/>
                <w:color w:val="auto"/>
                <w:sz w:val="21"/>
                <w:szCs w:val="21"/>
                <w:highlight w:val="none"/>
              </w:rPr>
              <w:t>项目已基本建成，但未投入使用</w:t>
            </w:r>
          </w:p>
        </w:tc>
        <w:tc>
          <w:tcPr>
            <w:tcW w:w="1299" w:type="dxa"/>
            <w:noWrap w:val="0"/>
            <w:vAlign w:val="center"/>
          </w:tcPr>
          <w:p w14:paraId="72DFEE62">
            <w:pPr>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3</w:t>
            </w:r>
          </w:p>
        </w:tc>
      </w:tr>
      <w:tr w14:paraId="2E4C9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1743" w:type="dxa"/>
            <w:vMerge w:val="continue"/>
            <w:noWrap w:val="0"/>
            <w:vAlign w:val="center"/>
          </w:tcPr>
          <w:p w14:paraId="7EE4CBB1">
            <w:pPr>
              <w:ind w:left="0" w:leftChars="0" w:right="0" w:rightChars="0"/>
              <w:jc w:val="center"/>
              <w:textAlignment w:val="center"/>
              <w:rPr>
                <w:rFonts w:hint="eastAsia" w:ascii="宋体" w:hAnsi="宋体" w:eastAsia="宋体" w:cs="宋体"/>
                <w:b w:val="0"/>
                <w:bCs w:val="0"/>
                <w:color w:val="auto"/>
                <w:sz w:val="21"/>
                <w:szCs w:val="21"/>
                <w:highlight w:val="none"/>
              </w:rPr>
            </w:pPr>
          </w:p>
        </w:tc>
        <w:tc>
          <w:tcPr>
            <w:tcW w:w="5572" w:type="dxa"/>
            <w:noWrap w:val="0"/>
            <w:vAlign w:val="bottom"/>
          </w:tcPr>
          <w:p w14:paraId="61A5D7F1">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b w:val="0"/>
                <w:bCs w:val="0"/>
                <w:color w:val="auto"/>
                <w:sz w:val="21"/>
                <w:szCs w:val="21"/>
                <w:highlight w:val="none"/>
              </w:rPr>
            </w:pPr>
            <w:r>
              <w:rPr>
                <w:rFonts w:hint="eastAsia" w:ascii="宋体" w:hAnsi="宋体" w:eastAsia="宋体" w:cs="宋体"/>
                <w:color w:val="auto"/>
                <w:sz w:val="21"/>
                <w:szCs w:val="21"/>
                <w:highlight w:val="none"/>
              </w:rPr>
              <w:t>项目已建成并投入使用的</w:t>
            </w:r>
          </w:p>
        </w:tc>
        <w:tc>
          <w:tcPr>
            <w:tcW w:w="1299" w:type="dxa"/>
            <w:noWrap w:val="0"/>
            <w:vAlign w:val="center"/>
          </w:tcPr>
          <w:p w14:paraId="0B6A6B10">
            <w:pPr>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5</w:t>
            </w:r>
          </w:p>
        </w:tc>
      </w:tr>
      <w:tr w14:paraId="19540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1743" w:type="dxa"/>
            <w:vMerge w:val="restart"/>
            <w:noWrap w:val="0"/>
            <w:vAlign w:val="center"/>
          </w:tcPr>
          <w:p w14:paraId="22577157">
            <w:pPr>
              <w:ind w:left="0" w:leftChars="0" w:right="0" w:rightChars="0"/>
              <w:jc w:val="center"/>
              <w:textAlignment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kern w:val="2"/>
                <w:sz w:val="21"/>
                <w:szCs w:val="21"/>
                <w:highlight w:val="none"/>
                <w:lang w:val="en-US" w:eastAsia="zh-CN" w:bidi="ar-SA"/>
              </w:rPr>
              <w:t>项目占地面积</w:t>
            </w:r>
          </w:p>
        </w:tc>
        <w:tc>
          <w:tcPr>
            <w:tcW w:w="5572" w:type="dxa"/>
            <w:noWrap w:val="0"/>
            <w:vAlign w:val="center"/>
          </w:tcPr>
          <w:p w14:paraId="4902F7B9">
            <w:pPr>
              <w:keepNext w:val="0"/>
              <w:keepLines w:val="0"/>
              <w:pageBreakBefore w:val="0"/>
              <w:widowControl w:val="0"/>
              <w:kinsoku/>
              <w:wordWrap/>
              <w:overflowPunct/>
              <w:topLinePunct w:val="0"/>
              <w:autoSpaceDE/>
              <w:autoSpaceDN/>
              <w:bidi w:val="0"/>
              <w:adjustRightInd/>
              <w:snapToGrid/>
              <w:ind w:left="0" w:leftChars="0" w:right="0" w:rightChars="0" w:firstLine="420" w:firstLineChars="200"/>
              <w:jc w:val="left"/>
              <w:textAlignment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kern w:val="2"/>
                <w:sz w:val="21"/>
                <w:szCs w:val="21"/>
                <w:highlight w:val="none"/>
                <w:lang w:val="en-US" w:eastAsia="zh-CN" w:bidi="ar-SA"/>
              </w:rPr>
              <w:t>占地面积不足1000</w:t>
            </w:r>
            <w:r>
              <w:rPr>
                <w:rFonts w:hint="eastAsia" w:ascii="宋体" w:hAnsi="宋体" w:cs="宋体"/>
                <w:b w:val="0"/>
                <w:bCs w:val="0"/>
                <w:kern w:val="2"/>
                <w:sz w:val="21"/>
                <w:szCs w:val="21"/>
                <w:highlight w:val="none"/>
                <w:lang w:val="en-US" w:eastAsia="zh-CN" w:bidi="ar-SA"/>
              </w:rPr>
              <w:t>平方米</w:t>
            </w:r>
            <w:r>
              <w:rPr>
                <w:rFonts w:hint="eastAsia" w:ascii="宋体" w:hAnsi="宋体" w:eastAsia="宋体" w:cs="宋体"/>
                <w:b w:val="0"/>
                <w:bCs w:val="0"/>
                <w:kern w:val="2"/>
                <w:sz w:val="21"/>
                <w:szCs w:val="21"/>
                <w:highlight w:val="none"/>
                <w:lang w:val="en-US" w:eastAsia="zh-CN" w:bidi="ar-SA"/>
              </w:rPr>
              <w:t>的</w:t>
            </w:r>
          </w:p>
        </w:tc>
        <w:tc>
          <w:tcPr>
            <w:tcW w:w="1299" w:type="dxa"/>
            <w:noWrap w:val="0"/>
            <w:vAlign w:val="center"/>
          </w:tcPr>
          <w:p w14:paraId="5DA656A1">
            <w:pPr>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w:t>
            </w:r>
          </w:p>
        </w:tc>
      </w:tr>
      <w:tr w14:paraId="296AB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1743" w:type="dxa"/>
            <w:vMerge w:val="continue"/>
            <w:noWrap w:val="0"/>
            <w:vAlign w:val="center"/>
          </w:tcPr>
          <w:p w14:paraId="46C705EE">
            <w:pPr>
              <w:ind w:left="0" w:leftChars="0" w:right="0" w:rightChars="0"/>
              <w:jc w:val="center"/>
              <w:textAlignment w:val="center"/>
              <w:rPr>
                <w:rFonts w:hint="eastAsia" w:ascii="宋体" w:hAnsi="宋体" w:eastAsia="宋体" w:cs="宋体"/>
                <w:b w:val="0"/>
                <w:bCs w:val="0"/>
                <w:color w:val="auto"/>
                <w:sz w:val="21"/>
                <w:szCs w:val="21"/>
                <w:highlight w:val="none"/>
              </w:rPr>
            </w:pPr>
          </w:p>
        </w:tc>
        <w:tc>
          <w:tcPr>
            <w:tcW w:w="5572" w:type="dxa"/>
            <w:noWrap w:val="0"/>
            <w:vAlign w:val="center"/>
          </w:tcPr>
          <w:p w14:paraId="0480BD82">
            <w:pPr>
              <w:keepNext w:val="0"/>
              <w:keepLines w:val="0"/>
              <w:pageBreakBefore w:val="0"/>
              <w:widowControl w:val="0"/>
              <w:kinsoku/>
              <w:wordWrap/>
              <w:overflowPunct/>
              <w:topLinePunct w:val="0"/>
              <w:autoSpaceDE/>
              <w:autoSpaceDN/>
              <w:bidi w:val="0"/>
              <w:adjustRightInd/>
              <w:snapToGrid/>
              <w:ind w:left="0" w:leftChars="0" w:right="0" w:rightChars="0" w:firstLine="420" w:firstLineChars="200"/>
              <w:jc w:val="left"/>
              <w:textAlignment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kern w:val="2"/>
                <w:sz w:val="21"/>
                <w:szCs w:val="21"/>
                <w:highlight w:val="none"/>
                <w:lang w:val="en-US" w:eastAsia="zh-CN" w:bidi="ar-SA"/>
              </w:rPr>
              <w:t>占地面积1000</w:t>
            </w:r>
            <w:r>
              <w:rPr>
                <w:rFonts w:hint="eastAsia" w:ascii="宋体" w:hAnsi="宋体" w:cs="宋体"/>
                <w:b w:val="0"/>
                <w:bCs w:val="0"/>
                <w:kern w:val="2"/>
                <w:sz w:val="21"/>
                <w:szCs w:val="21"/>
                <w:highlight w:val="none"/>
                <w:lang w:val="en-US" w:eastAsia="zh-CN" w:bidi="ar-SA"/>
              </w:rPr>
              <w:t>平方米</w:t>
            </w:r>
            <w:r>
              <w:rPr>
                <w:rFonts w:hint="eastAsia" w:ascii="宋体" w:hAnsi="宋体" w:eastAsia="宋体" w:cs="宋体"/>
                <w:b w:val="0"/>
                <w:bCs w:val="0"/>
                <w:kern w:val="2"/>
                <w:sz w:val="21"/>
                <w:szCs w:val="21"/>
                <w:highlight w:val="none"/>
                <w:lang w:val="en-US" w:eastAsia="zh-CN" w:bidi="ar-SA"/>
              </w:rPr>
              <w:t>以上不足5000</w:t>
            </w:r>
            <w:r>
              <w:rPr>
                <w:rFonts w:hint="eastAsia" w:ascii="宋体" w:hAnsi="宋体" w:cs="宋体"/>
                <w:b w:val="0"/>
                <w:bCs w:val="0"/>
                <w:kern w:val="2"/>
                <w:sz w:val="21"/>
                <w:szCs w:val="21"/>
                <w:highlight w:val="none"/>
                <w:lang w:val="en-US" w:eastAsia="zh-CN" w:bidi="ar-SA"/>
              </w:rPr>
              <w:t>平方米</w:t>
            </w:r>
            <w:r>
              <w:rPr>
                <w:rFonts w:hint="eastAsia" w:ascii="宋体" w:hAnsi="宋体" w:eastAsia="宋体" w:cs="宋体"/>
                <w:b w:val="0"/>
                <w:bCs w:val="0"/>
                <w:kern w:val="2"/>
                <w:sz w:val="21"/>
                <w:szCs w:val="21"/>
                <w:highlight w:val="none"/>
                <w:lang w:val="en-US" w:eastAsia="zh-CN" w:bidi="ar-SA"/>
              </w:rPr>
              <w:t>的</w:t>
            </w:r>
          </w:p>
        </w:tc>
        <w:tc>
          <w:tcPr>
            <w:tcW w:w="1299" w:type="dxa"/>
            <w:noWrap w:val="0"/>
            <w:vAlign w:val="center"/>
          </w:tcPr>
          <w:p w14:paraId="33920C47">
            <w:pPr>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3</w:t>
            </w:r>
          </w:p>
        </w:tc>
      </w:tr>
      <w:tr w14:paraId="77F33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1743" w:type="dxa"/>
            <w:vMerge w:val="continue"/>
            <w:noWrap w:val="0"/>
            <w:vAlign w:val="center"/>
          </w:tcPr>
          <w:p w14:paraId="3EA2F5CF">
            <w:pPr>
              <w:ind w:left="0" w:leftChars="0" w:right="0" w:rightChars="0"/>
              <w:jc w:val="center"/>
              <w:textAlignment w:val="center"/>
              <w:rPr>
                <w:rFonts w:hint="eastAsia" w:ascii="宋体" w:hAnsi="宋体" w:eastAsia="宋体" w:cs="宋体"/>
                <w:b w:val="0"/>
                <w:bCs w:val="0"/>
                <w:color w:val="auto"/>
                <w:sz w:val="21"/>
                <w:szCs w:val="21"/>
                <w:highlight w:val="none"/>
              </w:rPr>
            </w:pPr>
          </w:p>
        </w:tc>
        <w:tc>
          <w:tcPr>
            <w:tcW w:w="5572" w:type="dxa"/>
            <w:noWrap w:val="0"/>
            <w:vAlign w:val="center"/>
          </w:tcPr>
          <w:p w14:paraId="6C0D3845">
            <w:pPr>
              <w:keepNext w:val="0"/>
              <w:keepLines w:val="0"/>
              <w:pageBreakBefore w:val="0"/>
              <w:widowControl w:val="0"/>
              <w:kinsoku/>
              <w:wordWrap/>
              <w:overflowPunct/>
              <w:topLinePunct w:val="0"/>
              <w:autoSpaceDE/>
              <w:autoSpaceDN/>
              <w:bidi w:val="0"/>
              <w:adjustRightInd/>
              <w:snapToGrid/>
              <w:ind w:left="0" w:leftChars="0" w:right="0" w:rightChars="0" w:firstLine="420" w:firstLineChars="200"/>
              <w:jc w:val="left"/>
              <w:textAlignment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kern w:val="2"/>
                <w:sz w:val="21"/>
                <w:szCs w:val="21"/>
                <w:highlight w:val="none"/>
                <w:lang w:val="en-US" w:eastAsia="zh-CN" w:bidi="ar-SA"/>
              </w:rPr>
              <w:t>占地面积5000</w:t>
            </w:r>
            <w:r>
              <w:rPr>
                <w:rFonts w:hint="eastAsia" w:ascii="宋体" w:hAnsi="宋体" w:cs="宋体"/>
                <w:b w:val="0"/>
                <w:bCs w:val="0"/>
                <w:kern w:val="2"/>
                <w:sz w:val="21"/>
                <w:szCs w:val="21"/>
                <w:highlight w:val="none"/>
                <w:lang w:val="en-US" w:eastAsia="zh-CN" w:bidi="ar-SA"/>
              </w:rPr>
              <w:t>平方米</w:t>
            </w:r>
            <w:r>
              <w:rPr>
                <w:rFonts w:hint="eastAsia" w:ascii="宋体" w:hAnsi="宋体" w:eastAsia="宋体" w:cs="宋体"/>
                <w:b w:val="0"/>
                <w:bCs w:val="0"/>
                <w:kern w:val="2"/>
                <w:sz w:val="21"/>
                <w:szCs w:val="21"/>
                <w:highlight w:val="none"/>
                <w:lang w:val="en-US" w:eastAsia="zh-CN" w:bidi="ar-SA"/>
              </w:rPr>
              <w:t>以上</w:t>
            </w:r>
          </w:p>
        </w:tc>
        <w:tc>
          <w:tcPr>
            <w:tcW w:w="1299" w:type="dxa"/>
            <w:noWrap w:val="0"/>
            <w:vAlign w:val="center"/>
          </w:tcPr>
          <w:p w14:paraId="79D6AD93">
            <w:pPr>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5</w:t>
            </w:r>
          </w:p>
        </w:tc>
      </w:tr>
      <w:tr w14:paraId="2999D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1743" w:type="dxa"/>
            <w:noWrap w:val="0"/>
            <w:vAlign w:val="center"/>
          </w:tcPr>
          <w:p w14:paraId="7640665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备注</w:t>
            </w:r>
          </w:p>
        </w:tc>
        <w:tc>
          <w:tcPr>
            <w:tcW w:w="6871" w:type="dxa"/>
            <w:gridSpan w:val="2"/>
            <w:noWrap w:val="0"/>
            <w:vAlign w:val="center"/>
          </w:tcPr>
          <w:p w14:paraId="1B639968">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拟对单位、直接负责的主管人员和其他直接责任人员实施罚款处罚的，应当分别套用计算公式确定罚款数额。</w:t>
            </w:r>
          </w:p>
        </w:tc>
      </w:tr>
    </w:tbl>
    <w:p w14:paraId="03C31F3B">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p w14:paraId="717F9DD8">
      <w:pPr>
        <w:rPr>
          <w:rFonts w:hint="eastAsia" w:ascii="宋体" w:hAnsi="宋体" w:eastAsia="宋体" w:cs="宋体"/>
          <w:sz w:val="21"/>
          <w:szCs w:val="21"/>
          <w:highlight w:val="none"/>
        </w:rPr>
      </w:pP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7"/>
        <w:gridCol w:w="5803"/>
        <w:gridCol w:w="1338"/>
      </w:tblGrid>
      <w:tr w14:paraId="4B0C3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3"/>
            <w:tcBorders>
              <w:top w:val="single" w:color="auto" w:sz="4" w:space="0"/>
              <w:left w:val="single" w:color="auto" w:sz="4" w:space="0"/>
              <w:bottom w:val="single" w:color="auto" w:sz="4" w:space="0"/>
              <w:right w:val="single" w:color="auto" w:sz="4" w:space="0"/>
            </w:tcBorders>
            <w:noWrap w:val="0"/>
            <w:vAlign w:val="center"/>
          </w:tcPr>
          <w:p w14:paraId="3563C8F9">
            <w:pPr>
              <w:jc w:val="center"/>
              <w:rPr>
                <w:rFonts w:hint="eastAsia" w:ascii="宋体" w:hAnsi="宋体" w:eastAsia="宋体" w:cs="宋体"/>
                <w:bCs/>
                <w:color w:val="auto"/>
                <w:sz w:val="21"/>
                <w:szCs w:val="21"/>
                <w:highlight w:val="none"/>
                <w:lang w:eastAsia="zh-CN"/>
              </w:rPr>
            </w:pPr>
            <w:r>
              <w:rPr>
                <w:rFonts w:hint="eastAsia" w:ascii="宋体" w:hAnsi="宋体" w:eastAsia="宋体" w:cs="宋体"/>
                <w:color w:val="auto"/>
                <w:sz w:val="21"/>
                <w:szCs w:val="21"/>
                <w:highlight w:val="none"/>
                <w:lang w:eastAsia="zh-CN"/>
              </w:rPr>
              <w:t>（七）土壤污染防治类</w:t>
            </w:r>
          </w:p>
        </w:tc>
      </w:tr>
      <w:tr w14:paraId="5478E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1" w:type="dxa"/>
            <w:tcBorders>
              <w:top w:val="single" w:color="auto" w:sz="4" w:space="0"/>
              <w:left w:val="single" w:color="auto" w:sz="4" w:space="0"/>
              <w:bottom w:val="single" w:color="auto" w:sz="4" w:space="0"/>
              <w:right w:val="single" w:color="auto" w:sz="4" w:space="0"/>
            </w:tcBorders>
            <w:noWrap w:val="0"/>
            <w:vAlign w:val="center"/>
          </w:tcPr>
          <w:p w14:paraId="5E3CF8A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801" w:type="dxa"/>
            <w:gridSpan w:val="2"/>
            <w:tcBorders>
              <w:top w:val="single" w:color="auto" w:sz="4" w:space="0"/>
              <w:left w:val="single" w:color="auto" w:sz="4" w:space="0"/>
              <w:bottom w:val="single" w:color="auto" w:sz="4" w:space="0"/>
              <w:right w:val="single" w:color="auto" w:sz="4" w:space="0"/>
            </w:tcBorders>
            <w:noWrap w:val="0"/>
            <w:vAlign w:val="center"/>
          </w:tcPr>
          <w:p w14:paraId="11AC0EAE">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w:t>
            </w:r>
          </w:p>
        </w:tc>
      </w:tr>
      <w:tr w14:paraId="6AAF3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1" w:type="dxa"/>
            <w:tcBorders>
              <w:top w:val="single" w:color="auto" w:sz="4" w:space="0"/>
              <w:left w:val="single" w:color="auto" w:sz="4" w:space="0"/>
              <w:bottom w:val="single" w:color="auto" w:sz="4" w:space="0"/>
              <w:right w:val="single" w:color="auto" w:sz="4" w:space="0"/>
            </w:tcBorders>
            <w:noWrap w:val="0"/>
            <w:vAlign w:val="center"/>
          </w:tcPr>
          <w:p w14:paraId="501C57E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6801" w:type="dxa"/>
            <w:gridSpan w:val="2"/>
            <w:tcBorders>
              <w:top w:val="single" w:color="auto" w:sz="4" w:space="0"/>
              <w:left w:val="single" w:color="auto" w:sz="4" w:space="0"/>
              <w:bottom w:val="single" w:color="auto" w:sz="4" w:space="0"/>
              <w:right w:val="single" w:color="auto" w:sz="4" w:space="0"/>
            </w:tcBorders>
            <w:noWrap w:val="0"/>
            <w:vAlign w:val="center"/>
          </w:tcPr>
          <w:p w14:paraId="2BD6FB03">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将重金属或者其他有毒有害物质含量超标的工业固体废物、生活垃圾或者污染土壤用于土地复垦的</w:t>
            </w:r>
          </w:p>
        </w:tc>
      </w:tr>
      <w:tr w14:paraId="3E14A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1" w:type="dxa"/>
            <w:tcBorders>
              <w:top w:val="single" w:color="auto" w:sz="4" w:space="0"/>
              <w:left w:val="single" w:color="auto" w:sz="4" w:space="0"/>
              <w:bottom w:val="single" w:color="auto" w:sz="4" w:space="0"/>
              <w:right w:val="single" w:color="auto" w:sz="4" w:space="0"/>
            </w:tcBorders>
            <w:noWrap w:val="0"/>
            <w:vAlign w:val="center"/>
          </w:tcPr>
          <w:p w14:paraId="337745A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6801" w:type="dxa"/>
            <w:gridSpan w:val="2"/>
            <w:tcBorders>
              <w:top w:val="single" w:color="auto" w:sz="4" w:space="0"/>
              <w:left w:val="single" w:color="auto" w:sz="4" w:space="0"/>
              <w:bottom w:val="single" w:color="auto" w:sz="4" w:space="0"/>
              <w:right w:val="single" w:color="auto" w:sz="4" w:space="0"/>
            </w:tcBorders>
            <w:noWrap w:val="0"/>
            <w:vAlign w:val="center"/>
          </w:tcPr>
          <w:p w14:paraId="6C224792">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《中华人民共和国生态环境法典》第四百二十八条</w:t>
            </w:r>
            <w:r>
              <w:rPr>
                <w:rFonts w:hint="eastAsia" w:ascii="宋体" w:hAnsi="宋体" w:eastAsia="宋体" w:cs="宋体"/>
                <w:color w:val="auto"/>
                <w:sz w:val="21"/>
                <w:szCs w:val="21"/>
                <w:highlight w:val="none"/>
                <w:lang w:val="en-US" w:eastAsia="zh-CN"/>
              </w:rPr>
              <w:t>第二款</w:t>
            </w:r>
            <w:r>
              <w:rPr>
                <w:rFonts w:hint="eastAsia" w:ascii="宋体" w:hAnsi="宋体" w:eastAsia="宋体" w:cs="宋体"/>
                <w:color w:val="auto"/>
                <w:sz w:val="21"/>
                <w:szCs w:val="21"/>
                <w:highlight w:val="none"/>
              </w:rPr>
              <w:t xml:space="preserve">  禁止将重金属或者其他有毒有害物质含量超标的工业固体废物、生活垃圾或者污染土壤用于土地复垦。</w:t>
            </w:r>
          </w:p>
        </w:tc>
      </w:tr>
      <w:tr w14:paraId="2DC18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1" w:type="dxa"/>
            <w:tcBorders>
              <w:top w:val="single" w:color="auto" w:sz="4" w:space="0"/>
              <w:left w:val="single" w:color="auto" w:sz="4" w:space="0"/>
              <w:bottom w:val="single" w:color="auto" w:sz="4" w:space="0"/>
              <w:right w:val="single" w:color="auto" w:sz="4" w:space="0"/>
            </w:tcBorders>
            <w:noWrap w:val="0"/>
            <w:vAlign w:val="center"/>
          </w:tcPr>
          <w:p w14:paraId="3E35C6B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6801" w:type="dxa"/>
            <w:gridSpan w:val="2"/>
            <w:tcBorders>
              <w:top w:val="single" w:color="auto" w:sz="4" w:space="0"/>
              <w:left w:val="single" w:color="auto" w:sz="4" w:space="0"/>
              <w:bottom w:val="single" w:color="auto" w:sz="4" w:space="0"/>
              <w:right w:val="single" w:color="auto" w:sz="4" w:space="0"/>
            </w:tcBorders>
            <w:noWrap w:val="0"/>
            <w:vAlign w:val="center"/>
          </w:tcPr>
          <w:p w14:paraId="53D9EB65">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《中华人民共和国生态环境法典》第一千一百六十三条  违反本法规定，将重金属或者其他有毒有害物质含量超标的工业固体废物、生活垃圾或者污染土壤用于土地复垦的，由生态环境主管部门责令改正，没收违法所得，并处十万元以上一百万元以下的罚款。</w:t>
            </w:r>
          </w:p>
        </w:tc>
      </w:tr>
      <w:tr w14:paraId="529B5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1" w:type="dxa"/>
            <w:tcBorders>
              <w:top w:val="single" w:color="auto" w:sz="4" w:space="0"/>
              <w:left w:val="single" w:color="auto" w:sz="4" w:space="0"/>
              <w:bottom w:val="single" w:color="auto" w:sz="4" w:space="0"/>
              <w:right w:val="single" w:color="auto" w:sz="4" w:space="0"/>
            </w:tcBorders>
            <w:noWrap w:val="0"/>
            <w:vAlign w:val="center"/>
          </w:tcPr>
          <w:p w14:paraId="57E5ED9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527" w:type="dxa"/>
            <w:tcBorders>
              <w:top w:val="single" w:color="auto" w:sz="4" w:space="0"/>
              <w:left w:val="single" w:color="auto" w:sz="4" w:space="0"/>
              <w:bottom w:val="single" w:color="auto" w:sz="4" w:space="0"/>
              <w:right w:val="single" w:color="auto" w:sz="4" w:space="0"/>
            </w:tcBorders>
            <w:noWrap w:val="0"/>
            <w:vAlign w:val="center"/>
          </w:tcPr>
          <w:p w14:paraId="44018CD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274" w:type="dxa"/>
            <w:tcBorders>
              <w:top w:val="single" w:color="auto" w:sz="4" w:space="0"/>
              <w:left w:val="single" w:color="auto" w:sz="4" w:space="0"/>
              <w:bottom w:val="single" w:color="auto" w:sz="4" w:space="0"/>
              <w:right w:val="single" w:color="auto" w:sz="4" w:space="0"/>
            </w:tcBorders>
            <w:noWrap w:val="0"/>
            <w:vAlign w:val="center"/>
          </w:tcPr>
          <w:p w14:paraId="66F09E4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09685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1" w:type="dxa"/>
            <w:vMerge w:val="restart"/>
            <w:tcBorders>
              <w:top w:val="single" w:color="auto" w:sz="4" w:space="0"/>
              <w:left w:val="single" w:color="auto" w:sz="4" w:space="0"/>
              <w:right w:val="single" w:color="auto" w:sz="4" w:space="0"/>
            </w:tcBorders>
            <w:noWrap w:val="0"/>
            <w:vAlign w:val="center"/>
          </w:tcPr>
          <w:p w14:paraId="52EBBD75">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超标</w:t>
            </w:r>
            <w:r>
              <w:rPr>
                <w:rFonts w:hint="eastAsia" w:ascii="宋体" w:hAnsi="宋体" w:cs="宋体"/>
                <w:color w:val="auto"/>
                <w:sz w:val="21"/>
                <w:szCs w:val="21"/>
                <w:highlight w:val="none"/>
                <w:lang w:val="en-US" w:eastAsia="zh-CN"/>
              </w:rPr>
              <w:t>状况</w:t>
            </w:r>
          </w:p>
        </w:tc>
        <w:tc>
          <w:tcPr>
            <w:tcW w:w="5527" w:type="dxa"/>
            <w:tcBorders>
              <w:top w:val="single" w:color="auto" w:sz="4" w:space="0"/>
              <w:left w:val="single" w:color="auto" w:sz="4" w:space="0"/>
              <w:bottom w:val="single" w:color="auto" w:sz="4" w:space="0"/>
              <w:right w:val="single" w:color="auto" w:sz="4" w:space="0"/>
            </w:tcBorders>
            <w:noWrap w:val="0"/>
            <w:vAlign w:val="center"/>
          </w:tcPr>
          <w:p w14:paraId="6FEE5CBC">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10%以内</w:t>
            </w:r>
          </w:p>
        </w:tc>
        <w:tc>
          <w:tcPr>
            <w:tcW w:w="1274" w:type="dxa"/>
            <w:tcBorders>
              <w:top w:val="single" w:color="auto" w:sz="4" w:space="0"/>
              <w:left w:val="single" w:color="auto" w:sz="4" w:space="0"/>
              <w:bottom w:val="single" w:color="auto" w:sz="4" w:space="0"/>
              <w:right w:val="single" w:color="auto" w:sz="4" w:space="0"/>
            </w:tcBorders>
            <w:noWrap w:val="0"/>
            <w:vAlign w:val="center"/>
          </w:tcPr>
          <w:p w14:paraId="706825C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3B0E9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1" w:type="dxa"/>
            <w:vMerge w:val="continue"/>
            <w:tcBorders>
              <w:top w:val="single" w:color="auto" w:sz="4" w:space="0"/>
              <w:left w:val="single" w:color="auto" w:sz="4" w:space="0"/>
              <w:bottom w:val="single" w:color="auto" w:sz="4" w:space="0"/>
              <w:right w:val="single" w:color="auto" w:sz="4" w:space="0"/>
            </w:tcBorders>
            <w:noWrap w:val="0"/>
            <w:vAlign w:val="center"/>
          </w:tcPr>
          <w:p w14:paraId="5B545021">
            <w:pPr>
              <w:rPr>
                <w:rFonts w:hint="eastAsia" w:ascii="宋体" w:hAnsi="宋体" w:eastAsia="宋体" w:cs="宋体"/>
                <w:color w:val="auto"/>
                <w:sz w:val="21"/>
                <w:szCs w:val="21"/>
                <w:highlight w:val="none"/>
              </w:rPr>
            </w:pPr>
          </w:p>
        </w:tc>
        <w:tc>
          <w:tcPr>
            <w:tcW w:w="5527" w:type="dxa"/>
            <w:tcBorders>
              <w:top w:val="single" w:color="auto" w:sz="4" w:space="0"/>
              <w:left w:val="single" w:color="auto" w:sz="4" w:space="0"/>
              <w:bottom w:val="single" w:color="auto" w:sz="4" w:space="0"/>
              <w:right w:val="single" w:color="auto" w:sz="4" w:space="0"/>
            </w:tcBorders>
            <w:noWrap w:val="0"/>
            <w:vAlign w:val="center"/>
          </w:tcPr>
          <w:p w14:paraId="0AFE3567">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10%以上不足20%</w:t>
            </w:r>
          </w:p>
        </w:tc>
        <w:tc>
          <w:tcPr>
            <w:tcW w:w="1274" w:type="dxa"/>
            <w:tcBorders>
              <w:top w:val="single" w:color="auto" w:sz="4" w:space="0"/>
              <w:left w:val="single" w:color="auto" w:sz="4" w:space="0"/>
              <w:bottom w:val="single" w:color="auto" w:sz="4" w:space="0"/>
              <w:right w:val="single" w:color="auto" w:sz="4" w:space="0"/>
            </w:tcBorders>
            <w:noWrap w:val="0"/>
            <w:vAlign w:val="center"/>
          </w:tcPr>
          <w:p w14:paraId="6AB5E4E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r>
      <w:tr w14:paraId="243D4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1" w:type="dxa"/>
            <w:vMerge w:val="continue"/>
            <w:tcBorders>
              <w:top w:val="single" w:color="auto" w:sz="4" w:space="0"/>
              <w:left w:val="single" w:color="auto" w:sz="4" w:space="0"/>
              <w:bottom w:val="single" w:color="auto" w:sz="4" w:space="0"/>
              <w:right w:val="single" w:color="auto" w:sz="4" w:space="0"/>
            </w:tcBorders>
            <w:noWrap w:val="0"/>
            <w:vAlign w:val="center"/>
          </w:tcPr>
          <w:p w14:paraId="7C4611D7">
            <w:pPr>
              <w:rPr>
                <w:rFonts w:hint="eastAsia" w:ascii="宋体" w:hAnsi="宋体" w:eastAsia="宋体" w:cs="宋体"/>
                <w:color w:val="auto"/>
                <w:sz w:val="21"/>
                <w:szCs w:val="21"/>
                <w:highlight w:val="none"/>
              </w:rPr>
            </w:pPr>
          </w:p>
        </w:tc>
        <w:tc>
          <w:tcPr>
            <w:tcW w:w="5527" w:type="dxa"/>
            <w:tcBorders>
              <w:top w:val="single" w:color="auto" w:sz="4" w:space="0"/>
              <w:left w:val="single" w:color="auto" w:sz="4" w:space="0"/>
              <w:bottom w:val="single" w:color="auto" w:sz="4" w:space="0"/>
              <w:right w:val="single" w:color="auto" w:sz="4" w:space="0"/>
            </w:tcBorders>
            <w:noWrap w:val="0"/>
            <w:vAlign w:val="center"/>
          </w:tcPr>
          <w:p w14:paraId="3717748D">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20%以上不足50%</w:t>
            </w:r>
          </w:p>
        </w:tc>
        <w:tc>
          <w:tcPr>
            <w:tcW w:w="1274" w:type="dxa"/>
            <w:tcBorders>
              <w:top w:val="single" w:color="auto" w:sz="4" w:space="0"/>
              <w:left w:val="single" w:color="auto" w:sz="4" w:space="0"/>
              <w:bottom w:val="single" w:color="auto" w:sz="4" w:space="0"/>
              <w:right w:val="single" w:color="auto" w:sz="4" w:space="0"/>
            </w:tcBorders>
            <w:noWrap w:val="0"/>
            <w:vAlign w:val="center"/>
          </w:tcPr>
          <w:p w14:paraId="114AA3E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4006F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1" w:type="dxa"/>
            <w:vMerge w:val="continue"/>
            <w:tcBorders>
              <w:top w:val="single" w:color="auto" w:sz="4" w:space="0"/>
              <w:left w:val="single" w:color="auto" w:sz="4" w:space="0"/>
              <w:bottom w:val="single" w:color="auto" w:sz="4" w:space="0"/>
              <w:right w:val="single" w:color="auto" w:sz="4" w:space="0"/>
            </w:tcBorders>
            <w:noWrap w:val="0"/>
            <w:vAlign w:val="center"/>
          </w:tcPr>
          <w:p w14:paraId="63E45043">
            <w:pPr>
              <w:rPr>
                <w:rFonts w:hint="eastAsia" w:ascii="宋体" w:hAnsi="宋体" w:eastAsia="宋体" w:cs="宋体"/>
                <w:color w:val="auto"/>
                <w:sz w:val="21"/>
                <w:szCs w:val="21"/>
                <w:highlight w:val="none"/>
              </w:rPr>
            </w:pPr>
          </w:p>
        </w:tc>
        <w:tc>
          <w:tcPr>
            <w:tcW w:w="5527" w:type="dxa"/>
            <w:tcBorders>
              <w:top w:val="single" w:color="auto" w:sz="4" w:space="0"/>
              <w:left w:val="single" w:color="auto" w:sz="4" w:space="0"/>
              <w:bottom w:val="single" w:color="auto" w:sz="4" w:space="0"/>
              <w:right w:val="single" w:color="auto" w:sz="4" w:space="0"/>
            </w:tcBorders>
            <w:noWrap w:val="0"/>
            <w:vAlign w:val="center"/>
          </w:tcPr>
          <w:p w14:paraId="5B775F88">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50%以上不足100%</w:t>
            </w:r>
          </w:p>
        </w:tc>
        <w:tc>
          <w:tcPr>
            <w:tcW w:w="1274" w:type="dxa"/>
            <w:tcBorders>
              <w:top w:val="single" w:color="auto" w:sz="4" w:space="0"/>
              <w:left w:val="single" w:color="auto" w:sz="4" w:space="0"/>
              <w:bottom w:val="single" w:color="auto" w:sz="4" w:space="0"/>
              <w:right w:val="single" w:color="auto" w:sz="4" w:space="0"/>
            </w:tcBorders>
            <w:noWrap w:val="0"/>
            <w:vAlign w:val="center"/>
          </w:tcPr>
          <w:p w14:paraId="00BD4F4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r>
      <w:tr w14:paraId="20F38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1" w:type="dxa"/>
            <w:vMerge w:val="continue"/>
            <w:tcBorders>
              <w:top w:val="single" w:color="auto" w:sz="4" w:space="0"/>
              <w:left w:val="single" w:color="auto" w:sz="4" w:space="0"/>
              <w:bottom w:val="single" w:color="auto" w:sz="4" w:space="0"/>
              <w:right w:val="single" w:color="auto" w:sz="4" w:space="0"/>
            </w:tcBorders>
            <w:noWrap w:val="0"/>
            <w:vAlign w:val="center"/>
          </w:tcPr>
          <w:p w14:paraId="3370DDB3">
            <w:pPr>
              <w:rPr>
                <w:rFonts w:hint="eastAsia" w:ascii="宋体" w:hAnsi="宋体" w:eastAsia="宋体" w:cs="宋体"/>
                <w:color w:val="auto"/>
                <w:sz w:val="21"/>
                <w:szCs w:val="21"/>
                <w:highlight w:val="none"/>
              </w:rPr>
            </w:pPr>
          </w:p>
        </w:tc>
        <w:tc>
          <w:tcPr>
            <w:tcW w:w="5527" w:type="dxa"/>
            <w:tcBorders>
              <w:top w:val="single" w:color="auto" w:sz="4" w:space="0"/>
              <w:left w:val="single" w:color="auto" w:sz="4" w:space="0"/>
              <w:bottom w:val="single" w:color="auto" w:sz="4" w:space="0"/>
              <w:right w:val="single" w:color="auto" w:sz="4" w:space="0"/>
            </w:tcBorders>
            <w:noWrap w:val="0"/>
            <w:vAlign w:val="center"/>
          </w:tcPr>
          <w:p w14:paraId="78D45BA9">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100%以上</w:t>
            </w:r>
          </w:p>
        </w:tc>
        <w:tc>
          <w:tcPr>
            <w:tcW w:w="1274" w:type="dxa"/>
            <w:tcBorders>
              <w:top w:val="single" w:color="auto" w:sz="4" w:space="0"/>
              <w:left w:val="single" w:color="auto" w:sz="4" w:space="0"/>
              <w:bottom w:val="single" w:color="auto" w:sz="4" w:space="0"/>
              <w:right w:val="single" w:color="auto" w:sz="4" w:space="0"/>
            </w:tcBorders>
            <w:noWrap w:val="0"/>
            <w:vAlign w:val="center"/>
          </w:tcPr>
          <w:p w14:paraId="4787BBC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4A672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1" w:type="dxa"/>
            <w:vMerge w:val="restart"/>
            <w:tcBorders>
              <w:top w:val="single" w:color="auto" w:sz="4" w:space="0"/>
              <w:left w:val="single" w:color="auto" w:sz="4" w:space="0"/>
              <w:right w:val="single" w:color="auto" w:sz="4" w:space="0"/>
            </w:tcBorders>
            <w:noWrap w:val="0"/>
            <w:vAlign w:val="center"/>
          </w:tcPr>
          <w:p w14:paraId="0F2FF08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复垦土地类型</w:t>
            </w:r>
          </w:p>
        </w:tc>
        <w:tc>
          <w:tcPr>
            <w:tcW w:w="5527" w:type="dxa"/>
            <w:tcBorders>
              <w:top w:val="single" w:color="auto" w:sz="4" w:space="0"/>
              <w:left w:val="single" w:color="auto" w:sz="4" w:space="0"/>
              <w:bottom w:val="single" w:color="auto" w:sz="4" w:space="0"/>
              <w:right w:val="single" w:color="auto" w:sz="4" w:space="0"/>
            </w:tcBorders>
            <w:noWrap w:val="0"/>
            <w:vAlign w:val="center"/>
          </w:tcPr>
          <w:p w14:paraId="25216EB8">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w:t>
            </w:r>
            <w:r>
              <w:rPr>
                <w:rFonts w:hint="eastAsia" w:ascii="宋体" w:hAnsi="宋体" w:cs="宋体"/>
                <w:color w:val="auto"/>
                <w:szCs w:val="21"/>
                <w:highlight w:val="none"/>
                <w:lang w:val="en-US" w:eastAsia="zh-CN"/>
              </w:rPr>
              <w:t>一类</w:t>
            </w:r>
            <w:r>
              <w:rPr>
                <w:rFonts w:hint="eastAsia" w:ascii="宋体" w:hAnsi="宋体" w:cs="宋体"/>
                <w:color w:val="auto"/>
                <w:szCs w:val="21"/>
                <w:highlight w:val="none"/>
              </w:rPr>
              <w:t>建设用地</w:t>
            </w:r>
          </w:p>
        </w:tc>
        <w:tc>
          <w:tcPr>
            <w:tcW w:w="1274" w:type="dxa"/>
            <w:tcBorders>
              <w:top w:val="single" w:color="auto" w:sz="4" w:space="0"/>
              <w:left w:val="single" w:color="auto" w:sz="4" w:space="0"/>
              <w:bottom w:val="single" w:color="auto" w:sz="4" w:space="0"/>
              <w:right w:val="single" w:color="auto" w:sz="4" w:space="0"/>
            </w:tcBorders>
            <w:noWrap w:val="0"/>
            <w:vAlign w:val="center"/>
          </w:tcPr>
          <w:p w14:paraId="003A36D1">
            <w:pPr>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w:t>
            </w:r>
          </w:p>
        </w:tc>
      </w:tr>
      <w:tr w14:paraId="56BEA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1" w:type="dxa"/>
            <w:vMerge w:val="continue"/>
            <w:tcBorders>
              <w:left w:val="single" w:color="auto" w:sz="4" w:space="0"/>
              <w:right w:val="single" w:color="auto" w:sz="4" w:space="0"/>
            </w:tcBorders>
            <w:noWrap w:val="0"/>
            <w:vAlign w:val="center"/>
          </w:tcPr>
          <w:p w14:paraId="745779CA">
            <w:pPr>
              <w:rPr>
                <w:rFonts w:hint="eastAsia" w:ascii="宋体" w:hAnsi="宋体" w:eastAsia="宋体" w:cs="宋体"/>
                <w:color w:val="auto"/>
                <w:sz w:val="21"/>
                <w:szCs w:val="21"/>
                <w:highlight w:val="none"/>
              </w:rPr>
            </w:pPr>
          </w:p>
        </w:tc>
        <w:tc>
          <w:tcPr>
            <w:tcW w:w="5527" w:type="dxa"/>
            <w:tcBorders>
              <w:top w:val="single" w:color="auto" w:sz="4" w:space="0"/>
              <w:left w:val="single" w:color="auto" w:sz="4" w:space="0"/>
              <w:bottom w:val="single" w:color="auto" w:sz="4" w:space="0"/>
              <w:right w:val="single" w:color="auto" w:sz="4" w:space="0"/>
            </w:tcBorders>
            <w:noWrap w:val="0"/>
            <w:vAlign w:val="center"/>
          </w:tcPr>
          <w:p w14:paraId="53D7FA8D">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w:t>
            </w:r>
            <w:r>
              <w:rPr>
                <w:rFonts w:hint="eastAsia" w:ascii="宋体" w:hAnsi="宋体" w:cs="宋体"/>
                <w:color w:val="auto"/>
                <w:szCs w:val="21"/>
                <w:highlight w:val="none"/>
                <w:lang w:val="en-US" w:eastAsia="zh-CN"/>
              </w:rPr>
              <w:t>二类</w:t>
            </w:r>
            <w:r>
              <w:rPr>
                <w:rFonts w:hint="eastAsia" w:ascii="宋体" w:hAnsi="宋体" w:cs="宋体"/>
                <w:color w:val="auto"/>
                <w:szCs w:val="21"/>
                <w:highlight w:val="none"/>
              </w:rPr>
              <w:t>建设用地</w:t>
            </w:r>
          </w:p>
        </w:tc>
        <w:tc>
          <w:tcPr>
            <w:tcW w:w="1274" w:type="dxa"/>
            <w:tcBorders>
              <w:top w:val="single" w:color="auto" w:sz="4" w:space="0"/>
              <w:left w:val="single" w:color="auto" w:sz="4" w:space="0"/>
              <w:bottom w:val="single" w:color="auto" w:sz="4" w:space="0"/>
              <w:right w:val="single" w:color="auto" w:sz="4" w:space="0"/>
            </w:tcBorders>
            <w:noWrap w:val="0"/>
            <w:vAlign w:val="center"/>
          </w:tcPr>
          <w:p w14:paraId="5EAB3A74">
            <w:pPr>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2</w:t>
            </w:r>
          </w:p>
        </w:tc>
      </w:tr>
      <w:tr w14:paraId="06D4A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1" w:type="dxa"/>
            <w:vMerge w:val="continue"/>
            <w:tcBorders>
              <w:left w:val="single" w:color="auto" w:sz="4" w:space="0"/>
              <w:right w:val="single" w:color="auto" w:sz="4" w:space="0"/>
            </w:tcBorders>
            <w:noWrap w:val="0"/>
            <w:vAlign w:val="center"/>
          </w:tcPr>
          <w:p w14:paraId="3BA00190">
            <w:pPr>
              <w:rPr>
                <w:rFonts w:hint="eastAsia" w:ascii="宋体" w:hAnsi="宋体" w:eastAsia="宋体" w:cs="宋体"/>
                <w:color w:val="auto"/>
                <w:sz w:val="21"/>
                <w:szCs w:val="21"/>
                <w:highlight w:val="none"/>
              </w:rPr>
            </w:pPr>
          </w:p>
        </w:tc>
        <w:tc>
          <w:tcPr>
            <w:tcW w:w="5527" w:type="dxa"/>
            <w:tcBorders>
              <w:top w:val="single" w:color="auto" w:sz="4" w:space="0"/>
              <w:left w:val="single" w:color="auto" w:sz="4" w:space="0"/>
              <w:bottom w:val="single" w:color="auto" w:sz="4" w:space="0"/>
              <w:right w:val="single" w:color="auto" w:sz="4" w:space="0"/>
            </w:tcBorders>
            <w:noWrap w:val="0"/>
            <w:vAlign w:val="center"/>
          </w:tcPr>
          <w:p w14:paraId="4F58B107">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严格管控类农用地</w:t>
            </w:r>
          </w:p>
        </w:tc>
        <w:tc>
          <w:tcPr>
            <w:tcW w:w="1274" w:type="dxa"/>
            <w:tcBorders>
              <w:top w:val="single" w:color="auto" w:sz="4" w:space="0"/>
              <w:left w:val="single" w:color="auto" w:sz="4" w:space="0"/>
              <w:bottom w:val="single" w:color="auto" w:sz="4" w:space="0"/>
              <w:right w:val="single" w:color="auto" w:sz="4" w:space="0"/>
            </w:tcBorders>
            <w:noWrap w:val="0"/>
            <w:vAlign w:val="center"/>
          </w:tcPr>
          <w:p w14:paraId="2228F55E">
            <w:pPr>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3</w:t>
            </w:r>
          </w:p>
        </w:tc>
      </w:tr>
      <w:tr w14:paraId="772F8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1" w:type="dxa"/>
            <w:vMerge w:val="continue"/>
            <w:tcBorders>
              <w:left w:val="single" w:color="auto" w:sz="4" w:space="0"/>
              <w:right w:val="single" w:color="auto" w:sz="4" w:space="0"/>
            </w:tcBorders>
            <w:noWrap w:val="0"/>
            <w:vAlign w:val="center"/>
          </w:tcPr>
          <w:p w14:paraId="71632A6C">
            <w:pPr>
              <w:rPr>
                <w:rFonts w:hint="eastAsia" w:ascii="宋体" w:hAnsi="宋体" w:eastAsia="宋体" w:cs="宋体"/>
                <w:color w:val="auto"/>
                <w:sz w:val="21"/>
                <w:szCs w:val="21"/>
                <w:highlight w:val="none"/>
              </w:rPr>
            </w:pPr>
          </w:p>
        </w:tc>
        <w:tc>
          <w:tcPr>
            <w:tcW w:w="5527" w:type="dxa"/>
            <w:tcBorders>
              <w:top w:val="single" w:color="auto" w:sz="4" w:space="0"/>
              <w:left w:val="single" w:color="auto" w:sz="4" w:space="0"/>
              <w:bottom w:val="single" w:color="auto" w:sz="4" w:space="0"/>
              <w:right w:val="single" w:color="auto" w:sz="4" w:space="0"/>
            </w:tcBorders>
            <w:noWrap w:val="0"/>
            <w:vAlign w:val="center"/>
          </w:tcPr>
          <w:p w14:paraId="376F1692">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安全利用类农用地</w:t>
            </w:r>
          </w:p>
        </w:tc>
        <w:tc>
          <w:tcPr>
            <w:tcW w:w="1274" w:type="dxa"/>
            <w:tcBorders>
              <w:top w:val="single" w:color="auto" w:sz="4" w:space="0"/>
              <w:left w:val="single" w:color="auto" w:sz="4" w:space="0"/>
              <w:bottom w:val="single" w:color="auto" w:sz="4" w:space="0"/>
              <w:right w:val="single" w:color="auto" w:sz="4" w:space="0"/>
            </w:tcBorders>
            <w:noWrap w:val="0"/>
            <w:vAlign w:val="center"/>
          </w:tcPr>
          <w:p w14:paraId="508C496F">
            <w:pPr>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4</w:t>
            </w:r>
          </w:p>
        </w:tc>
      </w:tr>
      <w:tr w14:paraId="18E2A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1" w:type="dxa"/>
            <w:vMerge w:val="continue"/>
            <w:tcBorders>
              <w:left w:val="single" w:color="auto" w:sz="4" w:space="0"/>
              <w:bottom w:val="single" w:color="auto" w:sz="4" w:space="0"/>
              <w:right w:val="single" w:color="auto" w:sz="4" w:space="0"/>
            </w:tcBorders>
            <w:noWrap w:val="0"/>
            <w:vAlign w:val="center"/>
          </w:tcPr>
          <w:p w14:paraId="54D6E9A6">
            <w:pPr>
              <w:rPr>
                <w:rFonts w:hint="eastAsia" w:ascii="宋体" w:hAnsi="宋体" w:eastAsia="宋体" w:cs="宋体"/>
                <w:color w:val="auto"/>
                <w:sz w:val="21"/>
                <w:szCs w:val="21"/>
                <w:highlight w:val="none"/>
              </w:rPr>
            </w:pPr>
          </w:p>
        </w:tc>
        <w:tc>
          <w:tcPr>
            <w:tcW w:w="5527" w:type="dxa"/>
            <w:tcBorders>
              <w:top w:val="single" w:color="auto" w:sz="4" w:space="0"/>
              <w:left w:val="single" w:color="auto" w:sz="4" w:space="0"/>
              <w:bottom w:val="single" w:color="auto" w:sz="4" w:space="0"/>
              <w:right w:val="single" w:color="auto" w:sz="4" w:space="0"/>
            </w:tcBorders>
            <w:noWrap w:val="0"/>
            <w:vAlign w:val="center"/>
          </w:tcPr>
          <w:p w14:paraId="235431C0">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优先保护类农用地</w:t>
            </w:r>
          </w:p>
        </w:tc>
        <w:tc>
          <w:tcPr>
            <w:tcW w:w="1274" w:type="dxa"/>
            <w:tcBorders>
              <w:top w:val="single" w:color="auto" w:sz="4" w:space="0"/>
              <w:left w:val="single" w:color="auto" w:sz="4" w:space="0"/>
              <w:bottom w:val="single" w:color="auto" w:sz="4" w:space="0"/>
              <w:right w:val="single" w:color="auto" w:sz="4" w:space="0"/>
            </w:tcBorders>
            <w:noWrap w:val="0"/>
            <w:vAlign w:val="center"/>
          </w:tcPr>
          <w:p w14:paraId="356736E5">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r>
      <w:tr w14:paraId="0775B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1" w:type="dxa"/>
            <w:vMerge w:val="restart"/>
            <w:tcBorders>
              <w:top w:val="single" w:color="auto" w:sz="4" w:space="0"/>
              <w:left w:val="single" w:color="auto" w:sz="4" w:space="0"/>
              <w:right w:val="single" w:color="auto" w:sz="4" w:space="0"/>
            </w:tcBorders>
            <w:noWrap w:val="0"/>
            <w:vAlign w:val="center"/>
          </w:tcPr>
          <w:p w14:paraId="30A5B2D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复垦</w:t>
            </w:r>
            <w:r>
              <w:rPr>
                <w:rFonts w:hint="eastAsia" w:ascii="宋体" w:hAnsi="宋体" w:cs="宋体"/>
                <w:color w:val="auto"/>
                <w:sz w:val="21"/>
                <w:szCs w:val="21"/>
                <w:highlight w:val="none"/>
                <w:lang w:val="en-US" w:eastAsia="zh-CN"/>
              </w:rPr>
              <w:t>土地</w:t>
            </w:r>
            <w:r>
              <w:rPr>
                <w:rFonts w:hint="eastAsia" w:ascii="宋体" w:hAnsi="宋体" w:eastAsia="宋体" w:cs="宋体"/>
                <w:color w:val="auto"/>
                <w:sz w:val="21"/>
                <w:szCs w:val="21"/>
                <w:highlight w:val="none"/>
              </w:rPr>
              <w:t>面积</w:t>
            </w:r>
          </w:p>
        </w:tc>
        <w:tc>
          <w:tcPr>
            <w:tcW w:w="5527" w:type="dxa"/>
            <w:tcBorders>
              <w:top w:val="single" w:color="auto" w:sz="4" w:space="0"/>
              <w:left w:val="single" w:color="auto" w:sz="4" w:space="0"/>
              <w:bottom w:val="single" w:color="auto" w:sz="4" w:space="0"/>
              <w:right w:val="single" w:color="auto" w:sz="4" w:space="0"/>
            </w:tcBorders>
            <w:noWrap w:val="0"/>
            <w:vAlign w:val="center"/>
          </w:tcPr>
          <w:p w14:paraId="563298E2">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不足500</w:t>
            </w:r>
            <w:r>
              <w:rPr>
                <w:rFonts w:hint="eastAsia" w:ascii="宋体" w:hAnsi="宋体" w:cs="宋体"/>
                <w:color w:val="auto"/>
                <w:sz w:val="21"/>
                <w:szCs w:val="21"/>
                <w:highlight w:val="none"/>
                <w:lang w:eastAsia="zh-CN"/>
              </w:rPr>
              <w:t>平方米</w:t>
            </w:r>
          </w:p>
        </w:tc>
        <w:tc>
          <w:tcPr>
            <w:tcW w:w="1274" w:type="dxa"/>
            <w:tcBorders>
              <w:top w:val="single" w:color="auto" w:sz="4" w:space="0"/>
              <w:left w:val="single" w:color="auto" w:sz="4" w:space="0"/>
              <w:bottom w:val="single" w:color="auto" w:sz="4" w:space="0"/>
              <w:right w:val="single" w:color="auto" w:sz="4" w:space="0"/>
            </w:tcBorders>
            <w:noWrap w:val="0"/>
            <w:vAlign w:val="center"/>
          </w:tcPr>
          <w:p w14:paraId="6D1ED34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65A0F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1" w:type="dxa"/>
            <w:vMerge w:val="continue"/>
            <w:tcBorders>
              <w:top w:val="single" w:color="auto" w:sz="4" w:space="0"/>
              <w:left w:val="single" w:color="auto" w:sz="4" w:space="0"/>
              <w:bottom w:val="single" w:color="auto" w:sz="4" w:space="0"/>
              <w:right w:val="single" w:color="auto" w:sz="4" w:space="0"/>
            </w:tcBorders>
            <w:noWrap w:val="0"/>
            <w:vAlign w:val="center"/>
          </w:tcPr>
          <w:p w14:paraId="0C07F1AE">
            <w:pPr>
              <w:rPr>
                <w:rFonts w:hint="eastAsia" w:ascii="宋体" w:hAnsi="宋体" w:eastAsia="宋体" w:cs="宋体"/>
                <w:color w:val="auto"/>
                <w:sz w:val="21"/>
                <w:szCs w:val="21"/>
                <w:highlight w:val="none"/>
              </w:rPr>
            </w:pPr>
          </w:p>
        </w:tc>
        <w:tc>
          <w:tcPr>
            <w:tcW w:w="5527" w:type="dxa"/>
            <w:tcBorders>
              <w:top w:val="single" w:color="auto" w:sz="4" w:space="0"/>
              <w:left w:val="single" w:color="auto" w:sz="4" w:space="0"/>
              <w:bottom w:val="single" w:color="auto" w:sz="4" w:space="0"/>
              <w:right w:val="single" w:color="auto" w:sz="4" w:space="0"/>
            </w:tcBorders>
            <w:noWrap w:val="0"/>
            <w:vAlign w:val="center"/>
          </w:tcPr>
          <w:p w14:paraId="560380E0">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500</w:t>
            </w:r>
            <w:r>
              <w:rPr>
                <w:rFonts w:hint="eastAsia" w:ascii="宋体" w:hAnsi="宋体" w:cs="宋体"/>
                <w:color w:val="auto"/>
                <w:sz w:val="21"/>
                <w:szCs w:val="21"/>
                <w:highlight w:val="none"/>
                <w:lang w:eastAsia="zh-CN"/>
              </w:rPr>
              <w:t>平方米</w:t>
            </w:r>
            <w:r>
              <w:rPr>
                <w:rFonts w:hint="eastAsia" w:ascii="宋体" w:hAnsi="宋体" w:eastAsia="宋体" w:cs="宋体"/>
                <w:color w:val="auto"/>
                <w:sz w:val="21"/>
                <w:szCs w:val="21"/>
                <w:highlight w:val="none"/>
              </w:rPr>
              <w:t>以上不足5000</w:t>
            </w:r>
            <w:r>
              <w:rPr>
                <w:rFonts w:hint="eastAsia" w:ascii="宋体" w:hAnsi="宋体" w:cs="宋体"/>
                <w:color w:val="auto"/>
                <w:sz w:val="21"/>
                <w:szCs w:val="21"/>
                <w:highlight w:val="none"/>
                <w:lang w:eastAsia="zh-CN"/>
              </w:rPr>
              <w:t>平方米</w:t>
            </w:r>
          </w:p>
        </w:tc>
        <w:tc>
          <w:tcPr>
            <w:tcW w:w="1274" w:type="dxa"/>
            <w:tcBorders>
              <w:top w:val="single" w:color="auto" w:sz="4" w:space="0"/>
              <w:left w:val="single" w:color="auto" w:sz="4" w:space="0"/>
              <w:bottom w:val="single" w:color="auto" w:sz="4" w:space="0"/>
              <w:right w:val="single" w:color="auto" w:sz="4" w:space="0"/>
            </w:tcBorders>
            <w:noWrap w:val="0"/>
            <w:vAlign w:val="center"/>
          </w:tcPr>
          <w:p w14:paraId="4E00570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r>
      <w:tr w14:paraId="6FF9B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1" w:type="dxa"/>
            <w:vMerge w:val="continue"/>
            <w:tcBorders>
              <w:top w:val="single" w:color="auto" w:sz="4" w:space="0"/>
              <w:left w:val="single" w:color="auto" w:sz="4" w:space="0"/>
              <w:bottom w:val="single" w:color="auto" w:sz="4" w:space="0"/>
              <w:right w:val="single" w:color="auto" w:sz="4" w:space="0"/>
            </w:tcBorders>
            <w:noWrap w:val="0"/>
            <w:vAlign w:val="center"/>
          </w:tcPr>
          <w:p w14:paraId="294521A3">
            <w:pPr>
              <w:rPr>
                <w:rFonts w:hint="eastAsia" w:ascii="宋体" w:hAnsi="宋体" w:eastAsia="宋体" w:cs="宋体"/>
                <w:color w:val="auto"/>
                <w:sz w:val="21"/>
                <w:szCs w:val="21"/>
                <w:highlight w:val="none"/>
              </w:rPr>
            </w:pPr>
          </w:p>
        </w:tc>
        <w:tc>
          <w:tcPr>
            <w:tcW w:w="5527" w:type="dxa"/>
            <w:tcBorders>
              <w:top w:val="single" w:color="auto" w:sz="4" w:space="0"/>
              <w:left w:val="single" w:color="auto" w:sz="4" w:space="0"/>
              <w:bottom w:val="single" w:color="auto" w:sz="4" w:space="0"/>
              <w:right w:val="single" w:color="auto" w:sz="4" w:space="0"/>
            </w:tcBorders>
            <w:noWrap w:val="0"/>
            <w:vAlign w:val="center"/>
          </w:tcPr>
          <w:p w14:paraId="467F941D">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5000</w:t>
            </w:r>
            <w:r>
              <w:rPr>
                <w:rFonts w:hint="eastAsia" w:ascii="宋体" w:hAnsi="宋体" w:cs="宋体"/>
                <w:color w:val="auto"/>
                <w:sz w:val="21"/>
                <w:szCs w:val="21"/>
                <w:highlight w:val="none"/>
                <w:lang w:eastAsia="zh-CN"/>
              </w:rPr>
              <w:t>平方米</w:t>
            </w:r>
            <w:r>
              <w:rPr>
                <w:rFonts w:hint="eastAsia" w:ascii="宋体" w:hAnsi="宋体" w:eastAsia="宋体" w:cs="宋体"/>
                <w:color w:val="auto"/>
                <w:sz w:val="21"/>
                <w:szCs w:val="21"/>
                <w:highlight w:val="none"/>
              </w:rPr>
              <w:t xml:space="preserve"> 以上不足10000</w:t>
            </w:r>
            <w:r>
              <w:rPr>
                <w:rFonts w:hint="eastAsia" w:ascii="宋体" w:hAnsi="宋体" w:cs="宋体"/>
                <w:color w:val="auto"/>
                <w:sz w:val="21"/>
                <w:szCs w:val="21"/>
                <w:highlight w:val="none"/>
                <w:lang w:eastAsia="zh-CN"/>
              </w:rPr>
              <w:t>平方米</w:t>
            </w:r>
            <w:r>
              <w:rPr>
                <w:rFonts w:hint="eastAsia" w:ascii="宋体" w:hAnsi="宋体" w:eastAsia="宋体" w:cs="宋体"/>
                <w:color w:val="auto"/>
                <w:sz w:val="21"/>
                <w:szCs w:val="21"/>
                <w:highlight w:val="none"/>
              </w:rPr>
              <w:t xml:space="preserve"> </w:t>
            </w:r>
          </w:p>
        </w:tc>
        <w:tc>
          <w:tcPr>
            <w:tcW w:w="1274" w:type="dxa"/>
            <w:tcBorders>
              <w:top w:val="single" w:color="auto" w:sz="4" w:space="0"/>
              <w:left w:val="single" w:color="auto" w:sz="4" w:space="0"/>
              <w:bottom w:val="single" w:color="auto" w:sz="4" w:space="0"/>
              <w:right w:val="single" w:color="auto" w:sz="4" w:space="0"/>
            </w:tcBorders>
            <w:noWrap w:val="0"/>
            <w:vAlign w:val="center"/>
          </w:tcPr>
          <w:p w14:paraId="60BC484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13E62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1" w:type="dxa"/>
            <w:vMerge w:val="continue"/>
            <w:tcBorders>
              <w:top w:val="single" w:color="auto" w:sz="4" w:space="0"/>
              <w:left w:val="single" w:color="auto" w:sz="4" w:space="0"/>
              <w:bottom w:val="single" w:color="auto" w:sz="4" w:space="0"/>
              <w:right w:val="single" w:color="auto" w:sz="4" w:space="0"/>
            </w:tcBorders>
            <w:noWrap w:val="0"/>
            <w:vAlign w:val="center"/>
          </w:tcPr>
          <w:p w14:paraId="5747BC74">
            <w:pPr>
              <w:rPr>
                <w:rFonts w:hint="eastAsia" w:ascii="宋体" w:hAnsi="宋体" w:eastAsia="宋体" w:cs="宋体"/>
                <w:color w:val="auto"/>
                <w:sz w:val="21"/>
                <w:szCs w:val="21"/>
                <w:highlight w:val="none"/>
              </w:rPr>
            </w:pPr>
          </w:p>
        </w:tc>
        <w:tc>
          <w:tcPr>
            <w:tcW w:w="5527" w:type="dxa"/>
            <w:tcBorders>
              <w:top w:val="single" w:color="auto" w:sz="4" w:space="0"/>
              <w:left w:val="single" w:color="auto" w:sz="4" w:space="0"/>
              <w:bottom w:val="single" w:color="auto" w:sz="4" w:space="0"/>
              <w:right w:val="single" w:color="auto" w:sz="4" w:space="0"/>
            </w:tcBorders>
            <w:noWrap w:val="0"/>
            <w:vAlign w:val="center"/>
          </w:tcPr>
          <w:p w14:paraId="5E0B5637">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10000</w:t>
            </w:r>
            <w:r>
              <w:rPr>
                <w:rFonts w:hint="eastAsia" w:ascii="宋体" w:hAnsi="宋体" w:cs="宋体"/>
                <w:color w:val="auto"/>
                <w:sz w:val="21"/>
                <w:szCs w:val="21"/>
                <w:highlight w:val="none"/>
                <w:lang w:eastAsia="zh-CN"/>
              </w:rPr>
              <w:t>平方米</w:t>
            </w:r>
            <w:r>
              <w:rPr>
                <w:rFonts w:hint="eastAsia" w:ascii="宋体" w:hAnsi="宋体" w:eastAsia="宋体" w:cs="宋体"/>
                <w:color w:val="auto"/>
                <w:sz w:val="21"/>
                <w:szCs w:val="21"/>
                <w:highlight w:val="none"/>
              </w:rPr>
              <w:t xml:space="preserve"> 以上不足20000</w:t>
            </w:r>
            <w:r>
              <w:rPr>
                <w:rFonts w:hint="eastAsia" w:ascii="宋体" w:hAnsi="宋体" w:cs="宋体"/>
                <w:color w:val="auto"/>
                <w:sz w:val="21"/>
                <w:szCs w:val="21"/>
                <w:highlight w:val="none"/>
                <w:lang w:eastAsia="zh-CN"/>
              </w:rPr>
              <w:t>平方米</w:t>
            </w:r>
            <w:r>
              <w:rPr>
                <w:rFonts w:hint="eastAsia" w:ascii="宋体" w:hAnsi="宋体" w:eastAsia="宋体" w:cs="宋体"/>
                <w:color w:val="auto"/>
                <w:sz w:val="21"/>
                <w:szCs w:val="21"/>
                <w:highlight w:val="none"/>
              </w:rPr>
              <w:t xml:space="preserve"> </w:t>
            </w:r>
          </w:p>
        </w:tc>
        <w:tc>
          <w:tcPr>
            <w:tcW w:w="1274" w:type="dxa"/>
            <w:tcBorders>
              <w:top w:val="single" w:color="auto" w:sz="4" w:space="0"/>
              <w:left w:val="single" w:color="auto" w:sz="4" w:space="0"/>
              <w:bottom w:val="single" w:color="auto" w:sz="4" w:space="0"/>
              <w:right w:val="single" w:color="auto" w:sz="4" w:space="0"/>
            </w:tcBorders>
            <w:noWrap w:val="0"/>
            <w:vAlign w:val="center"/>
          </w:tcPr>
          <w:p w14:paraId="7E80384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r>
      <w:tr w14:paraId="34F5F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1" w:type="dxa"/>
            <w:vMerge w:val="continue"/>
            <w:tcBorders>
              <w:top w:val="single" w:color="auto" w:sz="4" w:space="0"/>
              <w:left w:val="single" w:color="auto" w:sz="4" w:space="0"/>
              <w:bottom w:val="single" w:color="auto" w:sz="4" w:space="0"/>
              <w:right w:val="single" w:color="auto" w:sz="4" w:space="0"/>
            </w:tcBorders>
            <w:noWrap w:val="0"/>
            <w:vAlign w:val="center"/>
          </w:tcPr>
          <w:p w14:paraId="050469B7">
            <w:pPr>
              <w:rPr>
                <w:rFonts w:hint="eastAsia" w:ascii="宋体" w:hAnsi="宋体" w:eastAsia="宋体" w:cs="宋体"/>
                <w:color w:val="auto"/>
                <w:sz w:val="21"/>
                <w:szCs w:val="21"/>
                <w:highlight w:val="none"/>
              </w:rPr>
            </w:pPr>
          </w:p>
        </w:tc>
        <w:tc>
          <w:tcPr>
            <w:tcW w:w="5527" w:type="dxa"/>
            <w:tcBorders>
              <w:top w:val="single" w:color="auto" w:sz="4" w:space="0"/>
              <w:left w:val="single" w:color="auto" w:sz="4" w:space="0"/>
              <w:bottom w:val="single" w:color="auto" w:sz="4" w:space="0"/>
              <w:right w:val="single" w:color="auto" w:sz="4" w:space="0"/>
            </w:tcBorders>
            <w:noWrap w:val="0"/>
            <w:vAlign w:val="center"/>
          </w:tcPr>
          <w:p w14:paraId="64251FA3">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20000</w:t>
            </w:r>
            <w:r>
              <w:rPr>
                <w:rFonts w:hint="eastAsia" w:ascii="宋体" w:hAnsi="宋体" w:cs="宋体"/>
                <w:color w:val="auto"/>
                <w:sz w:val="21"/>
                <w:szCs w:val="21"/>
                <w:highlight w:val="none"/>
                <w:lang w:eastAsia="zh-CN"/>
              </w:rPr>
              <w:t>平方米</w:t>
            </w:r>
            <w:r>
              <w:rPr>
                <w:rFonts w:hint="eastAsia" w:ascii="宋体" w:hAnsi="宋体" w:eastAsia="宋体" w:cs="宋体"/>
                <w:color w:val="auto"/>
                <w:sz w:val="21"/>
                <w:szCs w:val="21"/>
                <w:highlight w:val="none"/>
              </w:rPr>
              <w:t xml:space="preserve"> 以上</w:t>
            </w:r>
          </w:p>
        </w:tc>
        <w:tc>
          <w:tcPr>
            <w:tcW w:w="1274" w:type="dxa"/>
            <w:tcBorders>
              <w:top w:val="single" w:color="auto" w:sz="4" w:space="0"/>
              <w:left w:val="single" w:color="auto" w:sz="4" w:space="0"/>
              <w:bottom w:val="single" w:color="auto" w:sz="4" w:space="0"/>
              <w:right w:val="single" w:color="auto" w:sz="4" w:space="0"/>
            </w:tcBorders>
            <w:noWrap w:val="0"/>
            <w:vAlign w:val="center"/>
          </w:tcPr>
          <w:p w14:paraId="42FD6F5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bl>
    <w:p w14:paraId="317B5BC1">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504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23"/>
        <w:gridCol w:w="5855"/>
        <w:gridCol w:w="1351"/>
      </w:tblGrid>
      <w:tr w14:paraId="5657D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8599" w:type="dxa"/>
            <w:gridSpan w:val="3"/>
            <w:noWrap w:val="0"/>
            <w:vAlign w:val="center"/>
          </w:tcPr>
          <w:p w14:paraId="3FAC298A">
            <w:pPr>
              <w:jc w:val="center"/>
              <w:rPr>
                <w:rFonts w:hint="eastAsia" w:ascii="宋体" w:hAnsi="宋体" w:eastAsia="宋体" w:cs="宋体"/>
                <w:bCs/>
                <w:color w:val="auto"/>
                <w:sz w:val="21"/>
                <w:szCs w:val="21"/>
                <w:highlight w:val="none"/>
                <w:lang w:eastAsia="zh-CN"/>
              </w:rPr>
            </w:pPr>
            <w:r>
              <w:rPr>
                <w:rFonts w:hint="eastAsia" w:ascii="宋体" w:hAnsi="宋体" w:eastAsia="宋体" w:cs="宋体"/>
                <w:color w:val="auto"/>
                <w:sz w:val="21"/>
                <w:szCs w:val="21"/>
                <w:highlight w:val="none"/>
                <w:lang w:eastAsia="zh-CN"/>
              </w:rPr>
              <w:t>（七）土壤污染防治类</w:t>
            </w:r>
          </w:p>
        </w:tc>
      </w:tr>
      <w:tr w14:paraId="68248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736" w:type="dxa"/>
            <w:noWrap w:val="0"/>
            <w:vAlign w:val="center"/>
          </w:tcPr>
          <w:p w14:paraId="6FDF1C9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863" w:type="dxa"/>
            <w:gridSpan w:val="2"/>
            <w:noWrap w:val="0"/>
            <w:vAlign w:val="center"/>
          </w:tcPr>
          <w:p w14:paraId="2B0A427B">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13</w:t>
            </w:r>
          </w:p>
        </w:tc>
      </w:tr>
      <w:tr w14:paraId="07475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736" w:type="dxa"/>
            <w:noWrap w:val="0"/>
            <w:vAlign w:val="center"/>
          </w:tcPr>
          <w:p w14:paraId="0ACD6F9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6863" w:type="dxa"/>
            <w:gridSpan w:val="2"/>
            <w:noWrap w:val="0"/>
            <w:vAlign w:val="center"/>
          </w:tcPr>
          <w:p w14:paraId="006BFC9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土壤污染责任人或者土地使用权人未按照要求实施后期管理的</w:t>
            </w:r>
          </w:p>
        </w:tc>
      </w:tr>
      <w:tr w14:paraId="2DE64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2" w:hRule="atLeast"/>
          <w:jc w:val="center"/>
        </w:trPr>
        <w:tc>
          <w:tcPr>
            <w:tcW w:w="1736" w:type="dxa"/>
            <w:noWrap w:val="0"/>
            <w:vAlign w:val="center"/>
          </w:tcPr>
          <w:p w14:paraId="03499A6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6863" w:type="dxa"/>
            <w:gridSpan w:val="2"/>
            <w:noWrap w:val="0"/>
            <w:vAlign w:val="center"/>
          </w:tcPr>
          <w:p w14:paraId="7014DA5B">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《中华人民共和国生态环境法典》第四百三十七条</w:t>
            </w:r>
            <w:r>
              <w:rPr>
                <w:rFonts w:hint="eastAsia" w:ascii="宋体" w:hAnsi="宋体" w:eastAsia="宋体" w:cs="宋体"/>
                <w:color w:val="auto"/>
                <w:sz w:val="21"/>
                <w:szCs w:val="21"/>
                <w:highlight w:val="none"/>
                <w:lang w:val="en-US" w:eastAsia="zh-CN"/>
              </w:rPr>
              <w:t>第三款</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风险管控、修复活动完成后，需要实施后期管理的，土壤污染责任人应当按照要求实施后期管理。</w:t>
            </w:r>
          </w:p>
          <w:p w14:paraId="321B2451">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第四百三十九条第一款　土壤污染责任人负有实施土壤污染风险管控和修复的义务。土壤污染责任人无法认定的，土地使用权人应当实施土壤污染风险管控和修复。</w:t>
            </w:r>
          </w:p>
        </w:tc>
      </w:tr>
      <w:tr w14:paraId="7BF57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1736" w:type="dxa"/>
            <w:noWrap w:val="0"/>
            <w:vAlign w:val="center"/>
          </w:tcPr>
          <w:p w14:paraId="6009622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6863" w:type="dxa"/>
            <w:gridSpan w:val="2"/>
            <w:noWrap w:val="0"/>
            <w:vAlign w:val="center"/>
          </w:tcPr>
          <w:p w14:paraId="6B18D13F">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《中华人民共和国生态环境法典》第一千一百六十四条  违反本法规定，土壤污染责任人或者土地使用权人未按照要求实施后期管理的，由负有生态环境保护监督管理职责的部门按照职责分工责令改正，处一万元以上五万元以下的罚款</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w:t>
            </w:r>
          </w:p>
        </w:tc>
      </w:tr>
      <w:tr w14:paraId="043B7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736" w:type="dxa"/>
            <w:noWrap w:val="0"/>
            <w:vAlign w:val="center"/>
          </w:tcPr>
          <w:p w14:paraId="551C1A7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576" w:type="dxa"/>
            <w:noWrap w:val="0"/>
            <w:vAlign w:val="center"/>
          </w:tcPr>
          <w:p w14:paraId="12A5FE6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287" w:type="dxa"/>
            <w:noWrap w:val="0"/>
            <w:vAlign w:val="center"/>
          </w:tcPr>
          <w:p w14:paraId="67D025B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26232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736" w:type="dxa"/>
            <w:vMerge w:val="restart"/>
            <w:noWrap w:val="0"/>
            <w:vAlign w:val="center"/>
          </w:tcPr>
          <w:p w14:paraId="6B2331C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违法事实</w:t>
            </w:r>
          </w:p>
        </w:tc>
        <w:tc>
          <w:tcPr>
            <w:tcW w:w="5576" w:type="dxa"/>
            <w:noWrap w:val="0"/>
            <w:vAlign w:val="bottom"/>
          </w:tcPr>
          <w:p w14:paraId="6E06B956">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已实施后期管理，但未按照要求的</w:t>
            </w:r>
          </w:p>
        </w:tc>
        <w:tc>
          <w:tcPr>
            <w:tcW w:w="1287" w:type="dxa"/>
            <w:noWrap w:val="0"/>
            <w:vAlign w:val="bottom"/>
          </w:tcPr>
          <w:p w14:paraId="665EAE6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6916D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736" w:type="dxa"/>
            <w:vMerge w:val="continue"/>
            <w:noWrap w:val="0"/>
            <w:vAlign w:val="center"/>
          </w:tcPr>
          <w:p w14:paraId="5CD2BAC9">
            <w:pPr>
              <w:rPr>
                <w:rFonts w:hint="eastAsia" w:ascii="宋体" w:hAnsi="宋体" w:eastAsia="宋体" w:cs="宋体"/>
                <w:color w:val="auto"/>
                <w:sz w:val="21"/>
                <w:szCs w:val="21"/>
                <w:highlight w:val="none"/>
              </w:rPr>
            </w:pPr>
          </w:p>
        </w:tc>
        <w:tc>
          <w:tcPr>
            <w:tcW w:w="5576" w:type="dxa"/>
            <w:noWrap w:val="0"/>
            <w:vAlign w:val="bottom"/>
          </w:tcPr>
          <w:p w14:paraId="39112BBA">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未实施后期管理的</w:t>
            </w:r>
          </w:p>
        </w:tc>
        <w:tc>
          <w:tcPr>
            <w:tcW w:w="1287" w:type="dxa"/>
            <w:noWrap w:val="0"/>
            <w:vAlign w:val="bottom"/>
          </w:tcPr>
          <w:p w14:paraId="44C7263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5862B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736" w:type="dxa"/>
            <w:vMerge w:val="restart"/>
            <w:noWrap w:val="0"/>
            <w:vAlign w:val="center"/>
          </w:tcPr>
          <w:p w14:paraId="35835D5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涉及面积</w:t>
            </w:r>
          </w:p>
        </w:tc>
        <w:tc>
          <w:tcPr>
            <w:tcW w:w="5576" w:type="dxa"/>
            <w:noWrap w:val="0"/>
            <w:vAlign w:val="center"/>
          </w:tcPr>
          <w:p w14:paraId="170B7DBF">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不足500</w:t>
            </w:r>
            <w:r>
              <w:rPr>
                <w:rFonts w:hint="eastAsia" w:ascii="宋体" w:hAnsi="宋体" w:cs="宋体"/>
                <w:color w:val="auto"/>
                <w:sz w:val="21"/>
                <w:szCs w:val="21"/>
                <w:highlight w:val="none"/>
                <w:lang w:eastAsia="zh-CN"/>
              </w:rPr>
              <w:t>平方米</w:t>
            </w:r>
          </w:p>
        </w:tc>
        <w:tc>
          <w:tcPr>
            <w:tcW w:w="1287" w:type="dxa"/>
            <w:noWrap w:val="0"/>
            <w:vAlign w:val="center"/>
          </w:tcPr>
          <w:p w14:paraId="04F7FAF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03B11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736" w:type="dxa"/>
            <w:vMerge w:val="continue"/>
            <w:noWrap w:val="0"/>
            <w:vAlign w:val="center"/>
          </w:tcPr>
          <w:p w14:paraId="60794442">
            <w:pPr>
              <w:rPr>
                <w:rFonts w:hint="eastAsia" w:ascii="宋体" w:hAnsi="宋体" w:eastAsia="宋体" w:cs="宋体"/>
                <w:color w:val="auto"/>
                <w:sz w:val="21"/>
                <w:szCs w:val="21"/>
                <w:highlight w:val="none"/>
              </w:rPr>
            </w:pPr>
          </w:p>
        </w:tc>
        <w:tc>
          <w:tcPr>
            <w:tcW w:w="5576" w:type="dxa"/>
            <w:noWrap w:val="0"/>
            <w:vAlign w:val="center"/>
          </w:tcPr>
          <w:p w14:paraId="01810816">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500</w:t>
            </w:r>
            <w:r>
              <w:rPr>
                <w:rFonts w:hint="eastAsia" w:ascii="宋体" w:hAnsi="宋体" w:cs="宋体"/>
                <w:color w:val="auto"/>
                <w:sz w:val="21"/>
                <w:szCs w:val="21"/>
                <w:highlight w:val="none"/>
                <w:lang w:eastAsia="zh-CN"/>
              </w:rPr>
              <w:t>平方米</w:t>
            </w:r>
            <w:r>
              <w:rPr>
                <w:rFonts w:hint="eastAsia" w:ascii="宋体" w:hAnsi="宋体" w:eastAsia="宋体" w:cs="宋体"/>
                <w:color w:val="auto"/>
                <w:sz w:val="21"/>
                <w:szCs w:val="21"/>
                <w:highlight w:val="none"/>
              </w:rPr>
              <w:t>以上不足5000</w:t>
            </w:r>
            <w:r>
              <w:rPr>
                <w:rFonts w:hint="eastAsia" w:ascii="宋体" w:hAnsi="宋体" w:cs="宋体"/>
                <w:color w:val="auto"/>
                <w:sz w:val="21"/>
                <w:szCs w:val="21"/>
                <w:highlight w:val="none"/>
                <w:lang w:eastAsia="zh-CN"/>
              </w:rPr>
              <w:t>平方米</w:t>
            </w:r>
          </w:p>
        </w:tc>
        <w:tc>
          <w:tcPr>
            <w:tcW w:w="1287" w:type="dxa"/>
            <w:noWrap w:val="0"/>
            <w:vAlign w:val="center"/>
          </w:tcPr>
          <w:p w14:paraId="7495D32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r>
      <w:tr w14:paraId="12F4B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736" w:type="dxa"/>
            <w:vMerge w:val="continue"/>
            <w:noWrap w:val="0"/>
            <w:vAlign w:val="center"/>
          </w:tcPr>
          <w:p w14:paraId="19E5AFA7">
            <w:pPr>
              <w:rPr>
                <w:rFonts w:hint="eastAsia" w:ascii="宋体" w:hAnsi="宋体" w:eastAsia="宋体" w:cs="宋体"/>
                <w:color w:val="auto"/>
                <w:sz w:val="21"/>
                <w:szCs w:val="21"/>
                <w:highlight w:val="none"/>
              </w:rPr>
            </w:pPr>
          </w:p>
        </w:tc>
        <w:tc>
          <w:tcPr>
            <w:tcW w:w="5576" w:type="dxa"/>
            <w:noWrap w:val="0"/>
            <w:vAlign w:val="center"/>
          </w:tcPr>
          <w:p w14:paraId="739637B3">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5000</w:t>
            </w:r>
            <w:r>
              <w:rPr>
                <w:rFonts w:hint="eastAsia" w:ascii="宋体" w:hAnsi="宋体" w:cs="宋体"/>
                <w:color w:val="auto"/>
                <w:sz w:val="21"/>
                <w:szCs w:val="21"/>
                <w:highlight w:val="none"/>
                <w:lang w:eastAsia="zh-CN"/>
              </w:rPr>
              <w:t>平方米</w:t>
            </w:r>
            <w:r>
              <w:rPr>
                <w:rFonts w:hint="eastAsia" w:ascii="宋体" w:hAnsi="宋体" w:eastAsia="宋体" w:cs="宋体"/>
                <w:color w:val="auto"/>
                <w:sz w:val="21"/>
                <w:szCs w:val="21"/>
                <w:highlight w:val="none"/>
              </w:rPr>
              <w:t xml:space="preserve"> 以上不足10000</w:t>
            </w:r>
            <w:r>
              <w:rPr>
                <w:rFonts w:hint="eastAsia" w:ascii="宋体" w:hAnsi="宋体" w:cs="宋体"/>
                <w:color w:val="auto"/>
                <w:sz w:val="21"/>
                <w:szCs w:val="21"/>
                <w:highlight w:val="none"/>
                <w:lang w:eastAsia="zh-CN"/>
              </w:rPr>
              <w:t>平方米</w:t>
            </w:r>
            <w:r>
              <w:rPr>
                <w:rFonts w:hint="eastAsia" w:ascii="宋体" w:hAnsi="宋体" w:eastAsia="宋体" w:cs="宋体"/>
                <w:color w:val="auto"/>
                <w:sz w:val="21"/>
                <w:szCs w:val="21"/>
                <w:highlight w:val="none"/>
              </w:rPr>
              <w:t xml:space="preserve"> </w:t>
            </w:r>
          </w:p>
        </w:tc>
        <w:tc>
          <w:tcPr>
            <w:tcW w:w="1287" w:type="dxa"/>
            <w:noWrap w:val="0"/>
            <w:vAlign w:val="center"/>
          </w:tcPr>
          <w:p w14:paraId="6087E72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5F782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736" w:type="dxa"/>
            <w:vMerge w:val="continue"/>
            <w:noWrap w:val="0"/>
            <w:vAlign w:val="center"/>
          </w:tcPr>
          <w:p w14:paraId="1316B69A">
            <w:pPr>
              <w:rPr>
                <w:rFonts w:hint="eastAsia" w:ascii="宋体" w:hAnsi="宋体" w:eastAsia="宋体" w:cs="宋体"/>
                <w:color w:val="auto"/>
                <w:sz w:val="21"/>
                <w:szCs w:val="21"/>
                <w:highlight w:val="none"/>
              </w:rPr>
            </w:pPr>
          </w:p>
        </w:tc>
        <w:tc>
          <w:tcPr>
            <w:tcW w:w="5576" w:type="dxa"/>
            <w:noWrap w:val="0"/>
            <w:vAlign w:val="center"/>
          </w:tcPr>
          <w:p w14:paraId="7DB6DF20">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10000</w:t>
            </w:r>
            <w:r>
              <w:rPr>
                <w:rFonts w:hint="eastAsia" w:ascii="宋体" w:hAnsi="宋体" w:cs="宋体"/>
                <w:color w:val="auto"/>
                <w:sz w:val="21"/>
                <w:szCs w:val="21"/>
                <w:highlight w:val="none"/>
                <w:lang w:eastAsia="zh-CN"/>
              </w:rPr>
              <w:t>平方米</w:t>
            </w:r>
            <w:r>
              <w:rPr>
                <w:rFonts w:hint="eastAsia" w:ascii="宋体" w:hAnsi="宋体" w:eastAsia="宋体" w:cs="宋体"/>
                <w:color w:val="auto"/>
                <w:sz w:val="21"/>
                <w:szCs w:val="21"/>
                <w:highlight w:val="none"/>
              </w:rPr>
              <w:t xml:space="preserve"> 以上不足 20000</w:t>
            </w:r>
            <w:r>
              <w:rPr>
                <w:rFonts w:hint="eastAsia" w:ascii="宋体" w:hAnsi="宋体" w:cs="宋体"/>
                <w:color w:val="auto"/>
                <w:sz w:val="21"/>
                <w:szCs w:val="21"/>
                <w:highlight w:val="none"/>
                <w:lang w:eastAsia="zh-CN"/>
              </w:rPr>
              <w:t>平方米</w:t>
            </w:r>
            <w:r>
              <w:rPr>
                <w:rFonts w:hint="eastAsia" w:ascii="宋体" w:hAnsi="宋体" w:eastAsia="宋体" w:cs="宋体"/>
                <w:color w:val="auto"/>
                <w:sz w:val="21"/>
                <w:szCs w:val="21"/>
                <w:highlight w:val="none"/>
              </w:rPr>
              <w:t xml:space="preserve"> </w:t>
            </w:r>
          </w:p>
        </w:tc>
        <w:tc>
          <w:tcPr>
            <w:tcW w:w="1287" w:type="dxa"/>
            <w:noWrap w:val="0"/>
            <w:vAlign w:val="center"/>
          </w:tcPr>
          <w:p w14:paraId="1B7A944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r>
      <w:tr w14:paraId="3CE0C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736" w:type="dxa"/>
            <w:vMerge w:val="continue"/>
            <w:noWrap w:val="0"/>
            <w:vAlign w:val="center"/>
          </w:tcPr>
          <w:p w14:paraId="35C4D9DC">
            <w:pPr>
              <w:rPr>
                <w:rFonts w:hint="eastAsia" w:ascii="宋体" w:hAnsi="宋体" w:eastAsia="宋体" w:cs="宋体"/>
                <w:color w:val="auto"/>
                <w:sz w:val="21"/>
                <w:szCs w:val="21"/>
                <w:highlight w:val="none"/>
              </w:rPr>
            </w:pPr>
          </w:p>
        </w:tc>
        <w:tc>
          <w:tcPr>
            <w:tcW w:w="5576" w:type="dxa"/>
            <w:noWrap w:val="0"/>
            <w:vAlign w:val="center"/>
          </w:tcPr>
          <w:p w14:paraId="703E93D6">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20000</w:t>
            </w:r>
            <w:r>
              <w:rPr>
                <w:rFonts w:hint="eastAsia" w:ascii="宋体" w:hAnsi="宋体" w:cs="宋体"/>
                <w:color w:val="auto"/>
                <w:sz w:val="21"/>
                <w:szCs w:val="21"/>
                <w:highlight w:val="none"/>
                <w:lang w:eastAsia="zh-CN"/>
              </w:rPr>
              <w:t>平方米</w:t>
            </w:r>
            <w:r>
              <w:rPr>
                <w:rFonts w:hint="eastAsia" w:ascii="宋体" w:hAnsi="宋体" w:eastAsia="宋体" w:cs="宋体"/>
                <w:color w:val="auto"/>
                <w:sz w:val="21"/>
                <w:szCs w:val="21"/>
                <w:highlight w:val="none"/>
              </w:rPr>
              <w:t xml:space="preserve"> 以上</w:t>
            </w:r>
          </w:p>
        </w:tc>
        <w:tc>
          <w:tcPr>
            <w:tcW w:w="1287" w:type="dxa"/>
            <w:noWrap w:val="0"/>
            <w:vAlign w:val="center"/>
          </w:tcPr>
          <w:p w14:paraId="4A6473F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bl>
    <w:p w14:paraId="1E9FFA01">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93"/>
        <w:gridCol w:w="5843"/>
        <w:gridCol w:w="1312"/>
      </w:tblGrid>
      <w:tr w14:paraId="0CCF3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3"/>
            <w:noWrap w:val="0"/>
            <w:vAlign w:val="center"/>
          </w:tcPr>
          <w:p w14:paraId="272857D2">
            <w:pPr>
              <w:jc w:val="center"/>
              <w:rPr>
                <w:rFonts w:hint="eastAsia" w:ascii="宋体" w:hAnsi="宋体" w:eastAsia="宋体" w:cs="宋体"/>
                <w:bCs/>
                <w:color w:val="auto"/>
                <w:sz w:val="21"/>
                <w:szCs w:val="21"/>
                <w:highlight w:val="none"/>
                <w:lang w:eastAsia="zh-CN"/>
              </w:rPr>
            </w:pPr>
            <w:r>
              <w:rPr>
                <w:rFonts w:hint="eastAsia" w:ascii="宋体" w:hAnsi="宋体" w:eastAsia="宋体" w:cs="宋体"/>
                <w:color w:val="auto"/>
                <w:sz w:val="21"/>
                <w:szCs w:val="21"/>
                <w:highlight w:val="none"/>
                <w:lang w:eastAsia="zh-CN"/>
              </w:rPr>
              <w:t>（七）土壤污染防治类</w:t>
            </w:r>
          </w:p>
        </w:tc>
      </w:tr>
      <w:tr w14:paraId="5A744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8" w:type="dxa"/>
            <w:noWrap w:val="0"/>
            <w:vAlign w:val="center"/>
          </w:tcPr>
          <w:p w14:paraId="169421A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814" w:type="dxa"/>
            <w:gridSpan w:val="2"/>
            <w:noWrap w:val="0"/>
            <w:vAlign w:val="center"/>
          </w:tcPr>
          <w:p w14:paraId="34D86DA4">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14</w:t>
            </w:r>
          </w:p>
        </w:tc>
      </w:tr>
      <w:tr w14:paraId="60D09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8" w:type="dxa"/>
            <w:noWrap w:val="0"/>
            <w:vAlign w:val="center"/>
          </w:tcPr>
          <w:p w14:paraId="623EEF2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6814" w:type="dxa"/>
            <w:gridSpan w:val="2"/>
            <w:noWrap w:val="0"/>
            <w:vAlign w:val="center"/>
          </w:tcPr>
          <w:p w14:paraId="567465C6">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对土壤污染状况普查、详查和监测、现场检查表明有土壤污染风险的建设用地地块，用途变更为居住、公共管理与公共服务用地的地块等，未进行土壤污染状况调查的</w:t>
            </w:r>
          </w:p>
        </w:tc>
      </w:tr>
      <w:tr w14:paraId="77A71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6" w:hRule="atLeast"/>
          <w:jc w:val="center"/>
        </w:trPr>
        <w:tc>
          <w:tcPr>
            <w:tcW w:w="1708" w:type="dxa"/>
            <w:noWrap w:val="0"/>
            <w:vAlign w:val="center"/>
          </w:tcPr>
          <w:p w14:paraId="37F9DAF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6814" w:type="dxa"/>
            <w:gridSpan w:val="2"/>
            <w:noWrap w:val="0"/>
            <w:vAlign w:val="center"/>
          </w:tcPr>
          <w:p w14:paraId="79896A11">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《中华人民共和国生态环境法典》第四百五十四条</w:t>
            </w:r>
            <w:r>
              <w:rPr>
                <w:rFonts w:hint="eastAsia" w:ascii="宋体" w:hAnsi="宋体" w:eastAsia="宋体" w:cs="宋体"/>
                <w:color w:val="auto"/>
                <w:sz w:val="21"/>
                <w:szCs w:val="21"/>
                <w:highlight w:val="none"/>
                <w:lang w:val="en-US" w:eastAsia="zh-CN"/>
              </w:rPr>
              <w:t>第一款、第二款</w:t>
            </w:r>
            <w:r>
              <w:rPr>
                <w:rFonts w:hint="eastAsia" w:ascii="宋体" w:hAnsi="宋体" w:eastAsia="宋体" w:cs="宋体"/>
                <w:color w:val="auto"/>
                <w:sz w:val="21"/>
                <w:szCs w:val="21"/>
                <w:highlight w:val="none"/>
              </w:rPr>
              <w:t xml:space="preserve">  对土壤污染状况普查、详查和监测、现场检查表明有土壤污染风险的建设用地地块，地方人民政府生态环境主管部门应当要求土地使用权人按照规定进行土壤污染状况调查。</w:t>
            </w:r>
          </w:p>
          <w:p w14:paraId="6BCB79E2">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用途变更为居住、公共管理与公共服务用地的，变更前应当按照规定进行土壤污染状况调查。土壤污染状况调查应当在省、自治区、直辖市确定的时限前完成。</w:t>
            </w:r>
          </w:p>
        </w:tc>
      </w:tr>
      <w:tr w14:paraId="666A3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0" w:hRule="atLeast"/>
          <w:jc w:val="center"/>
        </w:trPr>
        <w:tc>
          <w:tcPr>
            <w:tcW w:w="1708" w:type="dxa"/>
            <w:noWrap w:val="0"/>
            <w:vAlign w:val="center"/>
          </w:tcPr>
          <w:p w14:paraId="4BB025E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6814" w:type="dxa"/>
            <w:gridSpan w:val="2"/>
            <w:noWrap w:val="0"/>
            <w:vAlign w:val="center"/>
          </w:tcPr>
          <w:p w14:paraId="52F0EA08">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《中华人民共和国生态环境法典》第一千一百六十五条</w:t>
            </w:r>
            <w:r>
              <w:rPr>
                <w:rFonts w:hint="eastAsia" w:ascii="宋体" w:hAnsi="宋体" w:eastAsia="宋体" w:cs="宋体"/>
                <w:color w:val="auto"/>
                <w:sz w:val="21"/>
                <w:szCs w:val="21"/>
                <w:highlight w:val="none"/>
                <w:lang w:val="en-US" w:eastAsia="zh-CN"/>
              </w:rPr>
              <w:t>第一款第一项</w:t>
            </w:r>
            <w:r>
              <w:rPr>
                <w:rFonts w:hint="eastAsia" w:ascii="宋体" w:hAnsi="宋体" w:eastAsia="宋体" w:cs="宋体"/>
                <w:color w:val="auto"/>
                <w:sz w:val="21"/>
                <w:szCs w:val="21"/>
                <w:highlight w:val="none"/>
              </w:rPr>
              <w:t xml:space="preserve">  违反本法规定，土壤污染责任人或者土地使用权人有下列情形之一的，由地方人民政府负有生态环境保护监督管理职责的部门按照职责分工责令改正，处二万元以上二十万元以下的罚款；拒不改正的，处二十万元以上一百万元以下的罚款，并委托他人代为履行，所需费用由土壤污染责任人或者土地使用权人承担；对直接负责的主管人员和其他直接责任人员处五千元以上二万元以下的罚款：</w:t>
            </w:r>
          </w:p>
          <w:p w14:paraId="4FC4534F">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（一）对土壤污染状况普查、详查和监测、现场检查表明有土壤污染风险的建设用地地块，用途变更为居住、公共管理与公共服务用地的地块等，未进行土壤污染状况调查；</w:t>
            </w:r>
          </w:p>
        </w:tc>
      </w:tr>
      <w:tr w14:paraId="17EB4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8" w:type="dxa"/>
            <w:noWrap w:val="0"/>
            <w:vAlign w:val="center"/>
          </w:tcPr>
          <w:p w14:paraId="38874ED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565" w:type="dxa"/>
            <w:noWrap w:val="0"/>
            <w:vAlign w:val="center"/>
          </w:tcPr>
          <w:p w14:paraId="19A26DD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249" w:type="dxa"/>
            <w:noWrap w:val="0"/>
            <w:vAlign w:val="center"/>
          </w:tcPr>
          <w:p w14:paraId="1F5ACC5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547D8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8" w:type="dxa"/>
            <w:vMerge w:val="restart"/>
            <w:noWrap w:val="0"/>
            <w:vAlign w:val="center"/>
          </w:tcPr>
          <w:p w14:paraId="170B6B3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涉及面积</w:t>
            </w:r>
          </w:p>
        </w:tc>
        <w:tc>
          <w:tcPr>
            <w:tcW w:w="5565" w:type="dxa"/>
            <w:noWrap w:val="0"/>
            <w:vAlign w:val="center"/>
          </w:tcPr>
          <w:p w14:paraId="4FE53A3D">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不足500</w:t>
            </w:r>
            <w:r>
              <w:rPr>
                <w:rFonts w:hint="eastAsia" w:ascii="宋体" w:hAnsi="宋体" w:cs="宋体"/>
                <w:color w:val="auto"/>
                <w:sz w:val="21"/>
                <w:szCs w:val="21"/>
                <w:highlight w:val="none"/>
                <w:lang w:eastAsia="zh-CN"/>
              </w:rPr>
              <w:t>平方米</w:t>
            </w:r>
          </w:p>
        </w:tc>
        <w:tc>
          <w:tcPr>
            <w:tcW w:w="1249" w:type="dxa"/>
            <w:noWrap w:val="0"/>
            <w:vAlign w:val="center"/>
          </w:tcPr>
          <w:p w14:paraId="1765B33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0378B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8" w:type="dxa"/>
            <w:vMerge w:val="continue"/>
            <w:noWrap w:val="0"/>
            <w:vAlign w:val="center"/>
          </w:tcPr>
          <w:p w14:paraId="41372803">
            <w:pPr>
              <w:rPr>
                <w:rFonts w:hint="eastAsia" w:ascii="宋体" w:hAnsi="宋体" w:eastAsia="宋体" w:cs="宋体"/>
                <w:color w:val="auto"/>
                <w:sz w:val="21"/>
                <w:szCs w:val="21"/>
                <w:highlight w:val="none"/>
              </w:rPr>
            </w:pPr>
          </w:p>
        </w:tc>
        <w:tc>
          <w:tcPr>
            <w:tcW w:w="5565" w:type="dxa"/>
            <w:noWrap w:val="0"/>
            <w:vAlign w:val="center"/>
          </w:tcPr>
          <w:p w14:paraId="1E0148BB">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500</w:t>
            </w:r>
            <w:r>
              <w:rPr>
                <w:rFonts w:hint="eastAsia" w:ascii="宋体" w:hAnsi="宋体" w:cs="宋体"/>
                <w:color w:val="auto"/>
                <w:sz w:val="21"/>
                <w:szCs w:val="21"/>
                <w:highlight w:val="none"/>
                <w:lang w:eastAsia="zh-CN"/>
              </w:rPr>
              <w:t>平方米</w:t>
            </w:r>
            <w:r>
              <w:rPr>
                <w:rFonts w:hint="eastAsia" w:ascii="宋体" w:hAnsi="宋体" w:eastAsia="宋体" w:cs="宋体"/>
                <w:color w:val="auto"/>
                <w:sz w:val="21"/>
                <w:szCs w:val="21"/>
                <w:highlight w:val="none"/>
              </w:rPr>
              <w:t>以上不足5000</w:t>
            </w:r>
            <w:r>
              <w:rPr>
                <w:rFonts w:hint="eastAsia" w:ascii="宋体" w:hAnsi="宋体" w:cs="宋体"/>
                <w:color w:val="auto"/>
                <w:sz w:val="21"/>
                <w:szCs w:val="21"/>
                <w:highlight w:val="none"/>
                <w:lang w:eastAsia="zh-CN"/>
              </w:rPr>
              <w:t>平方米</w:t>
            </w:r>
          </w:p>
        </w:tc>
        <w:tc>
          <w:tcPr>
            <w:tcW w:w="1249" w:type="dxa"/>
            <w:noWrap w:val="0"/>
            <w:vAlign w:val="center"/>
          </w:tcPr>
          <w:p w14:paraId="73483B0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r>
      <w:tr w14:paraId="4D4EA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8" w:type="dxa"/>
            <w:vMerge w:val="continue"/>
            <w:noWrap w:val="0"/>
            <w:vAlign w:val="center"/>
          </w:tcPr>
          <w:p w14:paraId="7D98AE35">
            <w:pPr>
              <w:rPr>
                <w:rFonts w:hint="eastAsia" w:ascii="宋体" w:hAnsi="宋体" w:eastAsia="宋体" w:cs="宋体"/>
                <w:color w:val="auto"/>
                <w:sz w:val="21"/>
                <w:szCs w:val="21"/>
                <w:highlight w:val="none"/>
              </w:rPr>
            </w:pPr>
          </w:p>
        </w:tc>
        <w:tc>
          <w:tcPr>
            <w:tcW w:w="5565" w:type="dxa"/>
            <w:noWrap w:val="0"/>
            <w:vAlign w:val="center"/>
          </w:tcPr>
          <w:p w14:paraId="3D0C1E03">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5000</w:t>
            </w:r>
            <w:r>
              <w:rPr>
                <w:rFonts w:hint="eastAsia" w:ascii="宋体" w:hAnsi="宋体" w:cs="宋体"/>
                <w:color w:val="auto"/>
                <w:sz w:val="21"/>
                <w:szCs w:val="21"/>
                <w:highlight w:val="none"/>
                <w:lang w:eastAsia="zh-CN"/>
              </w:rPr>
              <w:t>平方米</w:t>
            </w:r>
            <w:r>
              <w:rPr>
                <w:rFonts w:hint="eastAsia" w:ascii="宋体" w:hAnsi="宋体" w:eastAsia="宋体" w:cs="宋体"/>
                <w:color w:val="auto"/>
                <w:sz w:val="21"/>
                <w:szCs w:val="21"/>
                <w:highlight w:val="none"/>
              </w:rPr>
              <w:t xml:space="preserve"> 以上不足10000</w:t>
            </w:r>
            <w:r>
              <w:rPr>
                <w:rFonts w:hint="eastAsia" w:ascii="宋体" w:hAnsi="宋体" w:cs="宋体"/>
                <w:color w:val="auto"/>
                <w:sz w:val="21"/>
                <w:szCs w:val="21"/>
                <w:highlight w:val="none"/>
                <w:lang w:eastAsia="zh-CN"/>
              </w:rPr>
              <w:t>平方米</w:t>
            </w:r>
            <w:r>
              <w:rPr>
                <w:rFonts w:hint="eastAsia" w:ascii="宋体" w:hAnsi="宋体" w:eastAsia="宋体" w:cs="宋体"/>
                <w:color w:val="auto"/>
                <w:sz w:val="21"/>
                <w:szCs w:val="21"/>
                <w:highlight w:val="none"/>
              </w:rPr>
              <w:t xml:space="preserve"> </w:t>
            </w:r>
          </w:p>
        </w:tc>
        <w:tc>
          <w:tcPr>
            <w:tcW w:w="1249" w:type="dxa"/>
            <w:noWrap w:val="0"/>
            <w:vAlign w:val="center"/>
          </w:tcPr>
          <w:p w14:paraId="04785E3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781D0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8" w:type="dxa"/>
            <w:vMerge w:val="continue"/>
            <w:noWrap w:val="0"/>
            <w:vAlign w:val="center"/>
          </w:tcPr>
          <w:p w14:paraId="10159924">
            <w:pPr>
              <w:rPr>
                <w:rFonts w:hint="eastAsia" w:ascii="宋体" w:hAnsi="宋体" w:eastAsia="宋体" w:cs="宋体"/>
                <w:color w:val="auto"/>
                <w:sz w:val="21"/>
                <w:szCs w:val="21"/>
                <w:highlight w:val="none"/>
              </w:rPr>
            </w:pPr>
          </w:p>
        </w:tc>
        <w:tc>
          <w:tcPr>
            <w:tcW w:w="5565" w:type="dxa"/>
            <w:noWrap w:val="0"/>
            <w:vAlign w:val="center"/>
          </w:tcPr>
          <w:p w14:paraId="6727E867">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10000</w:t>
            </w:r>
            <w:r>
              <w:rPr>
                <w:rFonts w:hint="eastAsia" w:ascii="宋体" w:hAnsi="宋体" w:cs="宋体"/>
                <w:color w:val="auto"/>
                <w:sz w:val="21"/>
                <w:szCs w:val="21"/>
                <w:highlight w:val="none"/>
                <w:lang w:eastAsia="zh-CN"/>
              </w:rPr>
              <w:t>平方米</w:t>
            </w:r>
            <w:r>
              <w:rPr>
                <w:rFonts w:hint="eastAsia" w:ascii="宋体" w:hAnsi="宋体" w:eastAsia="宋体" w:cs="宋体"/>
                <w:color w:val="auto"/>
                <w:sz w:val="21"/>
                <w:szCs w:val="21"/>
                <w:highlight w:val="none"/>
              </w:rPr>
              <w:t xml:space="preserve"> 以上不足 20000</w:t>
            </w:r>
            <w:r>
              <w:rPr>
                <w:rFonts w:hint="eastAsia" w:ascii="宋体" w:hAnsi="宋体" w:cs="宋体"/>
                <w:color w:val="auto"/>
                <w:sz w:val="21"/>
                <w:szCs w:val="21"/>
                <w:highlight w:val="none"/>
                <w:lang w:eastAsia="zh-CN"/>
              </w:rPr>
              <w:t>平方米</w:t>
            </w:r>
            <w:r>
              <w:rPr>
                <w:rFonts w:hint="eastAsia" w:ascii="宋体" w:hAnsi="宋体" w:eastAsia="宋体" w:cs="宋体"/>
                <w:color w:val="auto"/>
                <w:sz w:val="21"/>
                <w:szCs w:val="21"/>
                <w:highlight w:val="none"/>
              </w:rPr>
              <w:t xml:space="preserve"> </w:t>
            </w:r>
          </w:p>
        </w:tc>
        <w:tc>
          <w:tcPr>
            <w:tcW w:w="1249" w:type="dxa"/>
            <w:noWrap w:val="0"/>
            <w:vAlign w:val="center"/>
          </w:tcPr>
          <w:p w14:paraId="281C807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r>
      <w:tr w14:paraId="42A00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8" w:type="dxa"/>
            <w:vMerge w:val="continue"/>
            <w:noWrap w:val="0"/>
            <w:vAlign w:val="center"/>
          </w:tcPr>
          <w:p w14:paraId="3A319B62">
            <w:pPr>
              <w:rPr>
                <w:rFonts w:hint="eastAsia" w:ascii="宋体" w:hAnsi="宋体" w:eastAsia="宋体" w:cs="宋体"/>
                <w:color w:val="auto"/>
                <w:sz w:val="21"/>
                <w:szCs w:val="21"/>
                <w:highlight w:val="none"/>
              </w:rPr>
            </w:pPr>
          </w:p>
        </w:tc>
        <w:tc>
          <w:tcPr>
            <w:tcW w:w="5565" w:type="dxa"/>
            <w:noWrap w:val="0"/>
            <w:vAlign w:val="center"/>
          </w:tcPr>
          <w:p w14:paraId="7B72D7DE">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20000</w:t>
            </w:r>
            <w:r>
              <w:rPr>
                <w:rFonts w:hint="eastAsia" w:ascii="宋体" w:hAnsi="宋体" w:cs="宋体"/>
                <w:color w:val="auto"/>
                <w:sz w:val="21"/>
                <w:szCs w:val="21"/>
                <w:highlight w:val="none"/>
                <w:lang w:eastAsia="zh-CN"/>
              </w:rPr>
              <w:t>平方米</w:t>
            </w:r>
            <w:r>
              <w:rPr>
                <w:rFonts w:hint="eastAsia" w:ascii="宋体" w:hAnsi="宋体" w:eastAsia="宋体" w:cs="宋体"/>
                <w:color w:val="auto"/>
                <w:sz w:val="21"/>
                <w:szCs w:val="21"/>
                <w:highlight w:val="none"/>
              </w:rPr>
              <w:t xml:space="preserve"> 以上</w:t>
            </w:r>
          </w:p>
        </w:tc>
        <w:tc>
          <w:tcPr>
            <w:tcW w:w="1249" w:type="dxa"/>
            <w:noWrap w:val="0"/>
            <w:vAlign w:val="center"/>
          </w:tcPr>
          <w:p w14:paraId="6FD1CC7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08B39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8" w:type="dxa"/>
            <w:noWrap w:val="0"/>
            <w:vAlign w:val="center"/>
          </w:tcPr>
          <w:p w14:paraId="668D347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备注</w:t>
            </w:r>
          </w:p>
        </w:tc>
        <w:tc>
          <w:tcPr>
            <w:tcW w:w="6814" w:type="dxa"/>
            <w:gridSpan w:val="2"/>
            <w:noWrap w:val="0"/>
            <w:vAlign w:val="center"/>
          </w:tcPr>
          <w:p w14:paraId="4FEAEDFE">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拟对单位、直接负责的主管人员和其他直接责任人员实施罚款处罚的，应当分别套用计算公式确定罚款数额。</w:t>
            </w:r>
          </w:p>
        </w:tc>
      </w:tr>
    </w:tbl>
    <w:p w14:paraId="743FB838">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93"/>
        <w:gridCol w:w="5843"/>
        <w:gridCol w:w="1312"/>
      </w:tblGrid>
      <w:tr w14:paraId="12E51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3"/>
            <w:noWrap w:val="0"/>
            <w:vAlign w:val="center"/>
          </w:tcPr>
          <w:p w14:paraId="23E1B909">
            <w:pPr>
              <w:jc w:val="center"/>
              <w:rPr>
                <w:rFonts w:hint="eastAsia" w:ascii="宋体" w:hAnsi="宋体" w:eastAsia="宋体" w:cs="宋体"/>
                <w:bCs/>
                <w:color w:val="auto"/>
                <w:sz w:val="21"/>
                <w:szCs w:val="21"/>
                <w:highlight w:val="none"/>
                <w:lang w:eastAsia="zh-CN"/>
              </w:rPr>
            </w:pPr>
            <w:r>
              <w:rPr>
                <w:rFonts w:hint="eastAsia" w:ascii="宋体" w:hAnsi="宋体" w:eastAsia="宋体" w:cs="宋体"/>
                <w:color w:val="auto"/>
                <w:sz w:val="21"/>
                <w:szCs w:val="21"/>
                <w:highlight w:val="none"/>
                <w:lang w:eastAsia="zh-CN"/>
              </w:rPr>
              <w:t>（七）土壤污染防治类</w:t>
            </w:r>
          </w:p>
        </w:tc>
      </w:tr>
      <w:tr w14:paraId="29604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8" w:type="dxa"/>
            <w:noWrap w:val="0"/>
            <w:vAlign w:val="center"/>
          </w:tcPr>
          <w:p w14:paraId="0806D2F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814" w:type="dxa"/>
            <w:gridSpan w:val="2"/>
            <w:noWrap w:val="0"/>
            <w:vAlign w:val="center"/>
          </w:tcPr>
          <w:p w14:paraId="6B060058">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15</w:t>
            </w:r>
          </w:p>
        </w:tc>
      </w:tr>
      <w:tr w14:paraId="2C3ED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8" w:type="dxa"/>
            <w:noWrap w:val="0"/>
            <w:vAlign w:val="center"/>
          </w:tcPr>
          <w:p w14:paraId="21A5086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6814" w:type="dxa"/>
            <w:gridSpan w:val="2"/>
            <w:noWrap w:val="0"/>
            <w:vAlign w:val="center"/>
          </w:tcPr>
          <w:p w14:paraId="7F01578E">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土壤污染重点监管单位生产经营用地的用途变更或者在土地使用权收回、转让前，未进行土壤污染状况调查的</w:t>
            </w:r>
          </w:p>
        </w:tc>
      </w:tr>
      <w:tr w14:paraId="1C627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708" w:type="dxa"/>
            <w:noWrap w:val="0"/>
            <w:vAlign w:val="center"/>
          </w:tcPr>
          <w:p w14:paraId="1172F4C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6814" w:type="dxa"/>
            <w:gridSpan w:val="2"/>
            <w:noWrap w:val="0"/>
            <w:vAlign w:val="center"/>
          </w:tcPr>
          <w:p w14:paraId="6ABA8C01">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《中华人民共和国生态环境法典》第四百六十二条  土壤污染重点监管单位生产经营用地的用途变更或者在其土地使用权收回、转让前，应当由土地使用权人按照规定进行土壤污染状况调查。土壤污染状况调查报告应当作为不动产登记资料送交地方人民政府不动产登记机构，并报地方人民政府生态环境主管部门备案；土地使用权人未送交土壤污染状况调查报告的，地方人民政府不动产登记机构应当要求其补充提供。</w:t>
            </w:r>
          </w:p>
        </w:tc>
      </w:tr>
      <w:tr w14:paraId="2024D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6" w:hRule="atLeast"/>
          <w:jc w:val="center"/>
        </w:trPr>
        <w:tc>
          <w:tcPr>
            <w:tcW w:w="1708" w:type="dxa"/>
            <w:noWrap w:val="0"/>
            <w:vAlign w:val="center"/>
          </w:tcPr>
          <w:p w14:paraId="5222C09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6814" w:type="dxa"/>
            <w:gridSpan w:val="2"/>
            <w:noWrap w:val="0"/>
            <w:vAlign w:val="center"/>
          </w:tcPr>
          <w:p w14:paraId="52B4581F">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《中华人民共和国生态环境法典》第一千一百六十五条</w:t>
            </w:r>
            <w:r>
              <w:rPr>
                <w:rFonts w:hint="eastAsia" w:ascii="宋体" w:hAnsi="宋体" w:eastAsia="宋体" w:cs="宋体"/>
                <w:color w:val="auto"/>
                <w:sz w:val="21"/>
                <w:szCs w:val="21"/>
                <w:highlight w:val="none"/>
                <w:lang w:val="en-US" w:eastAsia="zh-CN"/>
              </w:rPr>
              <w:t>第一款第二项</w:t>
            </w:r>
            <w:r>
              <w:rPr>
                <w:rFonts w:hint="eastAsia" w:ascii="宋体" w:hAnsi="宋体" w:eastAsia="宋体" w:cs="宋体"/>
                <w:color w:val="auto"/>
                <w:sz w:val="21"/>
                <w:szCs w:val="21"/>
                <w:highlight w:val="none"/>
              </w:rPr>
              <w:t xml:space="preserve">  违反本法规定，土壤污染责任人或者土地使用权人有下列情形之一的，由地方人民政府负有生态环境保护监督管理职责的部门按照职责分工责令改正，处二万元以上二十万元以下的罚款；拒不改正的，处二十万元以上一百万元以下的罚款，并委托他人代为履行，所需费用由土壤污染责任人或者土地使用权人承担；对直接负责的主管人员和其他直接责任人员处五千元以上二万元以下的罚款：</w:t>
            </w:r>
          </w:p>
          <w:p w14:paraId="4D961174">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（二）土壤污染重点监管单位生产经营用地的用途变更或者在土地使用权收回、转让前，未进行土壤污染状况调查；</w:t>
            </w:r>
          </w:p>
        </w:tc>
      </w:tr>
      <w:tr w14:paraId="4BF1D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8" w:type="dxa"/>
            <w:noWrap w:val="0"/>
            <w:vAlign w:val="center"/>
          </w:tcPr>
          <w:p w14:paraId="441230A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565" w:type="dxa"/>
            <w:noWrap w:val="0"/>
            <w:vAlign w:val="center"/>
          </w:tcPr>
          <w:p w14:paraId="2E474B4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249" w:type="dxa"/>
            <w:noWrap w:val="0"/>
            <w:vAlign w:val="center"/>
          </w:tcPr>
          <w:p w14:paraId="5E31B08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35F7A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8" w:type="dxa"/>
            <w:vMerge w:val="restart"/>
            <w:noWrap w:val="0"/>
            <w:vAlign w:val="center"/>
          </w:tcPr>
          <w:p w14:paraId="770C782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涉及面积</w:t>
            </w:r>
          </w:p>
        </w:tc>
        <w:tc>
          <w:tcPr>
            <w:tcW w:w="5565" w:type="dxa"/>
            <w:noWrap w:val="0"/>
            <w:vAlign w:val="center"/>
          </w:tcPr>
          <w:p w14:paraId="0D1B987D">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不足500</w:t>
            </w:r>
            <w:r>
              <w:rPr>
                <w:rFonts w:hint="eastAsia" w:ascii="宋体" w:hAnsi="宋体" w:cs="宋体"/>
                <w:color w:val="auto"/>
                <w:sz w:val="21"/>
                <w:szCs w:val="21"/>
                <w:highlight w:val="none"/>
                <w:lang w:eastAsia="zh-CN"/>
              </w:rPr>
              <w:t>平方米</w:t>
            </w:r>
          </w:p>
        </w:tc>
        <w:tc>
          <w:tcPr>
            <w:tcW w:w="1249" w:type="dxa"/>
            <w:noWrap w:val="0"/>
            <w:vAlign w:val="center"/>
          </w:tcPr>
          <w:p w14:paraId="459BDAA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144A5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8" w:type="dxa"/>
            <w:vMerge w:val="continue"/>
            <w:noWrap w:val="0"/>
            <w:vAlign w:val="center"/>
          </w:tcPr>
          <w:p w14:paraId="4DC3FAFC">
            <w:pPr>
              <w:rPr>
                <w:rFonts w:hint="eastAsia" w:ascii="宋体" w:hAnsi="宋体" w:eastAsia="宋体" w:cs="宋体"/>
                <w:color w:val="auto"/>
                <w:sz w:val="21"/>
                <w:szCs w:val="21"/>
                <w:highlight w:val="none"/>
              </w:rPr>
            </w:pPr>
          </w:p>
        </w:tc>
        <w:tc>
          <w:tcPr>
            <w:tcW w:w="5565" w:type="dxa"/>
            <w:noWrap w:val="0"/>
            <w:vAlign w:val="center"/>
          </w:tcPr>
          <w:p w14:paraId="751C1F17">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500</w:t>
            </w:r>
            <w:r>
              <w:rPr>
                <w:rFonts w:hint="eastAsia" w:ascii="宋体" w:hAnsi="宋体" w:cs="宋体"/>
                <w:color w:val="auto"/>
                <w:sz w:val="21"/>
                <w:szCs w:val="21"/>
                <w:highlight w:val="none"/>
                <w:lang w:eastAsia="zh-CN"/>
              </w:rPr>
              <w:t>平方米</w:t>
            </w:r>
            <w:r>
              <w:rPr>
                <w:rFonts w:hint="eastAsia" w:ascii="宋体" w:hAnsi="宋体" w:eastAsia="宋体" w:cs="宋体"/>
                <w:color w:val="auto"/>
                <w:sz w:val="21"/>
                <w:szCs w:val="21"/>
                <w:highlight w:val="none"/>
              </w:rPr>
              <w:t>以上不足5000</w:t>
            </w:r>
            <w:r>
              <w:rPr>
                <w:rFonts w:hint="eastAsia" w:ascii="宋体" w:hAnsi="宋体" w:cs="宋体"/>
                <w:color w:val="auto"/>
                <w:sz w:val="21"/>
                <w:szCs w:val="21"/>
                <w:highlight w:val="none"/>
                <w:lang w:eastAsia="zh-CN"/>
              </w:rPr>
              <w:t>平方米</w:t>
            </w:r>
          </w:p>
        </w:tc>
        <w:tc>
          <w:tcPr>
            <w:tcW w:w="1249" w:type="dxa"/>
            <w:noWrap w:val="0"/>
            <w:vAlign w:val="center"/>
          </w:tcPr>
          <w:p w14:paraId="6BB6BDD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r>
      <w:tr w14:paraId="0B047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8" w:type="dxa"/>
            <w:vMerge w:val="continue"/>
            <w:noWrap w:val="0"/>
            <w:vAlign w:val="center"/>
          </w:tcPr>
          <w:p w14:paraId="72F46AD1">
            <w:pPr>
              <w:rPr>
                <w:rFonts w:hint="eastAsia" w:ascii="宋体" w:hAnsi="宋体" w:eastAsia="宋体" w:cs="宋体"/>
                <w:color w:val="auto"/>
                <w:sz w:val="21"/>
                <w:szCs w:val="21"/>
                <w:highlight w:val="none"/>
              </w:rPr>
            </w:pPr>
          </w:p>
        </w:tc>
        <w:tc>
          <w:tcPr>
            <w:tcW w:w="5565" w:type="dxa"/>
            <w:noWrap w:val="0"/>
            <w:vAlign w:val="center"/>
          </w:tcPr>
          <w:p w14:paraId="0FEE1FA1">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5000</w:t>
            </w:r>
            <w:r>
              <w:rPr>
                <w:rFonts w:hint="eastAsia" w:ascii="宋体" w:hAnsi="宋体" w:cs="宋体"/>
                <w:color w:val="auto"/>
                <w:sz w:val="21"/>
                <w:szCs w:val="21"/>
                <w:highlight w:val="none"/>
                <w:lang w:eastAsia="zh-CN"/>
              </w:rPr>
              <w:t>平方米</w:t>
            </w:r>
            <w:r>
              <w:rPr>
                <w:rFonts w:hint="eastAsia" w:ascii="宋体" w:hAnsi="宋体" w:eastAsia="宋体" w:cs="宋体"/>
                <w:color w:val="auto"/>
                <w:sz w:val="21"/>
                <w:szCs w:val="21"/>
                <w:highlight w:val="none"/>
              </w:rPr>
              <w:t xml:space="preserve"> 以上不足10000</w:t>
            </w:r>
            <w:r>
              <w:rPr>
                <w:rFonts w:hint="eastAsia" w:ascii="宋体" w:hAnsi="宋体" w:cs="宋体"/>
                <w:color w:val="auto"/>
                <w:sz w:val="21"/>
                <w:szCs w:val="21"/>
                <w:highlight w:val="none"/>
                <w:lang w:eastAsia="zh-CN"/>
              </w:rPr>
              <w:t>平方米</w:t>
            </w:r>
            <w:r>
              <w:rPr>
                <w:rFonts w:hint="eastAsia" w:ascii="宋体" w:hAnsi="宋体" w:eastAsia="宋体" w:cs="宋体"/>
                <w:color w:val="auto"/>
                <w:sz w:val="21"/>
                <w:szCs w:val="21"/>
                <w:highlight w:val="none"/>
              </w:rPr>
              <w:t xml:space="preserve"> </w:t>
            </w:r>
          </w:p>
        </w:tc>
        <w:tc>
          <w:tcPr>
            <w:tcW w:w="1249" w:type="dxa"/>
            <w:noWrap w:val="0"/>
            <w:vAlign w:val="center"/>
          </w:tcPr>
          <w:p w14:paraId="36A2299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329D1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8" w:type="dxa"/>
            <w:vMerge w:val="continue"/>
            <w:noWrap w:val="0"/>
            <w:vAlign w:val="center"/>
          </w:tcPr>
          <w:p w14:paraId="58D86F45">
            <w:pPr>
              <w:rPr>
                <w:rFonts w:hint="eastAsia" w:ascii="宋体" w:hAnsi="宋体" w:eastAsia="宋体" w:cs="宋体"/>
                <w:color w:val="auto"/>
                <w:sz w:val="21"/>
                <w:szCs w:val="21"/>
                <w:highlight w:val="none"/>
              </w:rPr>
            </w:pPr>
          </w:p>
        </w:tc>
        <w:tc>
          <w:tcPr>
            <w:tcW w:w="5565" w:type="dxa"/>
            <w:noWrap w:val="0"/>
            <w:vAlign w:val="center"/>
          </w:tcPr>
          <w:p w14:paraId="6C8BC6E8">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10000</w:t>
            </w:r>
            <w:r>
              <w:rPr>
                <w:rFonts w:hint="eastAsia" w:ascii="宋体" w:hAnsi="宋体" w:cs="宋体"/>
                <w:color w:val="auto"/>
                <w:sz w:val="21"/>
                <w:szCs w:val="21"/>
                <w:highlight w:val="none"/>
                <w:lang w:eastAsia="zh-CN"/>
              </w:rPr>
              <w:t>平方米</w:t>
            </w:r>
            <w:r>
              <w:rPr>
                <w:rFonts w:hint="eastAsia" w:ascii="宋体" w:hAnsi="宋体" w:eastAsia="宋体" w:cs="宋体"/>
                <w:color w:val="auto"/>
                <w:sz w:val="21"/>
                <w:szCs w:val="21"/>
                <w:highlight w:val="none"/>
              </w:rPr>
              <w:t xml:space="preserve"> 以上不足 20000</w:t>
            </w:r>
            <w:r>
              <w:rPr>
                <w:rFonts w:hint="eastAsia" w:ascii="宋体" w:hAnsi="宋体" w:cs="宋体"/>
                <w:color w:val="auto"/>
                <w:sz w:val="21"/>
                <w:szCs w:val="21"/>
                <w:highlight w:val="none"/>
                <w:lang w:eastAsia="zh-CN"/>
              </w:rPr>
              <w:t>平方米</w:t>
            </w:r>
            <w:r>
              <w:rPr>
                <w:rFonts w:hint="eastAsia" w:ascii="宋体" w:hAnsi="宋体" w:eastAsia="宋体" w:cs="宋体"/>
                <w:color w:val="auto"/>
                <w:sz w:val="21"/>
                <w:szCs w:val="21"/>
                <w:highlight w:val="none"/>
              </w:rPr>
              <w:t xml:space="preserve"> </w:t>
            </w:r>
          </w:p>
        </w:tc>
        <w:tc>
          <w:tcPr>
            <w:tcW w:w="1249" w:type="dxa"/>
            <w:noWrap w:val="0"/>
            <w:vAlign w:val="center"/>
          </w:tcPr>
          <w:p w14:paraId="118F6AF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r>
      <w:tr w14:paraId="68059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8" w:type="dxa"/>
            <w:vMerge w:val="continue"/>
            <w:noWrap w:val="0"/>
            <w:vAlign w:val="center"/>
          </w:tcPr>
          <w:p w14:paraId="5B667BBB">
            <w:pPr>
              <w:rPr>
                <w:rFonts w:hint="eastAsia" w:ascii="宋体" w:hAnsi="宋体" w:eastAsia="宋体" w:cs="宋体"/>
                <w:color w:val="auto"/>
                <w:sz w:val="21"/>
                <w:szCs w:val="21"/>
                <w:highlight w:val="none"/>
              </w:rPr>
            </w:pPr>
          </w:p>
        </w:tc>
        <w:tc>
          <w:tcPr>
            <w:tcW w:w="5565" w:type="dxa"/>
            <w:noWrap w:val="0"/>
            <w:vAlign w:val="center"/>
          </w:tcPr>
          <w:p w14:paraId="75245894">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20000</w:t>
            </w:r>
            <w:r>
              <w:rPr>
                <w:rFonts w:hint="eastAsia" w:ascii="宋体" w:hAnsi="宋体" w:cs="宋体"/>
                <w:color w:val="auto"/>
                <w:sz w:val="21"/>
                <w:szCs w:val="21"/>
                <w:highlight w:val="none"/>
                <w:lang w:eastAsia="zh-CN"/>
              </w:rPr>
              <w:t>平方米</w:t>
            </w:r>
            <w:r>
              <w:rPr>
                <w:rFonts w:hint="eastAsia" w:ascii="宋体" w:hAnsi="宋体" w:eastAsia="宋体" w:cs="宋体"/>
                <w:color w:val="auto"/>
                <w:sz w:val="21"/>
                <w:szCs w:val="21"/>
                <w:highlight w:val="none"/>
              </w:rPr>
              <w:t xml:space="preserve"> 以上</w:t>
            </w:r>
          </w:p>
        </w:tc>
        <w:tc>
          <w:tcPr>
            <w:tcW w:w="1249" w:type="dxa"/>
            <w:noWrap w:val="0"/>
            <w:vAlign w:val="center"/>
          </w:tcPr>
          <w:p w14:paraId="67D8C13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6E6F1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8" w:type="dxa"/>
            <w:noWrap w:val="0"/>
            <w:vAlign w:val="center"/>
          </w:tcPr>
          <w:p w14:paraId="4FAE680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备注</w:t>
            </w:r>
          </w:p>
        </w:tc>
        <w:tc>
          <w:tcPr>
            <w:tcW w:w="6814" w:type="dxa"/>
            <w:gridSpan w:val="2"/>
            <w:noWrap w:val="0"/>
            <w:vAlign w:val="center"/>
          </w:tcPr>
          <w:p w14:paraId="2F27ADD7">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拟对单位、直接负责的主管人员和其他直接责任人员实施罚款处罚的，应当分别套用计算公式确定罚款数额。</w:t>
            </w:r>
          </w:p>
        </w:tc>
      </w:tr>
    </w:tbl>
    <w:p w14:paraId="289D8D1F">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93"/>
        <w:gridCol w:w="5843"/>
        <w:gridCol w:w="1312"/>
      </w:tblGrid>
      <w:tr w14:paraId="01EA6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3"/>
            <w:noWrap w:val="0"/>
            <w:vAlign w:val="center"/>
          </w:tcPr>
          <w:p w14:paraId="587A7F76">
            <w:pPr>
              <w:jc w:val="center"/>
              <w:rPr>
                <w:rFonts w:hint="eastAsia" w:ascii="宋体" w:hAnsi="宋体" w:eastAsia="宋体" w:cs="宋体"/>
                <w:bCs/>
                <w:color w:val="auto"/>
                <w:sz w:val="21"/>
                <w:szCs w:val="21"/>
                <w:highlight w:val="none"/>
                <w:lang w:eastAsia="zh-CN"/>
              </w:rPr>
            </w:pPr>
            <w:r>
              <w:rPr>
                <w:rFonts w:hint="eastAsia" w:ascii="宋体" w:hAnsi="宋体" w:eastAsia="宋体" w:cs="宋体"/>
                <w:color w:val="auto"/>
                <w:sz w:val="21"/>
                <w:szCs w:val="21"/>
                <w:highlight w:val="none"/>
                <w:lang w:eastAsia="zh-CN"/>
              </w:rPr>
              <w:t>（七）土壤污染防治类</w:t>
            </w:r>
          </w:p>
        </w:tc>
      </w:tr>
      <w:tr w14:paraId="64B30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8" w:type="dxa"/>
            <w:noWrap w:val="0"/>
            <w:vAlign w:val="center"/>
          </w:tcPr>
          <w:p w14:paraId="1EF07C3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814" w:type="dxa"/>
            <w:gridSpan w:val="2"/>
            <w:noWrap w:val="0"/>
            <w:vAlign w:val="center"/>
          </w:tcPr>
          <w:p w14:paraId="7B5468B6">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16</w:t>
            </w:r>
          </w:p>
        </w:tc>
      </w:tr>
      <w:tr w14:paraId="53171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8" w:type="dxa"/>
            <w:noWrap w:val="0"/>
            <w:vAlign w:val="center"/>
          </w:tcPr>
          <w:p w14:paraId="1EA8875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6814" w:type="dxa"/>
            <w:gridSpan w:val="2"/>
            <w:noWrap w:val="0"/>
            <w:vAlign w:val="center"/>
          </w:tcPr>
          <w:p w14:paraId="07B367D7">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对土壤污染状况调查报告评审表明污染物含量超过土壤污染风险管控标准的建设用地地块等，未进行土壤污染风险评估的</w:t>
            </w:r>
          </w:p>
        </w:tc>
      </w:tr>
      <w:tr w14:paraId="0FF13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4" w:hRule="atLeast"/>
          <w:jc w:val="center"/>
        </w:trPr>
        <w:tc>
          <w:tcPr>
            <w:tcW w:w="1708" w:type="dxa"/>
            <w:noWrap w:val="0"/>
            <w:vAlign w:val="center"/>
          </w:tcPr>
          <w:p w14:paraId="17C330B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6814" w:type="dxa"/>
            <w:gridSpan w:val="2"/>
            <w:noWrap w:val="0"/>
            <w:vAlign w:val="center"/>
          </w:tcPr>
          <w:p w14:paraId="266A4104">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《中华人民共和国生态环境法典》第四百五十五条  对土壤污染状况调查报告评审表明污染物含量超过土壤污染风险管控标准的建设用地地块，土壤污染责任人、土地使用权人应当按照国务院生态环境主管部门的规定进行土壤污染风险评估，并将土壤污染风险评估报告报送省级人民政府生态环境主管部门。</w:t>
            </w:r>
          </w:p>
        </w:tc>
      </w:tr>
      <w:tr w14:paraId="23646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6" w:hRule="atLeast"/>
          <w:jc w:val="center"/>
        </w:trPr>
        <w:tc>
          <w:tcPr>
            <w:tcW w:w="1708" w:type="dxa"/>
            <w:noWrap w:val="0"/>
            <w:vAlign w:val="center"/>
          </w:tcPr>
          <w:p w14:paraId="269F250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6814" w:type="dxa"/>
            <w:gridSpan w:val="2"/>
            <w:noWrap w:val="0"/>
            <w:vAlign w:val="center"/>
          </w:tcPr>
          <w:p w14:paraId="3730FA8C">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《中华人民共和国生态环境法典》第一千一百六十五条</w:t>
            </w:r>
            <w:r>
              <w:rPr>
                <w:rFonts w:hint="eastAsia" w:ascii="宋体" w:hAnsi="宋体" w:eastAsia="宋体" w:cs="宋体"/>
                <w:color w:val="auto"/>
                <w:sz w:val="21"/>
                <w:szCs w:val="21"/>
                <w:highlight w:val="none"/>
                <w:lang w:val="en-US" w:eastAsia="zh-CN"/>
              </w:rPr>
              <w:t>第一款第三项</w:t>
            </w:r>
            <w:r>
              <w:rPr>
                <w:rFonts w:hint="eastAsia" w:ascii="宋体" w:hAnsi="宋体" w:eastAsia="宋体" w:cs="宋体"/>
                <w:color w:val="auto"/>
                <w:sz w:val="21"/>
                <w:szCs w:val="21"/>
                <w:highlight w:val="none"/>
              </w:rPr>
              <w:t xml:space="preserve">  违反本法规定，土壤污染责任人或者土地使用权人有下列情形之一的，由地方人民政府负有生态环境保护监督管理职责的部门按照职责分工责令改正，处二万元以上二十万元以下的罚款；拒不改正的，处二十万元以上一百万元以下的罚款，并委托他人代为履行，所需费用由土壤污染责任人或者土地使用权人承担；对直接负责的主管人员和其他直接责任人员处五千元以上二万元以下的罚款：</w:t>
            </w:r>
          </w:p>
          <w:p w14:paraId="33BBDE0B">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（三）对土壤污染状况调查报告评审表明污染物含量超过土壤污染风险管控标准的建设用地地块等，未进行土壤污染风险评估；</w:t>
            </w:r>
          </w:p>
        </w:tc>
      </w:tr>
      <w:tr w14:paraId="711DB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8" w:type="dxa"/>
            <w:noWrap w:val="0"/>
            <w:vAlign w:val="center"/>
          </w:tcPr>
          <w:p w14:paraId="046983A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565" w:type="dxa"/>
            <w:noWrap w:val="0"/>
            <w:vAlign w:val="center"/>
          </w:tcPr>
          <w:p w14:paraId="03A17C0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249" w:type="dxa"/>
            <w:noWrap w:val="0"/>
            <w:vAlign w:val="center"/>
          </w:tcPr>
          <w:p w14:paraId="2F57807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57026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8" w:type="dxa"/>
            <w:vMerge w:val="restart"/>
            <w:noWrap w:val="0"/>
            <w:vAlign w:val="center"/>
          </w:tcPr>
          <w:p w14:paraId="08B77E5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违法事实</w:t>
            </w:r>
          </w:p>
        </w:tc>
        <w:tc>
          <w:tcPr>
            <w:tcW w:w="5565" w:type="dxa"/>
            <w:noWrap w:val="0"/>
            <w:vAlign w:val="center"/>
          </w:tcPr>
          <w:p w14:paraId="6C346020">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已进行土壤污染状况调查或者土壤污染风险评估，但不规范的</w:t>
            </w:r>
          </w:p>
        </w:tc>
        <w:tc>
          <w:tcPr>
            <w:tcW w:w="1249" w:type="dxa"/>
            <w:noWrap w:val="0"/>
            <w:vAlign w:val="center"/>
          </w:tcPr>
          <w:p w14:paraId="209C1D0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0BDAA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8" w:type="dxa"/>
            <w:vMerge w:val="continue"/>
            <w:noWrap w:val="0"/>
            <w:vAlign w:val="center"/>
          </w:tcPr>
          <w:p w14:paraId="411F90A3">
            <w:pPr>
              <w:rPr>
                <w:rFonts w:hint="eastAsia" w:ascii="宋体" w:hAnsi="宋体" w:eastAsia="宋体" w:cs="宋体"/>
                <w:color w:val="auto"/>
                <w:sz w:val="21"/>
                <w:szCs w:val="21"/>
                <w:highlight w:val="none"/>
              </w:rPr>
            </w:pPr>
          </w:p>
        </w:tc>
        <w:tc>
          <w:tcPr>
            <w:tcW w:w="5565" w:type="dxa"/>
            <w:noWrap w:val="0"/>
            <w:vAlign w:val="center"/>
          </w:tcPr>
          <w:p w14:paraId="3A2C8B7A">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未进行土壤污染状况调查或者土壤污染风险评估</w:t>
            </w:r>
          </w:p>
        </w:tc>
        <w:tc>
          <w:tcPr>
            <w:tcW w:w="1249" w:type="dxa"/>
            <w:noWrap w:val="0"/>
            <w:vAlign w:val="center"/>
          </w:tcPr>
          <w:p w14:paraId="3540390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09440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8" w:type="dxa"/>
            <w:vMerge w:val="restart"/>
            <w:noWrap w:val="0"/>
            <w:vAlign w:val="center"/>
          </w:tcPr>
          <w:p w14:paraId="236728B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涉及面积</w:t>
            </w:r>
          </w:p>
        </w:tc>
        <w:tc>
          <w:tcPr>
            <w:tcW w:w="5565" w:type="dxa"/>
            <w:noWrap w:val="0"/>
            <w:vAlign w:val="center"/>
          </w:tcPr>
          <w:p w14:paraId="7E8658D0">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不足500</w:t>
            </w:r>
            <w:r>
              <w:rPr>
                <w:rFonts w:hint="eastAsia" w:ascii="宋体" w:hAnsi="宋体" w:cs="宋体"/>
                <w:color w:val="auto"/>
                <w:sz w:val="21"/>
                <w:szCs w:val="21"/>
                <w:highlight w:val="none"/>
                <w:lang w:eastAsia="zh-CN"/>
              </w:rPr>
              <w:t>平方米</w:t>
            </w:r>
          </w:p>
        </w:tc>
        <w:tc>
          <w:tcPr>
            <w:tcW w:w="1249" w:type="dxa"/>
            <w:noWrap w:val="0"/>
            <w:vAlign w:val="center"/>
          </w:tcPr>
          <w:p w14:paraId="02DF31F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4CFD3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8" w:type="dxa"/>
            <w:vMerge w:val="continue"/>
            <w:noWrap w:val="0"/>
            <w:vAlign w:val="center"/>
          </w:tcPr>
          <w:p w14:paraId="61F03B42">
            <w:pPr>
              <w:rPr>
                <w:rFonts w:hint="eastAsia" w:ascii="宋体" w:hAnsi="宋体" w:eastAsia="宋体" w:cs="宋体"/>
                <w:color w:val="auto"/>
                <w:sz w:val="21"/>
                <w:szCs w:val="21"/>
                <w:highlight w:val="none"/>
              </w:rPr>
            </w:pPr>
          </w:p>
        </w:tc>
        <w:tc>
          <w:tcPr>
            <w:tcW w:w="5565" w:type="dxa"/>
            <w:noWrap w:val="0"/>
            <w:vAlign w:val="center"/>
          </w:tcPr>
          <w:p w14:paraId="0BC486C9">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500</w:t>
            </w:r>
            <w:r>
              <w:rPr>
                <w:rFonts w:hint="eastAsia" w:ascii="宋体" w:hAnsi="宋体" w:cs="宋体"/>
                <w:color w:val="auto"/>
                <w:sz w:val="21"/>
                <w:szCs w:val="21"/>
                <w:highlight w:val="none"/>
                <w:lang w:eastAsia="zh-CN"/>
              </w:rPr>
              <w:t>平方米</w:t>
            </w:r>
            <w:r>
              <w:rPr>
                <w:rFonts w:hint="eastAsia" w:ascii="宋体" w:hAnsi="宋体" w:eastAsia="宋体" w:cs="宋体"/>
                <w:color w:val="auto"/>
                <w:sz w:val="21"/>
                <w:szCs w:val="21"/>
                <w:highlight w:val="none"/>
              </w:rPr>
              <w:t>以上不足5000</w:t>
            </w:r>
            <w:r>
              <w:rPr>
                <w:rFonts w:hint="eastAsia" w:ascii="宋体" w:hAnsi="宋体" w:cs="宋体"/>
                <w:color w:val="auto"/>
                <w:sz w:val="21"/>
                <w:szCs w:val="21"/>
                <w:highlight w:val="none"/>
                <w:lang w:eastAsia="zh-CN"/>
              </w:rPr>
              <w:t>平方米</w:t>
            </w:r>
          </w:p>
        </w:tc>
        <w:tc>
          <w:tcPr>
            <w:tcW w:w="1249" w:type="dxa"/>
            <w:noWrap w:val="0"/>
            <w:vAlign w:val="center"/>
          </w:tcPr>
          <w:p w14:paraId="1AA5871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r>
      <w:tr w14:paraId="3B1B7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8" w:type="dxa"/>
            <w:vMerge w:val="continue"/>
            <w:noWrap w:val="0"/>
            <w:vAlign w:val="center"/>
          </w:tcPr>
          <w:p w14:paraId="7838B957">
            <w:pPr>
              <w:rPr>
                <w:rFonts w:hint="eastAsia" w:ascii="宋体" w:hAnsi="宋体" w:eastAsia="宋体" w:cs="宋体"/>
                <w:color w:val="auto"/>
                <w:sz w:val="21"/>
                <w:szCs w:val="21"/>
                <w:highlight w:val="none"/>
              </w:rPr>
            </w:pPr>
          </w:p>
        </w:tc>
        <w:tc>
          <w:tcPr>
            <w:tcW w:w="5565" w:type="dxa"/>
            <w:noWrap w:val="0"/>
            <w:vAlign w:val="center"/>
          </w:tcPr>
          <w:p w14:paraId="734B4EE3">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5000</w:t>
            </w:r>
            <w:r>
              <w:rPr>
                <w:rFonts w:hint="eastAsia" w:ascii="宋体" w:hAnsi="宋体" w:cs="宋体"/>
                <w:color w:val="auto"/>
                <w:sz w:val="21"/>
                <w:szCs w:val="21"/>
                <w:highlight w:val="none"/>
                <w:lang w:eastAsia="zh-CN"/>
              </w:rPr>
              <w:t>平方米</w:t>
            </w:r>
            <w:r>
              <w:rPr>
                <w:rFonts w:hint="eastAsia" w:ascii="宋体" w:hAnsi="宋体" w:eastAsia="宋体" w:cs="宋体"/>
                <w:color w:val="auto"/>
                <w:sz w:val="21"/>
                <w:szCs w:val="21"/>
                <w:highlight w:val="none"/>
              </w:rPr>
              <w:t xml:space="preserve"> 以上不足10000</w:t>
            </w:r>
            <w:r>
              <w:rPr>
                <w:rFonts w:hint="eastAsia" w:ascii="宋体" w:hAnsi="宋体" w:cs="宋体"/>
                <w:color w:val="auto"/>
                <w:sz w:val="21"/>
                <w:szCs w:val="21"/>
                <w:highlight w:val="none"/>
                <w:lang w:eastAsia="zh-CN"/>
              </w:rPr>
              <w:t>平方米</w:t>
            </w:r>
            <w:r>
              <w:rPr>
                <w:rFonts w:hint="eastAsia" w:ascii="宋体" w:hAnsi="宋体" w:eastAsia="宋体" w:cs="宋体"/>
                <w:color w:val="auto"/>
                <w:sz w:val="21"/>
                <w:szCs w:val="21"/>
                <w:highlight w:val="none"/>
              </w:rPr>
              <w:t xml:space="preserve"> </w:t>
            </w:r>
          </w:p>
        </w:tc>
        <w:tc>
          <w:tcPr>
            <w:tcW w:w="1249" w:type="dxa"/>
            <w:noWrap w:val="0"/>
            <w:vAlign w:val="center"/>
          </w:tcPr>
          <w:p w14:paraId="092277E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73756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8" w:type="dxa"/>
            <w:vMerge w:val="continue"/>
            <w:noWrap w:val="0"/>
            <w:vAlign w:val="center"/>
          </w:tcPr>
          <w:p w14:paraId="72B364A6">
            <w:pPr>
              <w:rPr>
                <w:rFonts w:hint="eastAsia" w:ascii="宋体" w:hAnsi="宋体" w:eastAsia="宋体" w:cs="宋体"/>
                <w:color w:val="auto"/>
                <w:sz w:val="21"/>
                <w:szCs w:val="21"/>
                <w:highlight w:val="none"/>
              </w:rPr>
            </w:pPr>
          </w:p>
        </w:tc>
        <w:tc>
          <w:tcPr>
            <w:tcW w:w="5565" w:type="dxa"/>
            <w:noWrap w:val="0"/>
            <w:vAlign w:val="center"/>
          </w:tcPr>
          <w:p w14:paraId="710FF793">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10000</w:t>
            </w:r>
            <w:r>
              <w:rPr>
                <w:rFonts w:hint="eastAsia" w:ascii="宋体" w:hAnsi="宋体" w:cs="宋体"/>
                <w:color w:val="auto"/>
                <w:sz w:val="21"/>
                <w:szCs w:val="21"/>
                <w:highlight w:val="none"/>
                <w:lang w:eastAsia="zh-CN"/>
              </w:rPr>
              <w:t>平方米</w:t>
            </w:r>
            <w:r>
              <w:rPr>
                <w:rFonts w:hint="eastAsia" w:ascii="宋体" w:hAnsi="宋体" w:eastAsia="宋体" w:cs="宋体"/>
                <w:color w:val="auto"/>
                <w:sz w:val="21"/>
                <w:szCs w:val="21"/>
                <w:highlight w:val="none"/>
              </w:rPr>
              <w:t xml:space="preserve"> 以上不足 20000</w:t>
            </w:r>
            <w:r>
              <w:rPr>
                <w:rFonts w:hint="eastAsia" w:ascii="宋体" w:hAnsi="宋体" w:cs="宋体"/>
                <w:color w:val="auto"/>
                <w:sz w:val="21"/>
                <w:szCs w:val="21"/>
                <w:highlight w:val="none"/>
                <w:lang w:eastAsia="zh-CN"/>
              </w:rPr>
              <w:t>平方米</w:t>
            </w:r>
            <w:r>
              <w:rPr>
                <w:rFonts w:hint="eastAsia" w:ascii="宋体" w:hAnsi="宋体" w:eastAsia="宋体" w:cs="宋体"/>
                <w:color w:val="auto"/>
                <w:sz w:val="21"/>
                <w:szCs w:val="21"/>
                <w:highlight w:val="none"/>
              </w:rPr>
              <w:t xml:space="preserve"> </w:t>
            </w:r>
          </w:p>
        </w:tc>
        <w:tc>
          <w:tcPr>
            <w:tcW w:w="1249" w:type="dxa"/>
            <w:noWrap w:val="0"/>
            <w:vAlign w:val="center"/>
          </w:tcPr>
          <w:p w14:paraId="79E82B6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r>
      <w:tr w14:paraId="4FE52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8" w:type="dxa"/>
            <w:vMerge w:val="continue"/>
            <w:noWrap w:val="0"/>
            <w:vAlign w:val="center"/>
          </w:tcPr>
          <w:p w14:paraId="011FD14C">
            <w:pPr>
              <w:rPr>
                <w:rFonts w:hint="eastAsia" w:ascii="宋体" w:hAnsi="宋体" w:eastAsia="宋体" w:cs="宋体"/>
                <w:color w:val="auto"/>
                <w:sz w:val="21"/>
                <w:szCs w:val="21"/>
                <w:highlight w:val="none"/>
              </w:rPr>
            </w:pPr>
          </w:p>
        </w:tc>
        <w:tc>
          <w:tcPr>
            <w:tcW w:w="5565" w:type="dxa"/>
            <w:noWrap w:val="0"/>
            <w:vAlign w:val="center"/>
          </w:tcPr>
          <w:p w14:paraId="3826C0D7">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20000</w:t>
            </w:r>
            <w:r>
              <w:rPr>
                <w:rFonts w:hint="eastAsia" w:ascii="宋体" w:hAnsi="宋体" w:cs="宋体"/>
                <w:color w:val="auto"/>
                <w:sz w:val="21"/>
                <w:szCs w:val="21"/>
                <w:highlight w:val="none"/>
                <w:lang w:eastAsia="zh-CN"/>
              </w:rPr>
              <w:t>平方米</w:t>
            </w:r>
            <w:r>
              <w:rPr>
                <w:rFonts w:hint="eastAsia" w:ascii="宋体" w:hAnsi="宋体" w:eastAsia="宋体" w:cs="宋体"/>
                <w:color w:val="auto"/>
                <w:sz w:val="21"/>
                <w:szCs w:val="21"/>
                <w:highlight w:val="none"/>
              </w:rPr>
              <w:t xml:space="preserve"> 以上</w:t>
            </w:r>
          </w:p>
        </w:tc>
        <w:tc>
          <w:tcPr>
            <w:tcW w:w="1249" w:type="dxa"/>
            <w:noWrap w:val="0"/>
            <w:vAlign w:val="center"/>
          </w:tcPr>
          <w:p w14:paraId="7574F1D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6931F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8" w:type="dxa"/>
            <w:noWrap w:val="0"/>
            <w:vAlign w:val="center"/>
          </w:tcPr>
          <w:p w14:paraId="08DC552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备注</w:t>
            </w:r>
          </w:p>
        </w:tc>
        <w:tc>
          <w:tcPr>
            <w:tcW w:w="6814" w:type="dxa"/>
            <w:gridSpan w:val="2"/>
            <w:noWrap w:val="0"/>
            <w:vAlign w:val="center"/>
          </w:tcPr>
          <w:p w14:paraId="63E439E9">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拟对单位、直接负责的主管人员和其他直接责任人员实施罚款处罚的，应当分别套用计算公式确定罚款数额。</w:t>
            </w:r>
          </w:p>
        </w:tc>
      </w:tr>
    </w:tbl>
    <w:p w14:paraId="2F500F2A">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502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99"/>
        <w:gridCol w:w="5869"/>
        <w:gridCol w:w="1318"/>
      </w:tblGrid>
      <w:tr w14:paraId="56CC0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8558" w:type="dxa"/>
            <w:gridSpan w:val="3"/>
            <w:noWrap w:val="0"/>
            <w:vAlign w:val="center"/>
          </w:tcPr>
          <w:p w14:paraId="403000E6">
            <w:pPr>
              <w:jc w:val="center"/>
              <w:rPr>
                <w:rFonts w:hint="eastAsia" w:ascii="宋体" w:hAnsi="宋体" w:eastAsia="宋体" w:cs="宋体"/>
                <w:bCs/>
                <w:color w:val="auto"/>
                <w:sz w:val="21"/>
                <w:szCs w:val="21"/>
                <w:highlight w:val="none"/>
                <w:lang w:eastAsia="zh-CN"/>
              </w:rPr>
            </w:pPr>
            <w:r>
              <w:rPr>
                <w:rFonts w:hint="eastAsia" w:ascii="宋体" w:hAnsi="宋体" w:eastAsia="宋体" w:cs="宋体"/>
                <w:color w:val="auto"/>
                <w:sz w:val="21"/>
                <w:szCs w:val="21"/>
                <w:highlight w:val="none"/>
                <w:lang w:eastAsia="zh-CN"/>
              </w:rPr>
              <w:t>（七）土壤污染防治类</w:t>
            </w:r>
          </w:p>
        </w:tc>
      </w:tr>
      <w:tr w14:paraId="3406B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1714" w:type="dxa"/>
            <w:noWrap w:val="0"/>
            <w:vAlign w:val="center"/>
          </w:tcPr>
          <w:p w14:paraId="18D9C56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844" w:type="dxa"/>
            <w:gridSpan w:val="2"/>
            <w:noWrap w:val="0"/>
            <w:vAlign w:val="center"/>
          </w:tcPr>
          <w:p w14:paraId="110EE1F1">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17</w:t>
            </w:r>
          </w:p>
        </w:tc>
      </w:tr>
      <w:tr w14:paraId="7F797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1714" w:type="dxa"/>
            <w:noWrap w:val="0"/>
            <w:vAlign w:val="center"/>
          </w:tcPr>
          <w:p w14:paraId="5E027C8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6844" w:type="dxa"/>
            <w:gridSpan w:val="2"/>
            <w:noWrap w:val="0"/>
            <w:vAlign w:val="center"/>
          </w:tcPr>
          <w:p w14:paraId="647F82F4">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对建设用地土壤污染风险管控和修复名录中的地块等，未采取相应风险管控措施的</w:t>
            </w:r>
          </w:p>
        </w:tc>
      </w:tr>
      <w:tr w14:paraId="18D0F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1" w:hRule="atLeast"/>
          <w:jc w:val="center"/>
        </w:trPr>
        <w:tc>
          <w:tcPr>
            <w:tcW w:w="1714" w:type="dxa"/>
            <w:noWrap w:val="0"/>
            <w:vAlign w:val="center"/>
          </w:tcPr>
          <w:p w14:paraId="6E6E98F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6844" w:type="dxa"/>
            <w:gridSpan w:val="2"/>
            <w:noWrap w:val="0"/>
            <w:vAlign w:val="center"/>
          </w:tcPr>
          <w:p w14:paraId="21CE2605">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《中华人民共和国生态环境法典》第四百五十七条 对建设用地土壤污染风险管控和修复名录中的地块，土壤污染责任人应当按照国家规定以及土壤污染风险评估报告的要求，采取相应的风险管控措施，并定期向地方人民政府生态环境主管部门报告。风险管控措施应当包括地下水污染防治的内容。</w:t>
            </w:r>
          </w:p>
        </w:tc>
      </w:tr>
      <w:tr w14:paraId="49B23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9" w:hRule="atLeast"/>
          <w:jc w:val="center"/>
        </w:trPr>
        <w:tc>
          <w:tcPr>
            <w:tcW w:w="1714" w:type="dxa"/>
            <w:noWrap w:val="0"/>
            <w:vAlign w:val="center"/>
          </w:tcPr>
          <w:p w14:paraId="07ABFEB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6844" w:type="dxa"/>
            <w:gridSpan w:val="2"/>
            <w:noWrap w:val="0"/>
            <w:vAlign w:val="center"/>
          </w:tcPr>
          <w:p w14:paraId="04FBE93D">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《中华人民共和国生态环境法典》第一千一百六十五条</w:t>
            </w:r>
            <w:r>
              <w:rPr>
                <w:rFonts w:hint="eastAsia" w:ascii="宋体" w:hAnsi="宋体" w:eastAsia="宋体" w:cs="宋体"/>
                <w:color w:val="auto"/>
                <w:sz w:val="21"/>
                <w:szCs w:val="21"/>
                <w:highlight w:val="none"/>
                <w:lang w:eastAsia="zh-CN"/>
              </w:rPr>
              <w:t>第一款第四项</w:t>
            </w:r>
            <w:r>
              <w:rPr>
                <w:rFonts w:hint="eastAsia" w:ascii="宋体" w:hAnsi="宋体" w:eastAsia="宋体" w:cs="宋体"/>
                <w:color w:val="auto"/>
                <w:sz w:val="21"/>
                <w:szCs w:val="21"/>
                <w:highlight w:val="none"/>
              </w:rPr>
              <w:t xml:space="preserve">  违反本法规定，土壤污染责任人或者土地使用权人有下列情形之一的，由地方人民政府负有生态环境保护监督管理职责的部门按照职责分工责令改正，处二万元以上二十万元以下的罚款；拒不改正的，处二十万元以上一百万元以下的罚款，并委托他人代为履行，所需费用由土壤污染责任人或者土地使用权人承担；对直接负责的主管人员和其他直接责任人员处五千元以上二万元以下的罚款：</w:t>
            </w:r>
          </w:p>
          <w:p w14:paraId="4A937435">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（四）对安全利用类和严格管控类农用地地块，建设用地土壤污染风险管控和修复名录中的地块等，未采取相应风险管控措施；</w:t>
            </w:r>
          </w:p>
        </w:tc>
      </w:tr>
      <w:tr w14:paraId="48868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1714" w:type="dxa"/>
            <w:noWrap w:val="0"/>
            <w:vAlign w:val="center"/>
          </w:tcPr>
          <w:p w14:paraId="1A0D196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589" w:type="dxa"/>
            <w:noWrap w:val="0"/>
            <w:vAlign w:val="center"/>
          </w:tcPr>
          <w:p w14:paraId="68732F6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255" w:type="dxa"/>
            <w:noWrap w:val="0"/>
            <w:vAlign w:val="center"/>
          </w:tcPr>
          <w:p w14:paraId="54886A6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4A4EC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1714" w:type="dxa"/>
            <w:vMerge w:val="restart"/>
            <w:noWrap w:val="0"/>
            <w:vAlign w:val="center"/>
          </w:tcPr>
          <w:p w14:paraId="0BA56DF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涉及面积</w:t>
            </w:r>
          </w:p>
        </w:tc>
        <w:tc>
          <w:tcPr>
            <w:tcW w:w="5589" w:type="dxa"/>
            <w:noWrap w:val="0"/>
            <w:vAlign w:val="center"/>
          </w:tcPr>
          <w:p w14:paraId="29AD87A6">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不足500</w:t>
            </w:r>
            <w:r>
              <w:rPr>
                <w:rFonts w:hint="eastAsia" w:ascii="宋体" w:hAnsi="宋体" w:cs="宋体"/>
                <w:color w:val="auto"/>
                <w:sz w:val="21"/>
                <w:szCs w:val="21"/>
                <w:highlight w:val="none"/>
                <w:lang w:eastAsia="zh-CN"/>
              </w:rPr>
              <w:t>平方米</w:t>
            </w:r>
          </w:p>
        </w:tc>
        <w:tc>
          <w:tcPr>
            <w:tcW w:w="1255" w:type="dxa"/>
            <w:noWrap w:val="0"/>
            <w:vAlign w:val="center"/>
          </w:tcPr>
          <w:p w14:paraId="7BBE59F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7D05B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1714" w:type="dxa"/>
            <w:vMerge w:val="continue"/>
            <w:noWrap w:val="0"/>
            <w:vAlign w:val="center"/>
          </w:tcPr>
          <w:p w14:paraId="33BF5790">
            <w:pPr>
              <w:rPr>
                <w:rFonts w:hint="eastAsia" w:ascii="宋体" w:hAnsi="宋体" w:eastAsia="宋体" w:cs="宋体"/>
                <w:color w:val="auto"/>
                <w:sz w:val="21"/>
                <w:szCs w:val="21"/>
                <w:highlight w:val="none"/>
              </w:rPr>
            </w:pPr>
          </w:p>
        </w:tc>
        <w:tc>
          <w:tcPr>
            <w:tcW w:w="5589" w:type="dxa"/>
            <w:noWrap w:val="0"/>
            <w:vAlign w:val="bottom"/>
          </w:tcPr>
          <w:p w14:paraId="596F6426">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500</w:t>
            </w:r>
            <w:r>
              <w:rPr>
                <w:rFonts w:hint="eastAsia" w:ascii="宋体" w:hAnsi="宋体" w:cs="宋体"/>
                <w:color w:val="auto"/>
                <w:sz w:val="21"/>
                <w:szCs w:val="21"/>
                <w:highlight w:val="none"/>
                <w:lang w:eastAsia="zh-CN"/>
              </w:rPr>
              <w:t>平方米</w:t>
            </w:r>
            <w:r>
              <w:rPr>
                <w:rFonts w:hint="eastAsia" w:ascii="宋体" w:hAnsi="宋体" w:eastAsia="宋体" w:cs="宋体"/>
                <w:color w:val="auto"/>
                <w:sz w:val="21"/>
                <w:szCs w:val="21"/>
                <w:highlight w:val="none"/>
              </w:rPr>
              <w:t>以上不足5000</w:t>
            </w:r>
            <w:r>
              <w:rPr>
                <w:rFonts w:hint="eastAsia" w:ascii="宋体" w:hAnsi="宋体" w:cs="宋体"/>
                <w:color w:val="auto"/>
                <w:sz w:val="21"/>
                <w:szCs w:val="21"/>
                <w:highlight w:val="none"/>
                <w:lang w:eastAsia="zh-CN"/>
              </w:rPr>
              <w:t>平方米</w:t>
            </w:r>
          </w:p>
        </w:tc>
        <w:tc>
          <w:tcPr>
            <w:tcW w:w="1255" w:type="dxa"/>
            <w:noWrap w:val="0"/>
            <w:vAlign w:val="bottom"/>
          </w:tcPr>
          <w:p w14:paraId="71818DC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r>
      <w:tr w14:paraId="07C6A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1714" w:type="dxa"/>
            <w:vMerge w:val="continue"/>
            <w:noWrap w:val="0"/>
            <w:vAlign w:val="center"/>
          </w:tcPr>
          <w:p w14:paraId="50FDA14C">
            <w:pPr>
              <w:rPr>
                <w:rFonts w:hint="eastAsia" w:ascii="宋体" w:hAnsi="宋体" w:eastAsia="宋体" w:cs="宋体"/>
                <w:color w:val="auto"/>
                <w:sz w:val="21"/>
                <w:szCs w:val="21"/>
                <w:highlight w:val="none"/>
              </w:rPr>
            </w:pPr>
          </w:p>
        </w:tc>
        <w:tc>
          <w:tcPr>
            <w:tcW w:w="5589" w:type="dxa"/>
            <w:noWrap w:val="0"/>
            <w:vAlign w:val="center"/>
          </w:tcPr>
          <w:p w14:paraId="148EBF68">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5000</w:t>
            </w:r>
            <w:r>
              <w:rPr>
                <w:rFonts w:hint="eastAsia" w:ascii="宋体" w:hAnsi="宋体" w:cs="宋体"/>
                <w:color w:val="auto"/>
                <w:sz w:val="21"/>
                <w:szCs w:val="21"/>
                <w:highlight w:val="none"/>
                <w:lang w:eastAsia="zh-CN"/>
              </w:rPr>
              <w:t>平方米</w:t>
            </w:r>
            <w:r>
              <w:rPr>
                <w:rFonts w:hint="eastAsia" w:ascii="宋体" w:hAnsi="宋体" w:eastAsia="宋体" w:cs="宋体"/>
                <w:color w:val="auto"/>
                <w:sz w:val="21"/>
                <w:szCs w:val="21"/>
                <w:highlight w:val="none"/>
              </w:rPr>
              <w:t xml:space="preserve"> 以上不足 10000</w:t>
            </w:r>
            <w:r>
              <w:rPr>
                <w:rFonts w:hint="eastAsia" w:ascii="宋体" w:hAnsi="宋体" w:cs="宋体"/>
                <w:color w:val="auto"/>
                <w:sz w:val="21"/>
                <w:szCs w:val="21"/>
                <w:highlight w:val="none"/>
                <w:lang w:eastAsia="zh-CN"/>
              </w:rPr>
              <w:t>平方米</w:t>
            </w:r>
            <w:r>
              <w:rPr>
                <w:rFonts w:hint="eastAsia" w:ascii="宋体" w:hAnsi="宋体" w:eastAsia="宋体" w:cs="宋体"/>
                <w:color w:val="auto"/>
                <w:sz w:val="21"/>
                <w:szCs w:val="21"/>
                <w:highlight w:val="none"/>
              </w:rPr>
              <w:t xml:space="preserve"> </w:t>
            </w:r>
          </w:p>
        </w:tc>
        <w:tc>
          <w:tcPr>
            <w:tcW w:w="1255" w:type="dxa"/>
            <w:noWrap w:val="0"/>
            <w:vAlign w:val="center"/>
          </w:tcPr>
          <w:p w14:paraId="2F481C2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6C408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1714" w:type="dxa"/>
            <w:vMerge w:val="continue"/>
            <w:noWrap w:val="0"/>
            <w:vAlign w:val="center"/>
          </w:tcPr>
          <w:p w14:paraId="2F1A051C">
            <w:pPr>
              <w:rPr>
                <w:rFonts w:hint="eastAsia" w:ascii="宋体" w:hAnsi="宋体" w:eastAsia="宋体" w:cs="宋体"/>
                <w:color w:val="auto"/>
                <w:sz w:val="21"/>
                <w:szCs w:val="21"/>
                <w:highlight w:val="none"/>
              </w:rPr>
            </w:pPr>
          </w:p>
        </w:tc>
        <w:tc>
          <w:tcPr>
            <w:tcW w:w="5589" w:type="dxa"/>
            <w:noWrap w:val="0"/>
            <w:vAlign w:val="center"/>
          </w:tcPr>
          <w:p w14:paraId="6ECB8C95">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10000</w:t>
            </w:r>
            <w:r>
              <w:rPr>
                <w:rFonts w:hint="eastAsia" w:ascii="宋体" w:hAnsi="宋体" w:cs="宋体"/>
                <w:color w:val="auto"/>
                <w:sz w:val="21"/>
                <w:szCs w:val="21"/>
                <w:highlight w:val="none"/>
                <w:lang w:eastAsia="zh-CN"/>
              </w:rPr>
              <w:t>平方米</w:t>
            </w:r>
            <w:r>
              <w:rPr>
                <w:rFonts w:hint="eastAsia" w:ascii="宋体" w:hAnsi="宋体" w:eastAsia="宋体" w:cs="宋体"/>
                <w:color w:val="auto"/>
                <w:sz w:val="21"/>
                <w:szCs w:val="21"/>
                <w:highlight w:val="none"/>
              </w:rPr>
              <w:t xml:space="preserve"> 以上不足20000</w:t>
            </w:r>
            <w:r>
              <w:rPr>
                <w:rFonts w:hint="eastAsia" w:ascii="宋体" w:hAnsi="宋体" w:cs="宋体"/>
                <w:color w:val="auto"/>
                <w:sz w:val="21"/>
                <w:szCs w:val="21"/>
                <w:highlight w:val="none"/>
                <w:lang w:eastAsia="zh-CN"/>
              </w:rPr>
              <w:t>平方米</w:t>
            </w:r>
            <w:r>
              <w:rPr>
                <w:rFonts w:hint="eastAsia" w:ascii="宋体" w:hAnsi="宋体" w:eastAsia="宋体" w:cs="宋体"/>
                <w:color w:val="auto"/>
                <w:sz w:val="21"/>
                <w:szCs w:val="21"/>
                <w:highlight w:val="none"/>
              </w:rPr>
              <w:t xml:space="preserve"> </w:t>
            </w:r>
          </w:p>
        </w:tc>
        <w:tc>
          <w:tcPr>
            <w:tcW w:w="1255" w:type="dxa"/>
            <w:noWrap w:val="0"/>
            <w:vAlign w:val="center"/>
          </w:tcPr>
          <w:p w14:paraId="1D7485D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r>
      <w:tr w14:paraId="274A9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1714" w:type="dxa"/>
            <w:vMerge w:val="continue"/>
            <w:noWrap w:val="0"/>
            <w:vAlign w:val="center"/>
          </w:tcPr>
          <w:p w14:paraId="5683FE19">
            <w:pPr>
              <w:rPr>
                <w:rFonts w:hint="eastAsia" w:ascii="宋体" w:hAnsi="宋体" w:eastAsia="宋体" w:cs="宋体"/>
                <w:color w:val="auto"/>
                <w:sz w:val="21"/>
                <w:szCs w:val="21"/>
                <w:highlight w:val="none"/>
              </w:rPr>
            </w:pPr>
          </w:p>
        </w:tc>
        <w:tc>
          <w:tcPr>
            <w:tcW w:w="5589" w:type="dxa"/>
            <w:noWrap w:val="0"/>
            <w:vAlign w:val="center"/>
          </w:tcPr>
          <w:p w14:paraId="63749C29">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20000</w:t>
            </w:r>
            <w:r>
              <w:rPr>
                <w:rFonts w:hint="eastAsia" w:ascii="宋体" w:hAnsi="宋体" w:cs="宋体"/>
                <w:color w:val="auto"/>
                <w:sz w:val="21"/>
                <w:szCs w:val="21"/>
                <w:highlight w:val="none"/>
                <w:lang w:eastAsia="zh-CN"/>
              </w:rPr>
              <w:t>平方米</w:t>
            </w:r>
            <w:r>
              <w:rPr>
                <w:rFonts w:hint="eastAsia" w:ascii="宋体" w:hAnsi="宋体" w:eastAsia="宋体" w:cs="宋体"/>
                <w:color w:val="auto"/>
                <w:sz w:val="21"/>
                <w:szCs w:val="21"/>
                <w:highlight w:val="none"/>
              </w:rPr>
              <w:t xml:space="preserve"> 以上</w:t>
            </w:r>
          </w:p>
        </w:tc>
        <w:tc>
          <w:tcPr>
            <w:tcW w:w="1255" w:type="dxa"/>
            <w:noWrap w:val="0"/>
            <w:vAlign w:val="center"/>
          </w:tcPr>
          <w:p w14:paraId="6CFC78E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008A1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714" w:type="dxa"/>
            <w:noWrap w:val="0"/>
            <w:vAlign w:val="center"/>
          </w:tcPr>
          <w:p w14:paraId="129FFBB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备注</w:t>
            </w:r>
          </w:p>
        </w:tc>
        <w:tc>
          <w:tcPr>
            <w:tcW w:w="6844" w:type="dxa"/>
            <w:gridSpan w:val="2"/>
            <w:noWrap w:val="0"/>
            <w:vAlign w:val="center"/>
          </w:tcPr>
          <w:p w14:paraId="6E2F719B">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拟对单位、直接负责的主管人员和其他直接责任人员实施罚款处罚的，应当分别套用计算公式确定罚款数额。</w:t>
            </w:r>
          </w:p>
        </w:tc>
      </w:tr>
    </w:tbl>
    <w:p w14:paraId="615AB2F8">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502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0"/>
        <w:gridCol w:w="5869"/>
        <w:gridCol w:w="1317"/>
      </w:tblGrid>
      <w:tr w14:paraId="71234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58" w:type="dxa"/>
            <w:gridSpan w:val="3"/>
            <w:noWrap w:val="0"/>
            <w:vAlign w:val="center"/>
          </w:tcPr>
          <w:p w14:paraId="06350A91">
            <w:pPr>
              <w:jc w:val="center"/>
              <w:rPr>
                <w:rFonts w:hint="eastAsia" w:ascii="宋体" w:hAnsi="宋体" w:eastAsia="宋体" w:cs="宋体"/>
                <w:bCs/>
                <w:color w:val="auto"/>
                <w:sz w:val="21"/>
                <w:szCs w:val="21"/>
                <w:highlight w:val="none"/>
                <w:lang w:eastAsia="zh-CN"/>
              </w:rPr>
            </w:pPr>
            <w:r>
              <w:rPr>
                <w:rFonts w:hint="eastAsia" w:ascii="宋体" w:hAnsi="宋体" w:eastAsia="宋体" w:cs="宋体"/>
                <w:color w:val="auto"/>
                <w:sz w:val="21"/>
                <w:szCs w:val="21"/>
                <w:highlight w:val="none"/>
                <w:lang w:eastAsia="zh-CN"/>
              </w:rPr>
              <w:t>（七）土壤污染防治类</w:t>
            </w:r>
          </w:p>
        </w:tc>
      </w:tr>
      <w:tr w14:paraId="09925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1715" w:type="dxa"/>
            <w:noWrap w:val="0"/>
            <w:vAlign w:val="center"/>
          </w:tcPr>
          <w:p w14:paraId="4DA5B6B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843" w:type="dxa"/>
            <w:gridSpan w:val="2"/>
            <w:noWrap w:val="0"/>
            <w:vAlign w:val="center"/>
          </w:tcPr>
          <w:p w14:paraId="3694ABB5">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18</w:t>
            </w:r>
          </w:p>
        </w:tc>
      </w:tr>
      <w:tr w14:paraId="30A19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5" w:type="dxa"/>
            <w:noWrap w:val="0"/>
            <w:vAlign w:val="center"/>
          </w:tcPr>
          <w:p w14:paraId="758F8CE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6843" w:type="dxa"/>
            <w:gridSpan w:val="2"/>
            <w:noWrap w:val="0"/>
            <w:vAlign w:val="center"/>
          </w:tcPr>
          <w:p w14:paraId="2F02D777">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未按照规定实施修复的</w:t>
            </w:r>
          </w:p>
        </w:tc>
      </w:tr>
      <w:tr w14:paraId="1F19E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5" w:type="dxa"/>
            <w:noWrap w:val="0"/>
            <w:vAlign w:val="center"/>
          </w:tcPr>
          <w:p w14:paraId="17C4A8C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6843" w:type="dxa"/>
            <w:gridSpan w:val="2"/>
            <w:noWrap w:val="0"/>
            <w:vAlign w:val="top"/>
          </w:tcPr>
          <w:p w14:paraId="207E86C9">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《中华人民共和国生态环境法典》第四百三十九条</w:t>
            </w:r>
            <w:r>
              <w:rPr>
                <w:rFonts w:hint="eastAsia" w:ascii="宋体" w:hAnsi="宋体" w:eastAsia="宋体" w:cs="宋体"/>
                <w:color w:val="auto"/>
                <w:sz w:val="21"/>
                <w:szCs w:val="21"/>
                <w:highlight w:val="none"/>
                <w:lang w:val="en-US" w:eastAsia="zh-CN"/>
              </w:rPr>
              <w:t>第一款</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土壤污染责任人负有实施土壤污染风险管控和修复的义务。土壤污染责任人无法认定的，土地使用权人应当实施土壤污染风险管控和修复。</w:t>
            </w:r>
          </w:p>
          <w:p w14:paraId="49F95BF8">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《中华人民共和国生态环境法典》第四百五十九条  对建设用地土壤污染风险管控和修复名录中需要实施修复的地块，土壤污染责任人应当结合国土空间规划编制修复方案，报地方人民政府生态环境主管部门备案并实施。修复方案应当包括地下水污染防治的内容。</w:t>
            </w:r>
          </w:p>
        </w:tc>
      </w:tr>
      <w:tr w14:paraId="4CA16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5" w:type="dxa"/>
            <w:noWrap w:val="0"/>
            <w:vAlign w:val="center"/>
          </w:tcPr>
          <w:p w14:paraId="58F0BEE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6843" w:type="dxa"/>
            <w:gridSpan w:val="2"/>
            <w:noWrap w:val="0"/>
            <w:vAlign w:val="bottom"/>
          </w:tcPr>
          <w:p w14:paraId="09409F13">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《中华人民共和国生态环境法典》第一千一百六十五条</w:t>
            </w:r>
            <w:r>
              <w:rPr>
                <w:rFonts w:hint="eastAsia" w:ascii="宋体" w:hAnsi="宋体" w:eastAsia="宋体" w:cs="宋体"/>
                <w:color w:val="auto"/>
                <w:sz w:val="21"/>
                <w:szCs w:val="21"/>
                <w:highlight w:val="none"/>
                <w:lang w:eastAsia="zh-CN"/>
              </w:rPr>
              <w:t>第一款第五项</w:t>
            </w:r>
            <w:r>
              <w:rPr>
                <w:rFonts w:hint="eastAsia" w:ascii="宋体" w:hAnsi="宋体" w:eastAsia="宋体" w:cs="宋体"/>
                <w:color w:val="auto"/>
                <w:sz w:val="21"/>
                <w:szCs w:val="21"/>
                <w:highlight w:val="none"/>
              </w:rPr>
              <w:t xml:space="preserve">  违反本法规定，土壤污染责任人或者土地使用权人有下列情形之一的，由地方人民政府负有生态环境保护监督管理职责的部门按照职责分工责令改正，处二万元以上二十万元以下的罚款；拒不改正的，处二十万元以上一百万元以下的罚款，并委托他人代为履行，所需费用由土壤污染责任人或者土地使用权人承担；对直接负责的主管人员和其他直接责任人员处五千元以上二万元以下的罚款：</w:t>
            </w:r>
          </w:p>
          <w:p w14:paraId="65EA38F9">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（五）未按照规定实施修复；</w:t>
            </w:r>
          </w:p>
        </w:tc>
      </w:tr>
      <w:tr w14:paraId="066A1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5" w:type="dxa"/>
            <w:noWrap w:val="0"/>
            <w:vAlign w:val="center"/>
          </w:tcPr>
          <w:p w14:paraId="6712E2A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589" w:type="dxa"/>
            <w:noWrap w:val="0"/>
            <w:vAlign w:val="center"/>
          </w:tcPr>
          <w:p w14:paraId="620C5D8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254" w:type="dxa"/>
            <w:noWrap w:val="0"/>
            <w:vAlign w:val="center"/>
          </w:tcPr>
          <w:p w14:paraId="782AF06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16705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5" w:type="dxa"/>
            <w:vMerge w:val="restart"/>
            <w:noWrap w:val="0"/>
            <w:vAlign w:val="center"/>
          </w:tcPr>
          <w:p w14:paraId="04E3568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违法事实</w:t>
            </w:r>
          </w:p>
        </w:tc>
        <w:tc>
          <w:tcPr>
            <w:tcW w:w="5589" w:type="dxa"/>
            <w:noWrap w:val="0"/>
            <w:vAlign w:val="center"/>
          </w:tcPr>
          <w:p w14:paraId="18CDFDB6">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已编制修复方案，但未规范实施修复的</w:t>
            </w:r>
          </w:p>
        </w:tc>
        <w:tc>
          <w:tcPr>
            <w:tcW w:w="1254" w:type="dxa"/>
            <w:noWrap w:val="0"/>
            <w:vAlign w:val="center"/>
          </w:tcPr>
          <w:p w14:paraId="141FC16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0F1E9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5" w:type="dxa"/>
            <w:vMerge w:val="continue"/>
            <w:noWrap w:val="0"/>
            <w:vAlign w:val="center"/>
          </w:tcPr>
          <w:p w14:paraId="6AE2F7FA">
            <w:pPr>
              <w:rPr>
                <w:rFonts w:hint="eastAsia" w:ascii="宋体" w:hAnsi="宋体" w:eastAsia="宋体" w:cs="宋体"/>
                <w:color w:val="auto"/>
                <w:sz w:val="21"/>
                <w:szCs w:val="21"/>
                <w:highlight w:val="none"/>
              </w:rPr>
            </w:pPr>
          </w:p>
        </w:tc>
        <w:tc>
          <w:tcPr>
            <w:tcW w:w="5589" w:type="dxa"/>
            <w:noWrap w:val="0"/>
            <w:vAlign w:val="bottom"/>
          </w:tcPr>
          <w:p w14:paraId="253AF06F">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未规范编制修复方案，且未规范实施修复的</w:t>
            </w:r>
          </w:p>
        </w:tc>
        <w:tc>
          <w:tcPr>
            <w:tcW w:w="1254" w:type="dxa"/>
            <w:noWrap w:val="0"/>
            <w:vAlign w:val="bottom"/>
          </w:tcPr>
          <w:p w14:paraId="71BC676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51DCC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5" w:type="dxa"/>
            <w:vMerge w:val="continue"/>
            <w:noWrap w:val="0"/>
            <w:vAlign w:val="center"/>
          </w:tcPr>
          <w:p w14:paraId="0FD83ECE">
            <w:pPr>
              <w:rPr>
                <w:rFonts w:hint="eastAsia" w:ascii="宋体" w:hAnsi="宋体" w:eastAsia="宋体" w:cs="宋体"/>
                <w:color w:val="auto"/>
                <w:sz w:val="21"/>
                <w:szCs w:val="21"/>
                <w:highlight w:val="none"/>
              </w:rPr>
            </w:pPr>
          </w:p>
        </w:tc>
        <w:tc>
          <w:tcPr>
            <w:tcW w:w="5589" w:type="dxa"/>
            <w:noWrap w:val="0"/>
            <w:vAlign w:val="bottom"/>
          </w:tcPr>
          <w:p w14:paraId="74BA079A">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未编制修复方案，或未实施修复的</w:t>
            </w:r>
          </w:p>
        </w:tc>
        <w:tc>
          <w:tcPr>
            <w:tcW w:w="1254" w:type="dxa"/>
            <w:noWrap w:val="0"/>
            <w:vAlign w:val="bottom"/>
          </w:tcPr>
          <w:p w14:paraId="0ED8875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349A8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5" w:type="dxa"/>
            <w:vMerge w:val="restart"/>
            <w:noWrap w:val="0"/>
            <w:vAlign w:val="center"/>
          </w:tcPr>
          <w:p w14:paraId="3CA47D4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涉及面积</w:t>
            </w:r>
          </w:p>
        </w:tc>
        <w:tc>
          <w:tcPr>
            <w:tcW w:w="5589" w:type="dxa"/>
            <w:noWrap w:val="0"/>
            <w:vAlign w:val="center"/>
          </w:tcPr>
          <w:p w14:paraId="529C5279">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不足500</w:t>
            </w:r>
            <w:r>
              <w:rPr>
                <w:rFonts w:hint="eastAsia" w:ascii="宋体" w:hAnsi="宋体" w:cs="宋体"/>
                <w:color w:val="auto"/>
                <w:sz w:val="21"/>
                <w:szCs w:val="21"/>
                <w:highlight w:val="none"/>
                <w:lang w:eastAsia="zh-CN"/>
              </w:rPr>
              <w:t>平方米</w:t>
            </w:r>
          </w:p>
        </w:tc>
        <w:tc>
          <w:tcPr>
            <w:tcW w:w="1254" w:type="dxa"/>
            <w:noWrap w:val="0"/>
            <w:vAlign w:val="center"/>
          </w:tcPr>
          <w:p w14:paraId="2009693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0CC20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5" w:type="dxa"/>
            <w:vMerge w:val="continue"/>
            <w:noWrap w:val="0"/>
            <w:vAlign w:val="center"/>
          </w:tcPr>
          <w:p w14:paraId="13EC74FE">
            <w:pPr>
              <w:rPr>
                <w:rFonts w:hint="eastAsia" w:ascii="宋体" w:hAnsi="宋体" w:eastAsia="宋体" w:cs="宋体"/>
                <w:color w:val="auto"/>
                <w:sz w:val="21"/>
                <w:szCs w:val="21"/>
                <w:highlight w:val="none"/>
              </w:rPr>
            </w:pPr>
          </w:p>
        </w:tc>
        <w:tc>
          <w:tcPr>
            <w:tcW w:w="5589" w:type="dxa"/>
            <w:noWrap w:val="0"/>
            <w:vAlign w:val="center"/>
          </w:tcPr>
          <w:p w14:paraId="2B793CBF">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500</w:t>
            </w:r>
            <w:r>
              <w:rPr>
                <w:rFonts w:hint="eastAsia" w:ascii="宋体" w:hAnsi="宋体" w:cs="宋体"/>
                <w:color w:val="auto"/>
                <w:sz w:val="21"/>
                <w:szCs w:val="21"/>
                <w:highlight w:val="none"/>
                <w:lang w:eastAsia="zh-CN"/>
              </w:rPr>
              <w:t>平方米</w:t>
            </w:r>
            <w:r>
              <w:rPr>
                <w:rFonts w:hint="eastAsia" w:ascii="宋体" w:hAnsi="宋体" w:eastAsia="宋体" w:cs="宋体"/>
                <w:color w:val="auto"/>
                <w:sz w:val="21"/>
                <w:szCs w:val="21"/>
                <w:highlight w:val="none"/>
              </w:rPr>
              <w:t>以上不足5000</w:t>
            </w:r>
            <w:r>
              <w:rPr>
                <w:rFonts w:hint="eastAsia" w:ascii="宋体" w:hAnsi="宋体" w:cs="宋体"/>
                <w:color w:val="auto"/>
                <w:sz w:val="21"/>
                <w:szCs w:val="21"/>
                <w:highlight w:val="none"/>
                <w:lang w:eastAsia="zh-CN"/>
              </w:rPr>
              <w:t>平方米</w:t>
            </w:r>
          </w:p>
        </w:tc>
        <w:tc>
          <w:tcPr>
            <w:tcW w:w="1254" w:type="dxa"/>
            <w:noWrap w:val="0"/>
            <w:vAlign w:val="center"/>
          </w:tcPr>
          <w:p w14:paraId="0AAE4F6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r>
      <w:tr w14:paraId="03C2A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5" w:type="dxa"/>
            <w:vMerge w:val="continue"/>
            <w:noWrap w:val="0"/>
            <w:vAlign w:val="center"/>
          </w:tcPr>
          <w:p w14:paraId="65DF69B8">
            <w:pPr>
              <w:rPr>
                <w:rFonts w:hint="eastAsia" w:ascii="宋体" w:hAnsi="宋体" w:eastAsia="宋体" w:cs="宋体"/>
                <w:color w:val="auto"/>
                <w:sz w:val="21"/>
                <w:szCs w:val="21"/>
                <w:highlight w:val="none"/>
              </w:rPr>
            </w:pPr>
          </w:p>
        </w:tc>
        <w:tc>
          <w:tcPr>
            <w:tcW w:w="5589" w:type="dxa"/>
            <w:noWrap w:val="0"/>
            <w:vAlign w:val="center"/>
          </w:tcPr>
          <w:p w14:paraId="38178838">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5000</w:t>
            </w:r>
            <w:r>
              <w:rPr>
                <w:rFonts w:hint="eastAsia" w:ascii="宋体" w:hAnsi="宋体" w:cs="宋体"/>
                <w:color w:val="auto"/>
                <w:sz w:val="21"/>
                <w:szCs w:val="21"/>
                <w:highlight w:val="none"/>
                <w:lang w:eastAsia="zh-CN"/>
              </w:rPr>
              <w:t>平方米</w:t>
            </w:r>
            <w:r>
              <w:rPr>
                <w:rFonts w:hint="eastAsia" w:ascii="宋体" w:hAnsi="宋体" w:eastAsia="宋体" w:cs="宋体"/>
                <w:color w:val="auto"/>
                <w:sz w:val="21"/>
                <w:szCs w:val="21"/>
                <w:highlight w:val="none"/>
              </w:rPr>
              <w:t xml:space="preserve"> 以上不足 10000</w:t>
            </w:r>
            <w:r>
              <w:rPr>
                <w:rFonts w:hint="eastAsia" w:ascii="宋体" w:hAnsi="宋体" w:cs="宋体"/>
                <w:color w:val="auto"/>
                <w:sz w:val="21"/>
                <w:szCs w:val="21"/>
                <w:highlight w:val="none"/>
                <w:lang w:eastAsia="zh-CN"/>
              </w:rPr>
              <w:t>平方米</w:t>
            </w:r>
            <w:r>
              <w:rPr>
                <w:rFonts w:hint="eastAsia" w:ascii="宋体" w:hAnsi="宋体" w:eastAsia="宋体" w:cs="宋体"/>
                <w:color w:val="auto"/>
                <w:sz w:val="21"/>
                <w:szCs w:val="21"/>
                <w:highlight w:val="none"/>
              </w:rPr>
              <w:t xml:space="preserve"> </w:t>
            </w:r>
          </w:p>
        </w:tc>
        <w:tc>
          <w:tcPr>
            <w:tcW w:w="1254" w:type="dxa"/>
            <w:noWrap w:val="0"/>
            <w:vAlign w:val="center"/>
          </w:tcPr>
          <w:p w14:paraId="286EB84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5BD1E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5" w:type="dxa"/>
            <w:vMerge w:val="continue"/>
            <w:noWrap w:val="0"/>
            <w:vAlign w:val="center"/>
          </w:tcPr>
          <w:p w14:paraId="198F8D58">
            <w:pPr>
              <w:rPr>
                <w:rFonts w:hint="eastAsia" w:ascii="宋体" w:hAnsi="宋体" w:eastAsia="宋体" w:cs="宋体"/>
                <w:color w:val="auto"/>
                <w:sz w:val="21"/>
                <w:szCs w:val="21"/>
                <w:highlight w:val="none"/>
              </w:rPr>
            </w:pPr>
          </w:p>
        </w:tc>
        <w:tc>
          <w:tcPr>
            <w:tcW w:w="5589" w:type="dxa"/>
            <w:noWrap w:val="0"/>
            <w:vAlign w:val="center"/>
          </w:tcPr>
          <w:p w14:paraId="18292897">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10000</w:t>
            </w:r>
            <w:r>
              <w:rPr>
                <w:rFonts w:hint="eastAsia" w:ascii="宋体" w:hAnsi="宋体" w:cs="宋体"/>
                <w:color w:val="auto"/>
                <w:sz w:val="21"/>
                <w:szCs w:val="21"/>
                <w:highlight w:val="none"/>
                <w:lang w:eastAsia="zh-CN"/>
              </w:rPr>
              <w:t>平方米</w:t>
            </w:r>
            <w:r>
              <w:rPr>
                <w:rFonts w:hint="eastAsia" w:ascii="宋体" w:hAnsi="宋体" w:eastAsia="宋体" w:cs="宋体"/>
                <w:color w:val="auto"/>
                <w:sz w:val="21"/>
                <w:szCs w:val="21"/>
                <w:highlight w:val="none"/>
              </w:rPr>
              <w:t xml:space="preserve"> 以上不足20000</w:t>
            </w:r>
            <w:r>
              <w:rPr>
                <w:rFonts w:hint="eastAsia" w:ascii="宋体" w:hAnsi="宋体" w:cs="宋体"/>
                <w:color w:val="auto"/>
                <w:sz w:val="21"/>
                <w:szCs w:val="21"/>
                <w:highlight w:val="none"/>
                <w:lang w:eastAsia="zh-CN"/>
              </w:rPr>
              <w:t>平方米</w:t>
            </w:r>
            <w:r>
              <w:rPr>
                <w:rFonts w:hint="eastAsia" w:ascii="宋体" w:hAnsi="宋体" w:eastAsia="宋体" w:cs="宋体"/>
                <w:color w:val="auto"/>
                <w:sz w:val="21"/>
                <w:szCs w:val="21"/>
                <w:highlight w:val="none"/>
              </w:rPr>
              <w:t xml:space="preserve"> </w:t>
            </w:r>
          </w:p>
        </w:tc>
        <w:tc>
          <w:tcPr>
            <w:tcW w:w="1254" w:type="dxa"/>
            <w:noWrap w:val="0"/>
            <w:vAlign w:val="center"/>
          </w:tcPr>
          <w:p w14:paraId="118773C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r>
      <w:tr w14:paraId="46512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5" w:type="dxa"/>
            <w:vMerge w:val="continue"/>
            <w:noWrap w:val="0"/>
            <w:vAlign w:val="center"/>
          </w:tcPr>
          <w:p w14:paraId="66F9F208">
            <w:pPr>
              <w:rPr>
                <w:rFonts w:hint="eastAsia" w:ascii="宋体" w:hAnsi="宋体" w:eastAsia="宋体" w:cs="宋体"/>
                <w:color w:val="auto"/>
                <w:sz w:val="21"/>
                <w:szCs w:val="21"/>
                <w:highlight w:val="none"/>
              </w:rPr>
            </w:pPr>
          </w:p>
        </w:tc>
        <w:tc>
          <w:tcPr>
            <w:tcW w:w="5589" w:type="dxa"/>
            <w:noWrap w:val="0"/>
            <w:vAlign w:val="center"/>
          </w:tcPr>
          <w:p w14:paraId="50891C00">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20000</w:t>
            </w:r>
            <w:r>
              <w:rPr>
                <w:rFonts w:hint="eastAsia" w:ascii="宋体" w:hAnsi="宋体" w:cs="宋体"/>
                <w:color w:val="auto"/>
                <w:sz w:val="21"/>
                <w:szCs w:val="21"/>
                <w:highlight w:val="none"/>
                <w:lang w:eastAsia="zh-CN"/>
              </w:rPr>
              <w:t>平方米</w:t>
            </w:r>
            <w:r>
              <w:rPr>
                <w:rFonts w:hint="eastAsia" w:ascii="宋体" w:hAnsi="宋体" w:eastAsia="宋体" w:cs="宋体"/>
                <w:color w:val="auto"/>
                <w:sz w:val="21"/>
                <w:szCs w:val="21"/>
                <w:highlight w:val="none"/>
              </w:rPr>
              <w:t xml:space="preserve"> 以上</w:t>
            </w:r>
          </w:p>
        </w:tc>
        <w:tc>
          <w:tcPr>
            <w:tcW w:w="1254" w:type="dxa"/>
            <w:noWrap w:val="0"/>
            <w:vAlign w:val="center"/>
          </w:tcPr>
          <w:p w14:paraId="385314A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497E1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5" w:type="dxa"/>
            <w:noWrap w:val="0"/>
            <w:vAlign w:val="center"/>
          </w:tcPr>
          <w:p w14:paraId="4BD37DB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备注</w:t>
            </w:r>
          </w:p>
        </w:tc>
        <w:tc>
          <w:tcPr>
            <w:tcW w:w="6843" w:type="dxa"/>
            <w:gridSpan w:val="2"/>
            <w:noWrap w:val="0"/>
            <w:vAlign w:val="center"/>
          </w:tcPr>
          <w:p w14:paraId="3DD7F2F9">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拟对单位、直接负责的主管人员和其他直接责任人员实施罚款处罚的，应当分别套用计算公式确定罚款数额。</w:t>
            </w:r>
          </w:p>
        </w:tc>
      </w:tr>
    </w:tbl>
    <w:p w14:paraId="7038F285">
      <w:pPr>
        <w:rPr>
          <w:rFonts w:hint="eastAsia" w:ascii="宋体" w:hAnsi="宋体" w:eastAsia="宋体" w:cs="宋体"/>
          <w:sz w:val="21"/>
          <w:szCs w:val="21"/>
          <w:highlight w:val="none"/>
        </w:rPr>
      </w:pPr>
    </w:p>
    <w:p w14:paraId="696DEA9D">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503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4"/>
        <w:gridCol w:w="5880"/>
        <w:gridCol w:w="1321"/>
      </w:tblGrid>
      <w:tr w14:paraId="35747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8577" w:type="dxa"/>
            <w:gridSpan w:val="3"/>
            <w:noWrap w:val="0"/>
            <w:vAlign w:val="center"/>
          </w:tcPr>
          <w:p w14:paraId="150A59F6">
            <w:pPr>
              <w:jc w:val="center"/>
              <w:rPr>
                <w:rFonts w:hint="eastAsia" w:ascii="宋体" w:hAnsi="宋体" w:eastAsia="宋体" w:cs="宋体"/>
                <w:bCs/>
                <w:color w:val="auto"/>
                <w:sz w:val="21"/>
                <w:szCs w:val="21"/>
                <w:highlight w:val="none"/>
                <w:lang w:eastAsia="zh-CN"/>
              </w:rPr>
            </w:pPr>
            <w:r>
              <w:rPr>
                <w:rFonts w:hint="eastAsia" w:ascii="宋体" w:hAnsi="宋体" w:eastAsia="宋体" w:cs="宋体"/>
                <w:color w:val="auto"/>
                <w:sz w:val="21"/>
                <w:szCs w:val="21"/>
                <w:highlight w:val="none"/>
                <w:lang w:eastAsia="zh-CN"/>
              </w:rPr>
              <w:t>（七）土壤污染防治类</w:t>
            </w:r>
          </w:p>
        </w:tc>
      </w:tr>
      <w:tr w14:paraId="22376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1718" w:type="dxa"/>
            <w:noWrap w:val="0"/>
            <w:vAlign w:val="center"/>
          </w:tcPr>
          <w:p w14:paraId="209D595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859" w:type="dxa"/>
            <w:gridSpan w:val="2"/>
            <w:noWrap w:val="0"/>
            <w:vAlign w:val="center"/>
          </w:tcPr>
          <w:p w14:paraId="6C0643C7">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19</w:t>
            </w:r>
          </w:p>
        </w:tc>
      </w:tr>
      <w:tr w14:paraId="1A5BC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1718" w:type="dxa"/>
            <w:noWrap w:val="0"/>
            <w:vAlign w:val="center"/>
          </w:tcPr>
          <w:p w14:paraId="3339830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6859" w:type="dxa"/>
            <w:gridSpan w:val="2"/>
            <w:noWrap w:val="0"/>
            <w:vAlign w:val="center"/>
          </w:tcPr>
          <w:p w14:paraId="74BE2E72">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风险管控、修复活动完成后，未另行委托有关单位对风险管控效果、修复效果进行评估的</w:t>
            </w:r>
          </w:p>
        </w:tc>
      </w:tr>
      <w:tr w14:paraId="1E423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3" w:hRule="atLeast"/>
          <w:jc w:val="center"/>
        </w:trPr>
        <w:tc>
          <w:tcPr>
            <w:tcW w:w="1718" w:type="dxa"/>
            <w:noWrap w:val="0"/>
            <w:vAlign w:val="center"/>
          </w:tcPr>
          <w:p w14:paraId="5DEBF87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6859" w:type="dxa"/>
            <w:gridSpan w:val="2"/>
            <w:noWrap w:val="0"/>
            <w:vAlign w:val="center"/>
          </w:tcPr>
          <w:p w14:paraId="139D5595">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《中华人民共和国生态环境法典》第四百六十条  风险管控、修复活动完成后，土壤污染责任人应当另行委托有关单位对风险管控效果、修复效果进行评估，并将效果评估报告报地方人民政府生态环境主管部门备案。</w:t>
            </w:r>
          </w:p>
        </w:tc>
      </w:tr>
      <w:tr w14:paraId="34F5A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9" w:hRule="atLeast"/>
          <w:jc w:val="center"/>
        </w:trPr>
        <w:tc>
          <w:tcPr>
            <w:tcW w:w="1718" w:type="dxa"/>
            <w:noWrap w:val="0"/>
            <w:vAlign w:val="center"/>
          </w:tcPr>
          <w:p w14:paraId="65AE7A5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6859" w:type="dxa"/>
            <w:gridSpan w:val="2"/>
            <w:noWrap w:val="0"/>
            <w:vAlign w:val="center"/>
          </w:tcPr>
          <w:p w14:paraId="63BDCF8D">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《中华人民共和国生态环境法典》第一千一百六十五条</w:t>
            </w:r>
            <w:r>
              <w:rPr>
                <w:rFonts w:hint="eastAsia" w:ascii="宋体" w:hAnsi="宋体" w:eastAsia="宋体" w:cs="宋体"/>
                <w:color w:val="auto"/>
                <w:sz w:val="21"/>
                <w:szCs w:val="21"/>
                <w:highlight w:val="none"/>
                <w:lang w:val="en-US" w:eastAsia="zh-CN"/>
              </w:rPr>
              <w:t>第六项</w:t>
            </w:r>
            <w:r>
              <w:rPr>
                <w:rFonts w:hint="eastAsia" w:ascii="宋体" w:hAnsi="宋体" w:eastAsia="宋体" w:cs="宋体"/>
                <w:color w:val="auto"/>
                <w:sz w:val="21"/>
                <w:szCs w:val="21"/>
                <w:highlight w:val="none"/>
              </w:rPr>
              <w:t xml:space="preserve">  违反本法规定，土壤污染责任人或者土地使用权人有下列情形之一的，由地方人民政府负有生态环境保护监督管理职责的部门按照职责分工责令改正，处二万元以上二十万元以下的罚款；拒不改正的，处二十万元以上一百万元以下的罚款，并委托他人代为履行，所需费用由土壤污染责任人或者土地使用权人承担；对直接负责的主管人员和其他直接责任人员处五千元以上二万元以下的罚款：</w:t>
            </w:r>
          </w:p>
          <w:p w14:paraId="1D5C587E">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（六）风险管控、修复活动完成后，未另行委托有关单位对风险管控效果、修复效果进行评估。</w:t>
            </w:r>
          </w:p>
        </w:tc>
      </w:tr>
      <w:tr w14:paraId="6D3E2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1718" w:type="dxa"/>
            <w:noWrap w:val="0"/>
            <w:vAlign w:val="center"/>
          </w:tcPr>
          <w:p w14:paraId="57FA598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601" w:type="dxa"/>
            <w:noWrap w:val="0"/>
            <w:vAlign w:val="center"/>
          </w:tcPr>
          <w:p w14:paraId="249761B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258" w:type="dxa"/>
            <w:noWrap w:val="0"/>
            <w:vAlign w:val="center"/>
          </w:tcPr>
          <w:p w14:paraId="787D09D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57955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1718" w:type="dxa"/>
            <w:vMerge w:val="restart"/>
            <w:noWrap w:val="0"/>
            <w:vAlign w:val="center"/>
          </w:tcPr>
          <w:p w14:paraId="1625FAA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涉及面积</w:t>
            </w:r>
          </w:p>
        </w:tc>
        <w:tc>
          <w:tcPr>
            <w:tcW w:w="5601" w:type="dxa"/>
            <w:noWrap w:val="0"/>
            <w:vAlign w:val="center"/>
          </w:tcPr>
          <w:p w14:paraId="10D671E8">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不足500</w:t>
            </w:r>
            <w:r>
              <w:rPr>
                <w:rFonts w:hint="eastAsia" w:ascii="宋体" w:hAnsi="宋体" w:cs="宋体"/>
                <w:color w:val="auto"/>
                <w:sz w:val="21"/>
                <w:szCs w:val="21"/>
                <w:highlight w:val="none"/>
                <w:lang w:eastAsia="zh-CN"/>
              </w:rPr>
              <w:t>平方米</w:t>
            </w:r>
          </w:p>
        </w:tc>
        <w:tc>
          <w:tcPr>
            <w:tcW w:w="1258" w:type="dxa"/>
            <w:noWrap w:val="0"/>
            <w:vAlign w:val="center"/>
          </w:tcPr>
          <w:p w14:paraId="0CDE063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2C156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1718" w:type="dxa"/>
            <w:vMerge w:val="continue"/>
            <w:noWrap w:val="0"/>
            <w:vAlign w:val="center"/>
          </w:tcPr>
          <w:p w14:paraId="502CBC4F">
            <w:pPr>
              <w:rPr>
                <w:rFonts w:hint="eastAsia" w:ascii="宋体" w:hAnsi="宋体" w:eastAsia="宋体" w:cs="宋体"/>
                <w:color w:val="auto"/>
                <w:sz w:val="21"/>
                <w:szCs w:val="21"/>
                <w:highlight w:val="none"/>
              </w:rPr>
            </w:pPr>
          </w:p>
        </w:tc>
        <w:tc>
          <w:tcPr>
            <w:tcW w:w="5601" w:type="dxa"/>
            <w:noWrap w:val="0"/>
            <w:vAlign w:val="center"/>
          </w:tcPr>
          <w:p w14:paraId="0A75D171">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500</w:t>
            </w:r>
            <w:r>
              <w:rPr>
                <w:rFonts w:hint="eastAsia" w:ascii="宋体" w:hAnsi="宋体" w:cs="宋体"/>
                <w:color w:val="auto"/>
                <w:sz w:val="21"/>
                <w:szCs w:val="21"/>
                <w:highlight w:val="none"/>
                <w:lang w:eastAsia="zh-CN"/>
              </w:rPr>
              <w:t>平方米</w:t>
            </w:r>
            <w:r>
              <w:rPr>
                <w:rFonts w:hint="eastAsia" w:ascii="宋体" w:hAnsi="宋体" w:eastAsia="宋体" w:cs="宋体"/>
                <w:color w:val="auto"/>
                <w:sz w:val="21"/>
                <w:szCs w:val="21"/>
                <w:highlight w:val="none"/>
              </w:rPr>
              <w:t>以上不足5000</w:t>
            </w:r>
            <w:r>
              <w:rPr>
                <w:rFonts w:hint="eastAsia" w:ascii="宋体" w:hAnsi="宋体" w:cs="宋体"/>
                <w:color w:val="auto"/>
                <w:sz w:val="21"/>
                <w:szCs w:val="21"/>
                <w:highlight w:val="none"/>
                <w:lang w:eastAsia="zh-CN"/>
              </w:rPr>
              <w:t>平方米</w:t>
            </w:r>
          </w:p>
        </w:tc>
        <w:tc>
          <w:tcPr>
            <w:tcW w:w="1258" w:type="dxa"/>
            <w:noWrap w:val="0"/>
            <w:vAlign w:val="center"/>
          </w:tcPr>
          <w:p w14:paraId="65E89B3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r>
      <w:tr w14:paraId="30C41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1718" w:type="dxa"/>
            <w:vMerge w:val="continue"/>
            <w:noWrap w:val="0"/>
            <w:vAlign w:val="center"/>
          </w:tcPr>
          <w:p w14:paraId="655DFDC2">
            <w:pPr>
              <w:rPr>
                <w:rFonts w:hint="eastAsia" w:ascii="宋体" w:hAnsi="宋体" w:eastAsia="宋体" w:cs="宋体"/>
                <w:color w:val="auto"/>
                <w:sz w:val="21"/>
                <w:szCs w:val="21"/>
                <w:highlight w:val="none"/>
              </w:rPr>
            </w:pPr>
          </w:p>
        </w:tc>
        <w:tc>
          <w:tcPr>
            <w:tcW w:w="5601" w:type="dxa"/>
            <w:noWrap w:val="0"/>
            <w:vAlign w:val="center"/>
          </w:tcPr>
          <w:p w14:paraId="54054850">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5000</w:t>
            </w:r>
            <w:r>
              <w:rPr>
                <w:rFonts w:hint="eastAsia" w:ascii="宋体" w:hAnsi="宋体" w:cs="宋体"/>
                <w:color w:val="auto"/>
                <w:sz w:val="21"/>
                <w:szCs w:val="21"/>
                <w:highlight w:val="none"/>
                <w:lang w:eastAsia="zh-CN"/>
              </w:rPr>
              <w:t>平方米</w:t>
            </w:r>
            <w:r>
              <w:rPr>
                <w:rFonts w:hint="eastAsia" w:ascii="宋体" w:hAnsi="宋体" w:eastAsia="宋体" w:cs="宋体"/>
                <w:color w:val="auto"/>
                <w:sz w:val="21"/>
                <w:szCs w:val="21"/>
                <w:highlight w:val="none"/>
              </w:rPr>
              <w:t xml:space="preserve"> 以上不足10000</w:t>
            </w:r>
            <w:r>
              <w:rPr>
                <w:rFonts w:hint="eastAsia" w:ascii="宋体" w:hAnsi="宋体" w:cs="宋体"/>
                <w:color w:val="auto"/>
                <w:sz w:val="21"/>
                <w:szCs w:val="21"/>
                <w:highlight w:val="none"/>
                <w:lang w:eastAsia="zh-CN"/>
              </w:rPr>
              <w:t>平方米</w:t>
            </w:r>
            <w:r>
              <w:rPr>
                <w:rFonts w:hint="eastAsia" w:ascii="宋体" w:hAnsi="宋体" w:eastAsia="宋体" w:cs="宋体"/>
                <w:color w:val="auto"/>
                <w:sz w:val="21"/>
                <w:szCs w:val="21"/>
                <w:highlight w:val="none"/>
              </w:rPr>
              <w:t xml:space="preserve"> </w:t>
            </w:r>
          </w:p>
        </w:tc>
        <w:tc>
          <w:tcPr>
            <w:tcW w:w="1258" w:type="dxa"/>
            <w:noWrap w:val="0"/>
            <w:vAlign w:val="center"/>
          </w:tcPr>
          <w:p w14:paraId="71F1A87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01CC7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1718" w:type="dxa"/>
            <w:vMerge w:val="continue"/>
            <w:noWrap w:val="0"/>
            <w:vAlign w:val="center"/>
          </w:tcPr>
          <w:p w14:paraId="642FA850">
            <w:pPr>
              <w:rPr>
                <w:rFonts w:hint="eastAsia" w:ascii="宋体" w:hAnsi="宋体" w:eastAsia="宋体" w:cs="宋体"/>
                <w:color w:val="auto"/>
                <w:sz w:val="21"/>
                <w:szCs w:val="21"/>
                <w:highlight w:val="none"/>
              </w:rPr>
            </w:pPr>
          </w:p>
        </w:tc>
        <w:tc>
          <w:tcPr>
            <w:tcW w:w="5601" w:type="dxa"/>
            <w:noWrap w:val="0"/>
            <w:vAlign w:val="center"/>
          </w:tcPr>
          <w:p w14:paraId="312196E4">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10000</w:t>
            </w:r>
            <w:r>
              <w:rPr>
                <w:rFonts w:hint="eastAsia" w:ascii="宋体" w:hAnsi="宋体" w:cs="宋体"/>
                <w:color w:val="auto"/>
                <w:sz w:val="21"/>
                <w:szCs w:val="21"/>
                <w:highlight w:val="none"/>
                <w:lang w:eastAsia="zh-CN"/>
              </w:rPr>
              <w:t>平方米</w:t>
            </w:r>
            <w:r>
              <w:rPr>
                <w:rFonts w:hint="eastAsia" w:ascii="宋体" w:hAnsi="宋体" w:eastAsia="宋体" w:cs="宋体"/>
                <w:color w:val="auto"/>
                <w:sz w:val="21"/>
                <w:szCs w:val="21"/>
                <w:highlight w:val="none"/>
              </w:rPr>
              <w:t xml:space="preserve"> 以上不足20000</w:t>
            </w:r>
            <w:r>
              <w:rPr>
                <w:rFonts w:hint="eastAsia" w:ascii="宋体" w:hAnsi="宋体" w:cs="宋体"/>
                <w:color w:val="auto"/>
                <w:sz w:val="21"/>
                <w:szCs w:val="21"/>
                <w:highlight w:val="none"/>
                <w:lang w:eastAsia="zh-CN"/>
              </w:rPr>
              <w:t>平方米</w:t>
            </w:r>
            <w:r>
              <w:rPr>
                <w:rFonts w:hint="eastAsia" w:ascii="宋体" w:hAnsi="宋体" w:eastAsia="宋体" w:cs="宋体"/>
                <w:color w:val="auto"/>
                <w:sz w:val="21"/>
                <w:szCs w:val="21"/>
                <w:highlight w:val="none"/>
              </w:rPr>
              <w:t xml:space="preserve"> </w:t>
            </w:r>
          </w:p>
        </w:tc>
        <w:tc>
          <w:tcPr>
            <w:tcW w:w="1258" w:type="dxa"/>
            <w:noWrap w:val="0"/>
            <w:vAlign w:val="center"/>
          </w:tcPr>
          <w:p w14:paraId="349F9B1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r>
      <w:tr w14:paraId="126D4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1718" w:type="dxa"/>
            <w:vMerge w:val="continue"/>
            <w:noWrap w:val="0"/>
            <w:vAlign w:val="center"/>
          </w:tcPr>
          <w:p w14:paraId="71C87952">
            <w:pPr>
              <w:rPr>
                <w:rFonts w:hint="eastAsia" w:ascii="宋体" w:hAnsi="宋体" w:eastAsia="宋体" w:cs="宋体"/>
                <w:color w:val="auto"/>
                <w:sz w:val="21"/>
                <w:szCs w:val="21"/>
                <w:highlight w:val="none"/>
              </w:rPr>
            </w:pPr>
          </w:p>
        </w:tc>
        <w:tc>
          <w:tcPr>
            <w:tcW w:w="5601" w:type="dxa"/>
            <w:noWrap w:val="0"/>
            <w:vAlign w:val="center"/>
          </w:tcPr>
          <w:p w14:paraId="792B0F82">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20000</w:t>
            </w:r>
            <w:r>
              <w:rPr>
                <w:rFonts w:hint="eastAsia" w:ascii="宋体" w:hAnsi="宋体" w:cs="宋体"/>
                <w:color w:val="auto"/>
                <w:sz w:val="21"/>
                <w:szCs w:val="21"/>
                <w:highlight w:val="none"/>
                <w:lang w:eastAsia="zh-CN"/>
              </w:rPr>
              <w:t>平方米</w:t>
            </w:r>
            <w:r>
              <w:rPr>
                <w:rFonts w:hint="eastAsia" w:ascii="宋体" w:hAnsi="宋体" w:eastAsia="宋体" w:cs="宋体"/>
                <w:color w:val="auto"/>
                <w:sz w:val="21"/>
                <w:szCs w:val="21"/>
                <w:highlight w:val="none"/>
              </w:rPr>
              <w:t xml:space="preserve"> 以上</w:t>
            </w:r>
          </w:p>
        </w:tc>
        <w:tc>
          <w:tcPr>
            <w:tcW w:w="1258" w:type="dxa"/>
            <w:noWrap w:val="0"/>
            <w:vAlign w:val="center"/>
          </w:tcPr>
          <w:p w14:paraId="152FA08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5B52B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1718" w:type="dxa"/>
            <w:noWrap w:val="0"/>
            <w:vAlign w:val="center"/>
          </w:tcPr>
          <w:p w14:paraId="1B7302C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备注</w:t>
            </w:r>
          </w:p>
        </w:tc>
        <w:tc>
          <w:tcPr>
            <w:tcW w:w="6859" w:type="dxa"/>
            <w:gridSpan w:val="2"/>
            <w:noWrap w:val="0"/>
            <w:vAlign w:val="center"/>
          </w:tcPr>
          <w:p w14:paraId="1EAC05E2">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拟对单位、直接负责的主管人员和其他直接责任人员实施罚款处罚的，应当分别套用计算公式确定罚款数额。</w:t>
            </w:r>
          </w:p>
        </w:tc>
      </w:tr>
    </w:tbl>
    <w:p w14:paraId="717C4215">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513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2"/>
        <w:gridCol w:w="5970"/>
        <w:gridCol w:w="1375"/>
      </w:tblGrid>
      <w:tr w14:paraId="10497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9197" w:type="dxa"/>
            <w:gridSpan w:val="3"/>
            <w:noWrap w:val="0"/>
            <w:vAlign w:val="center"/>
          </w:tcPr>
          <w:p w14:paraId="2A2811E2">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（七）土壤污染防治类</w:t>
            </w:r>
          </w:p>
        </w:tc>
      </w:tr>
      <w:tr w14:paraId="5599D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852" w:type="dxa"/>
            <w:noWrap w:val="0"/>
            <w:vAlign w:val="center"/>
          </w:tcPr>
          <w:p w14:paraId="4AC4FFF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7345" w:type="dxa"/>
            <w:gridSpan w:val="2"/>
            <w:noWrap w:val="0"/>
            <w:vAlign w:val="center"/>
          </w:tcPr>
          <w:p w14:paraId="01E8F1AA">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20</w:t>
            </w:r>
          </w:p>
        </w:tc>
      </w:tr>
      <w:tr w14:paraId="74537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1852" w:type="dxa"/>
            <w:noWrap w:val="0"/>
            <w:vAlign w:val="center"/>
          </w:tcPr>
          <w:p w14:paraId="74E514E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7345" w:type="dxa"/>
            <w:gridSpan w:val="2"/>
            <w:noWrap w:val="0"/>
            <w:vAlign w:val="center"/>
          </w:tcPr>
          <w:p w14:paraId="2730E099">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土壤污染重点监管单位未按年度报告有毒有害物质排放情况，拒不改正的</w:t>
            </w:r>
          </w:p>
        </w:tc>
      </w:tr>
      <w:tr w14:paraId="39EAE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1852" w:type="dxa"/>
            <w:noWrap w:val="0"/>
            <w:vAlign w:val="center"/>
          </w:tcPr>
          <w:p w14:paraId="1F28BD5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7345" w:type="dxa"/>
            <w:gridSpan w:val="2"/>
            <w:noWrap w:val="0"/>
            <w:vAlign w:val="center"/>
          </w:tcPr>
          <w:p w14:paraId="5EE601CB">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《中华人民共和国生态环境法典》第四百一十四条第二款第一项　土壤污染重点监管单位应当履行下列义务：</w:t>
            </w:r>
          </w:p>
          <w:p w14:paraId="2DF5BC4C">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（一）严格控制有毒有害物质排放，并按年度向生态环境主管部门报告排放情况；</w:t>
            </w:r>
          </w:p>
        </w:tc>
      </w:tr>
      <w:tr w14:paraId="7188B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1" w:hRule="atLeast"/>
          <w:jc w:val="center"/>
        </w:trPr>
        <w:tc>
          <w:tcPr>
            <w:tcW w:w="1852" w:type="dxa"/>
            <w:noWrap w:val="0"/>
            <w:vAlign w:val="center"/>
          </w:tcPr>
          <w:p w14:paraId="052BFE6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7345" w:type="dxa"/>
            <w:gridSpan w:val="2"/>
            <w:noWrap w:val="0"/>
            <w:vAlign w:val="center"/>
          </w:tcPr>
          <w:p w14:paraId="7CFCECFD">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《中华人民共和国生态环境法典》第一千一百六十六条</w:t>
            </w:r>
            <w:r>
              <w:rPr>
                <w:rFonts w:hint="eastAsia" w:ascii="宋体" w:hAnsi="宋体" w:eastAsia="宋体" w:cs="宋体"/>
                <w:color w:val="auto"/>
                <w:sz w:val="21"/>
                <w:szCs w:val="21"/>
                <w:highlight w:val="none"/>
                <w:lang w:val="en-US" w:eastAsia="zh-CN"/>
              </w:rPr>
              <w:t>第一项</w:t>
            </w:r>
            <w:r>
              <w:rPr>
                <w:rFonts w:hint="eastAsia" w:ascii="宋体" w:hAnsi="宋体" w:eastAsia="宋体" w:cs="宋体"/>
                <w:color w:val="auto"/>
                <w:sz w:val="21"/>
                <w:szCs w:val="21"/>
                <w:highlight w:val="none"/>
              </w:rPr>
              <w:t xml:space="preserve">  违反本法规定，有下列情形之一的，由生态环境主管部门、农业农村主管部门、林业草原主管部门按照职责分工责令改正；拒不改正的，处二万元以上十万元以下的罚款：</w:t>
            </w:r>
          </w:p>
          <w:p w14:paraId="4BE1158E">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（一）土壤污染重点监管单位未按年度报告有毒有害物质排放情况；</w:t>
            </w:r>
          </w:p>
        </w:tc>
      </w:tr>
      <w:tr w14:paraId="70E86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852" w:type="dxa"/>
            <w:noWrap w:val="0"/>
            <w:vAlign w:val="center"/>
          </w:tcPr>
          <w:p w14:paraId="44D6C5D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970" w:type="dxa"/>
            <w:noWrap w:val="0"/>
            <w:vAlign w:val="center"/>
          </w:tcPr>
          <w:p w14:paraId="3C6EDC6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375" w:type="dxa"/>
            <w:noWrap w:val="0"/>
            <w:vAlign w:val="center"/>
          </w:tcPr>
          <w:p w14:paraId="0474FE3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0E774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852" w:type="dxa"/>
            <w:vMerge w:val="restart"/>
            <w:noWrap w:val="0"/>
            <w:vAlign w:val="center"/>
          </w:tcPr>
          <w:p w14:paraId="64781B32">
            <w:pPr>
              <w:adjustRightIn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违法</w:t>
            </w:r>
            <w:r>
              <w:rPr>
                <w:rFonts w:hint="eastAsia" w:ascii="宋体" w:hAnsi="宋体" w:cs="宋体"/>
                <w:color w:val="auto"/>
                <w:sz w:val="21"/>
                <w:szCs w:val="21"/>
                <w:highlight w:val="none"/>
                <w:lang w:val="en-US" w:eastAsia="zh-CN"/>
              </w:rPr>
              <w:t>事实</w:t>
            </w:r>
          </w:p>
        </w:tc>
        <w:tc>
          <w:tcPr>
            <w:tcW w:w="5970" w:type="dxa"/>
            <w:noWrap w:val="0"/>
            <w:vAlign w:val="center"/>
          </w:tcPr>
          <w:p w14:paraId="73D62D9F">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未按年度报告有毒有害物质排放情况（1类）</w:t>
            </w:r>
          </w:p>
        </w:tc>
        <w:tc>
          <w:tcPr>
            <w:tcW w:w="1375" w:type="dxa"/>
            <w:noWrap w:val="0"/>
            <w:vAlign w:val="center"/>
          </w:tcPr>
          <w:p w14:paraId="679B535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p>
        </w:tc>
      </w:tr>
      <w:tr w14:paraId="085DA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852" w:type="dxa"/>
            <w:vMerge w:val="continue"/>
            <w:noWrap w:val="0"/>
            <w:vAlign w:val="center"/>
          </w:tcPr>
          <w:p w14:paraId="66D1905A">
            <w:pPr>
              <w:adjustRightInd w:val="0"/>
              <w:ind w:firstLine="420" w:firstLineChars="200"/>
              <w:jc w:val="center"/>
              <w:rPr>
                <w:rFonts w:hint="eastAsia" w:ascii="宋体" w:hAnsi="宋体" w:eastAsia="宋体" w:cs="宋体"/>
                <w:color w:val="auto"/>
                <w:sz w:val="21"/>
                <w:szCs w:val="21"/>
                <w:highlight w:val="none"/>
              </w:rPr>
            </w:pPr>
          </w:p>
        </w:tc>
        <w:tc>
          <w:tcPr>
            <w:tcW w:w="5970" w:type="dxa"/>
            <w:noWrap w:val="0"/>
            <w:vAlign w:val="center"/>
          </w:tcPr>
          <w:p w14:paraId="133533DC">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未按年度报告有毒有害物质排放情况（2类以上5类以下）</w:t>
            </w:r>
          </w:p>
        </w:tc>
        <w:tc>
          <w:tcPr>
            <w:tcW w:w="1375" w:type="dxa"/>
            <w:noWrap w:val="0"/>
            <w:vAlign w:val="center"/>
          </w:tcPr>
          <w:p w14:paraId="36CE94F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p>
        </w:tc>
      </w:tr>
      <w:tr w14:paraId="3E4FF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852" w:type="dxa"/>
            <w:vMerge w:val="continue"/>
            <w:noWrap w:val="0"/>
            <w:vAlign w:val="center"/>
          </w:tcPr>
          <w:p w14:paraId="691AE975">
            <w:pPr>
              <w:adjustRightInd w:val="0"/>
              <w:ind w:firstLine="420" w:firstLineChars="200"/>
              <w:jc w:val="center"/>
              <w:rPr>
                <w:rFonts w:hint="eastAsia" w:ascii="宋体" w:hAnsi="宋体" w:eastAsia="宋体" w:cs="宋体"/>
                <w:color w:val="auto"/>
                <w:sz w:val="21"/>
                <w:szCs w:val="21"/>
                <w:highlight w:val="none"/>
              </w:rPr>
            </w:pPr>
          </w:p>
        </w:tc>
        <w:tc>
          <w:tcPr>
            <w:tcW w:w="5970" w:type="dxa"/>
            <w:noWrap w:val="0"/>
            <w:vAlign w:val="center"/>
          </w:tcPr>
          <w:p w14:paraId="51280A75">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未按年度报告有毒有害物质排放情况（5类以上10类以下）</w:t>
            </w:r>
          </w:p>
        </w:tc>
        <w:tc>
          <w:tcPr>
            <w:tcW w:w="1375" w:type="dxa"/>
            <w:noWrap w:val="0"/>
            <w:vAlign w:val="center"/>
          </w:tcPr>
          <w:p w14:paraId="79B2645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p>
        </w:tc>
      </w:tr>
      <w:tr w14:paraId="5B697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852" w:type="dxa"/>
            <w:vMerge w:val="continue"/>
            <w:noWrap w:val="0"/>
            <w:vAlign w:val="center"/>
          </w:tcPr>
          <w:p w14:paraId="0CB105B1">
            <w:pPr>
              <w:adjustRightInd w:val="0"/>
              <w:ind w:firstLine="420" w:firstLineChars="200"/>
              <w:jc w:val="center"/>
              <w:rPr>
                <w:rFonts w:hint="eastAsia" w:ascii="宋体" w:hAnsi="宋体" w:eastAsia="宋体" w:cs="宋体"/>
                <w:color w:val="auto"/>
                <w:sz w:val="21"/>
                <w:szCs w:val="21"/>
                <w:highlight w:val="none"/>
              </w:rPr>
            </w:pPr>
          </w:p>
        </w:tc>
        <w:tc>
          <w:tcPr>
            <w:tcW w:w="5970" w:type="dxa"/>
            <w:noWrap w:val="0"/>
            <w:vAlign w:val="center"/>
          </w:tcPr>
          <w:p w14:paraId="4B8DD7AB">
            <w:pPr>
              <w:adjustRightInd w:val="0"/>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未按年度报告有毒有害物质排放情况（10类以上）</w:t>
            </w:r>
          </w:p>
        </w:tc>
        <w:tc>
          <w:tcPr>
            <w:tcW w:w="1375" w:type="dxa"/>
            <w:noWrap w:val="0"/>
            <w:vAlign w:val="center"/>
          </w:tcPr>
          <w:p w14:paraId="2DFAFD29">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r>
    </w:tbl>
    <w:p w14:paraId="638C005B">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513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9"/>
        <w:gridCol w:w="5952"/>
        <w:gridCol w:w="1386"/>
      </w:tblGrid>
      <w:tr w14:paraId="53C24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8759" w:type="dxa"/>
            <w:gridSpan w:val="3"/>
            <w:noWrap w:val="0"/>
            <w:vAlign w:val="center"/>
          </w:tcPr>
          <w:p w14:paraId="2A25678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（七）土壤污染防治类</w:t>
            </w:r>
          </w:p>
        </w:tc>
      </w:tr>
      <w:tr w14:paraId="37C67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770" w:type="dxa"/>
            <w:noWrap w:val="0"/>
            <w:vAlign w:val="center"/>
          </w:tcPr>
          <w:p w14:paraId="6F4C144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989" w:type="dxa"/>
            <w:gridSpan w:val="2"/>
            <w:noWrap w:val="0"/>
            <w:vAlign w:val="center"/>
          </w:tcPr>
          <w:p w14:paraId="69F34E63">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w:t>
            </w:r>
          </w:p>
        </w:tc>
      </w:tr>
      <w:tr w14:paraId="4C207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1770" w:type="dxa"/>
            <w:noWrap w:val="0"/>
            <w:vAlign w:val="center"/>
          </w:tcPr>
          <w:p w14:paraId="0F7E5C7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6989" w:type="dxa"/>
            <w:gridSpan w:val="2"/>
            <w:noWrap w:val="0"/>
            <w:vAlign w:val="center"/>
          </w:tcPr>
          <w:p w14:paraId="1DA69981">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土壤污染重点监管单位未将贮存有毒有害物质的地下储罐信息报生态环境主管部门，拒不改正的</w:t>
            </w:r>
          </w:p>
        </w:tc>
      </w:tr>
      <w:tr w14:paraId="502E3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0" w:hRule="atLeast"/>
          <w:jc w:val="center"/>
        </w:trPr>
        <w:tc>
          <w:tcPr>
            <w:tcW w:w="1770" w:type="dxa"/>
            <w:noWrap w:val="0"/>
            <w:vAlign w:val="center"/>
          </w:tcPr>
          <w:p w14:paraId="27C044D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6989" w:type="dxa"/>
            <w:gridSpan w:val="2"/>
            <w:noWrap w:val="0"/>
            <w:vAlign w:val="center"/>
          </w:tcPr>
          <w:p w14:paraId="756CA088">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《中华人民共和国生态环境法典》第四百一十四条第二款第</w:t>
            </w:r>
            <w:r>
              <w:rPr>
                <w:rFonts w:hint="eastAsia" w:ascii="宋体" w:hAnsi="宋体" w:eastAsia="宋体" w:cs="宋体"/>
                <w:color w:val="auto"/>
                <w:sz w:val="21"/>
                <w:szCs w:val="21"/>
                <w:highlight w:val="none"/>
                <w:lang w:val="en-US" w:eastAsia="zh-CN"/>
              </w:rPr>
              <w:t>四</w:t>
            </w:r>
            <w:r>
              <w:rPr>
                <w:rFonts w:hint="eastAsia" w:ascii="宋体" w:hAnsi="宋体" w:eastAsia="宋体" w:cs="宋体"/>
                <w:color w:val="auto"/>
                <w:sz w:val="21"/>
                <w:szCs w:val="21"/>
                <w:highlight w:val="none"/>
              </w:rPr>
              <w:t>项　土壤污染重点监管单位应当履行下列义务：</w:t>
            </w:r>
          </w:p>
          <w:p w14:paraId="02BACB8F">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（四）将贮存有毒有害物质的地下储罐信息报送生态环境主管部门。</w:t>
            </w:r>
          </w:p>
        </w:tc>
      </w:tr>
      <w:tr w14:paraId="66F99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8" w:hRule="atLeast"/>
          <w:jc w:val="center"/>
        </w:trPr>
        <w:tc>
          <w:tcPr>
            <w:tcW w:w="1770" w:type="dxa"/>
            <w:noWrap w:val="0"/>
            <w:vAlign w:val="center"/>
          </w:tcPr>
          <w:p w14:paraId="5CFE548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6989" w:type="dxa"/>
            <w:gridSpan w:val="2"/>
            <w:noWrap w:val="0"/>
            <w:vAlign w:val="center"/>
          </w:tcPr>
          <w:p w14:paraId="190C1948">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《中华人民共和国生态环境法典》第一千一百六十六条</w:t>
            </w:r>
            <w:r>
              <w:rPr>
                <w:rFonts w:hint="eastAsia" w:ascii="宋体" w:hAnsi="宋体" w:eastAsia="宋体" w:cs="宋体"/>
                <w:color w:val="auto"/>
                <w:sz w:val="21"/>
                <w:szCs w:val="21"/>
                <w:highlight w:val="none"/>
                <w:lang w:val="en-US" w:eastAsia="zh-CN"/>
              </w:rPr>
              <w:t>第二项</w:t>
            </w:r>
            <w:r>
              <w:rPr>
                <w:rFonts w:hint="eastAsia" w:ascii="宋体" w:hAnsi="宋体" w:eastAsia="宋体" w:cs="宋体"/>
                <w:color w:val="auto"/>
                <w:sz w:val="21"/>
                <w:szCs w:val="21"/>
                <w:highlight w:val="none"/>
              </w:rPr>
              <w:t xml:space="preserve">  违反本法规定，有下列情形之一的，由生态环境主管部门、农业农村主管部门、林业草原主管部门按照职责分工责令改正；拒不改正的，处二万元以上十万元以下的罚款：</w:t>
            </w:r>
          </w:p>
          <w:p w14:paraId="1CBF60D7">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（二）土壤污染重点监管单位未将贮存有毒有害物质的地下储罐信息报生态环境主管部门；</w:t>
            </w:r>
          </w:p>
        </w:tc>
      </w:tr>
      <w:tr w14:paraId="33707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770" w:type="dxa"/>
            <w:noWrap w:val="0"/>
            <w:vAlign w:val="center"/>
          </w:tcPr>
          <w:p w14:paraId="2FDC1E9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669" w:type="dxa"/>
            <w:noWrap w:val="0"/>
            <w:vAlign w:val="center"/>
          </w:tcPr>
          <w:p w14:paraId="3A40676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320" w:type="dxa"/>
            <w:noWrap w:val="0"/>
            <w:vAlign w:val="center"/>
          </w:tcPr>
          <w:p w14:paraId="224864E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11A29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770" w:type="dxa"/>
            <w:vMerge w:val="restart"/>
            <w:noWrap w:val="0"/>
            <w:vAlign w:val="center"/>
          </w:tcPr>
          <w:p w14:paraId="68E3D484">
            <w:pPr>
              <w:adjustRightIn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违法</w:t>
            </w:r>
            <w:r>
              <w:rPr>
                <w:rFonts w:hint="eastAsia" w:ascii="宋体" w:hAnsi="宋体" w:cs="宋体"/>
                <w:color w:val="auto"/>
                <w:sz w:val="21"/>
                <w:szCs w:val="21"/>
                <w:highlight w:val="none"/>
                <w:lang w:val="en-US" w:eastAsia="zh-CN"/>
              </w:rPr>
              <w:t>事实</w:t>
            </w:r>
          </w:p>
        </w:tc>
        <w:tc>
          <w:tcPr>
            <w:tcW w:w="5669" w:type="dxa"/>
            <w:noWrap w:val="0"/>
            <w:vAlign w:val="center"/>
          </w:tcPr>
          <w:p w14:paraId="504A1964">
            <w:pPr>
              <w:adjustRightInd w:val="0"/>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未报告</w:t>
            </w:r>
            <w:r>
              <w:rPr>
                <w:rFonts w:hint="eastAsia" w:ascii="宋体" w:hAnsi="宋体" w:eastAsia="宋体" w:cs="宋体"/>
                <w:color w:val="auto"/>
                <w:sz w:val="21"/>
                <w:szCs w:val="21"/>
                <w:highlight w:val="none"/>
              </w:rPr>
              <w:t>有毒有害物质的地下储罐信息</w:t>
            </w:r>
            <w:r>
              <w:rPr>
                <w:rFonts w:hint="eastAsia" w:ascii="宋体" w:hAnsi="宋体" w:eastAsia="宋体" w:cs="宋体"/>
                <w:color w:val="auto"/>
                <w:sz w:val="21"/>
                <w:szCs w:val="21"/>
                <w:highlight w:val="none"/>
                <w:lang w:val="en-US" w:eastAsia="zh-CN"/>
              </w:rPr>
              <w:t>（1类）</w:t>
            </w:r>
          </w:p>
        </w:tc>
        <w:tc>
          <w:tcPr>
            <w:tcW w:w="1320" w:type="dxa"/>
            <w:noWrap w:val="0"/>
            <w:vAlign w:val="center"/>
          </w:tcPr>
          <w:p w14:paraId="6D469EED">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r>
      <w:tr w14:paraId="63D14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770" w:type="dxa"/>
            <w:vMerge w:val="continue"/>
            <w:noWrap w:val="0"/>
            <w:vAlign w:val="center"/>
          </w:tcPr>
          <w:p w14:paraId="5B24546D">
            <w:pPr>
              <w:adjustRightInd w:val="0"/>
              <w:ind w:firstLine="420" w:firstLineChars="200"/>
              <w:jc w:val="center"/>
              <w:rPr>
                <w:rFonts w:hint="eastAsia" w:ascii="宋体" w:hAnsi="宋体" w:eastAsia="宋体" w:cs="宋体"/>
                <w:color w:val="auto"/>
                <w:sz w:val="21"/>
                <w:szCs w:val="21"/>
                <w:highlight w:val="none"/>
              </w:rPr>
            </w:pPr>
          </w:p>
        </w:tc>
        <w:tc>
          <w:tcPr>
            <w:tcW w:w="5669" w:type="dxa"/>
            <w:noWrap w:val="0"/>
            <w:vAlign w:val="center"/>
          </w:tcPr>
          <w:p w14:paraId="208766F8">
            <w:pPr>
              <w:adjustRightInd w:val="0"/>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未报告</w:t>
            </w:r>
            <w:r>
              <w:rPr>
                <w:rFonts w:hint="eastAsia" w:ascii="宋体" w:hAnsi="宋体" w:eastAsia="宋体" w:cs="宋体"/>
                <w:color w:val="auto"/>
                <w:sz w:val="21"/>
                <w:szCs w:val="21"/>
                <w:highlight w:val="none"/>
              </w:rPr>
              <w:t>有毒有害物质的地下储罐信息</w:t>
            </w:r>
            <w:r>
              <w:rPr>
                <w:rFonts w:hint="eastAsia" w:ascii="宋体" w:hAnsi="宋体" w:eastAsia="宋体" w:cs="宋体"/>
                <w:color w:val="auto"/>
                <w:sz w:val="21"/>
                <w:szCs w:val="21"/>
                <w:highlight w:val="none"/>
                <w:lang w:val="en-US" w:eastAsia="zh-CN"/>
              </w:rPr>
              <w:t>（2类以上5类以下）</w:t>
            </w:r>
          </w:p>
        </w:tc>
        <w:tc>
          <w:tcPr>
            <w:tcW w:w="1320" w:type="dxa"/>
            <w:noWrap w:val="0"/>
            <w:vAlign w:val="center"/>
          </w:tcPr>
          <w:p w14:paraId="512D7352">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r>
      <w:tr w14:paraId="254BC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770" w:type="dxa"/>
            <w:vMerge w:val="continue"/>
            <w:noWrap w:val="0"/>
            <w:vAlign w:val="center"/>
          </w:tcPr>
          <w:p w14:paraId="734A97C7">
            <w:pPr>
              <w:adjustRightInd w:val="0"/>
              <w:ind w:firstLine="420" w:firstLineChars="200"/>
              <w:jc w:val="center"/>
              <w:rPr>
                <w:rFonts w:hint="eastAsia" w:ascii="宋体" w:hAnsi="宋体" w:eastAsia="宋体" w:cs="宋体"/>
                <w:color w:val="auto"/>
                <w:sz w:val="21"/>
                <w:szCs w:val="21"/>
                <w:highlight w:val="none"/>
              </w:rPr>
            </w:pPr>
          </w:p>
        </w:tc>
        <w:tc>
          <w:tcPr>
            <w:tcW w:w="5669" w:type="dxa"/>
            <w:noWrap w:val="0"/>
            <w:vAlign w:val="center"/>
          </w:tcPr>
          <w:p w14:paraId="61834CCC">
            <w:pPr>
              <w:adjustRightInd w:val="0"/>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未报告</w:t>
            </w:r>
            <w:r>
              <w:rPr>
                <w:rFonts w:hint="eastAsia" w:ascii="宋体" w:hAnsi="宋体" w:eastAsia="宋体" w:cs="宋体"/>
                <w:color w:val="auto"/>
                <w:sz w:val="21"/>
                <w:szCs w:val="21"/>
                <w:highlight w:val="none"/>
              </w:rPr>
              <w:t>有毒有害物质的地下储罐信息</w:t>
            </w:r>
            <w:r>
              <w:rPr>
                <w:rFonts w:hint="eastAsia" w:ascii="宋体" w:hAnsi="宋体" w:eastAsia="宋体" w:cs="宋体"/>
                <w:color w:val="auto"/>
                <w:sz w:val="21"/>
                <w:szCs w:val="21"/>
                <w:highlight w:val="none"/>
                <w:lang w:val="en-US" w:eastAsia="zh-CN"/>
              </w:rPr>
              <w:t>（5类以上10类以下）</w:t>
            </w:r>
          </w:p>
        </w:tc>
        <w:tc>
          <w:tcPr>
            <w:tcW w:w="1320" w:type="dxa"/>
            <w:noWrap w:val="0"/>
            <w:vAlign w:val="center"/>
          </w:tcPr>
          <w:p w14:paraId="5011A65D">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r>
      <w:tr w14:paraId="01648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770" w:type="dxa"/>
            <w:vMerge w:val="continue"/>
            <w:noWrap w:val="0"/>
            <w:vAlign w:val="center"/>
          </w:tcPr>
          <w:p w14:paraId="2E00455E">
            <w:pPr>
              <w:adjustRightInd w:val="0"/>
              <w:ind w:firstLine="420" w:firstLineChars="200"/>
              <w:jc w:val="center"/>
              <w:rPr>
                <w:rFonts w:hint="eastAsia" w:ascii="宋体" w:hAnsi="宋体" w:eastAsia="宋体" w:cs="宋体"/>
                <w:color w:val="auto"/>
                <w:sz w:val="21"/>
                <w:szCs w:val="21"/>
                <w:highlight w:val="none"/>
              </w:rPr>
            </w:pPr>
          </w:p>
        </w:tc>
        <w:tc>
          <w:tcPr>
            <w:tcW w:w="5669" w:type="dxa"/>
            <w:noWrap w:val="0"/>
            <w:vAlign w:val="center"/>
          </w:tcPr>
          <w:p w14:paraId="380C4719">
            <w:pPr>
              <w:adjustRightInd w:val="0"/>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未报告</w:t>
            </w:r>
            <w:r>
              <w:rPr>
                <w:rFonts w:hint="eastAsia" w:ascii="宋体" w:hAnsi="宋体" w:eastAsia="宋体" w:cs="宋体"/>
                <w:color w:val="auto"/>
                <w:sz w:val="21"/>
                <w:szCs w:val="21"/>
                <w:highlight w:val="none"/>
              </w:rPr>
              <w:t>有毒有害物质的地下储罐信息</w:t>
            </w:r>
            <w:r>
              <w:rPr>
                <w:rFonts w:hint="eastAsia" w:ascii="宋体" w:hAnsi="宋体" w:eastAsia="宋体" w:cs="宋体"/>
                <w:color w:val="auto"/>
                <w:sz w:val="21"/>
                <w:szCs w:val="21"/>
                <w:highlight w:val="none"/>
                <w:lang w:val="en-US" w:eastAsia="zh-CN"/>
              </w:rPr>
              <w:t>（10类以上）</w:t>
            </w:r>
          </w:p>
        </w:tc>
        <w:tc>
          <w:tcPr>
            <w:tcW w:w="1320" w:type="dxa"/>
            <w:noWrap w:val="0"/>
            <w:vAlign w:val="center"/>
          </w:tcPr>
          <w:p w14:paraId="12142774">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r>
      <w:tr w14:paraId="7B1CF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770" w:type="dxa"/>
            <w:vMerge w:val="restart"/>
            <w:noWrap w:val="0"/>
            <w:vAlign w:val="center"/>
          </w:tcPr>
          <w:p w14:paraId="0282A15E">
            <w:pPr>
              <w:pStyle w:val="11"/>
              <w:keepNext w:val="0"/>
              <w:keepLines w:val="0"/>
              <w:pageBreakBefore w:val="0"/>
              <w:widowControl w:val="0"/>
              <w:shd w:val="clear" w:color="auto" w:fill="auto"/>
              <w:kinsoku/>
              <w:wordWrap/>
              <w:overflowPunct/>
              <w:topLinePunct w:val="0"/>
              <w:autoSpaceDE w:val="0"/>
              <w:autoSpaceDN w:val="0"/>
              <w:bidi w:val="0"/>
              <w:adjustRightInd w:val="0"/>
              <w:snapToGrid w:val="0"/>
              <w:ind w:left="0" w:leftChars="0" w:right="0" w:rightChars="0" w:firstLine="0" w:firstLine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储罐容量</w:t>
            </w:r>
          </w:p>
        </w:tc>
        <w:tc>
          <w:tcPr>
            <w:tcW w:w="5669" w:type="dxa"/>
            <w:noWrap w:val="0"/>
            <w:vAlign w:val="center"/>
          </w:tcPr>
          <w:p w14:paraId="5D2FFF61">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310" w:lineRule="exact"/>
              <w:ind w:left="0" w:leftChars="0" w:right="0" w:rightChars="0"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容量30立方米以下或者容量100吨以下的</w:t>
            </w:r>
          </w:p>
        </w:tc>
        <w:tc>
          <w:tcPr>
            <w:tcW w:w="1320" w:type="dxa"/>
            <w:noWrap w:val="0"/>
            <w:vAlign w:val="center"/>
          </w:tcPr>
          <w:p w14:paraId="629AF25C">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1FE2E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770" w:type="dxa"/>
            <w:vMerge w:val="continue"/>
            <w:noWrap w:val="0"/>
            <w:vAlign w:val="center"/>
          </w:tcPr>
          <w:p w14:paraId="748AB46C">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p>
        </w:tc>
        <w:tc>
          <w:tcPr>
            <w:tcW w:w="5669" w:type="dxa"/>
            <w:noWrap w:val="0"/>
            <w:vAlign w:val="center"/>
          </w:tcPr>
          <w:p w14:paraId="6101877D">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310" w:lineRule="exact"/>
              <w:ind w:left="0" w:leftChars="0" w:right="0" w:rightChars="0"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容量30立方米以上100立方米以下或者容量100吨以上500吨以下的</w:t>
            </w:r>
          </w:p>
        </w:tc>
        <w:tc>
          <w:tcPr>
            <w:tcW w:w="1320" w:type="dxa"/>
            <w:noWrap w:val="0"/>
            <w:vAlign w:val="center"/>
          </w:tcPr>
          <w:p w14:paraId="742DFE31">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p>
        </w:tc>
      </w:tr>
      <w:tr w14:paraId="7F8E9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770" w:type="dxa"/>
            <w:vMerge w:val="continue"/>
            <w:noWrap w:val="0"/>
            <w:vAlign w:val="center"/>
          </w:tcPr>
          <w:p w14:paraId="402F44A9">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p>
        </w:tc>
        <w:tc>
          <w:tcPr>
            <w:tcW w:w="5669" w:type="dxa"/>
            <w:noWrap w:val="0"/>
            <w:vAlign w:val="center"/>
          </w:tcPr>
          <w:p w14:paraId="1B91268E">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310" w:lineRule="exact"/>
              <w:ind w:left="0" w:leftChars="0" w:right="0" w:rightChars="0"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容量100立方米以上500立方米以下或者容量500吨以上1000吨以下的</w:t>
            </w:r>
          </w:p>
        </w:tc>
        <w:tc>
          <w:tcPr>
            <w:tcW w:w="1320" w:type="dxa"/>
            <w:noWrap w:val="0"/>
            <w:vAlign w:val="center"/>
          </w:tcPr>
          <w:p w14:paraId="3C42557B">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p>
        </w:tc>
      </w:tr>
      <w:tr w14:paraId="6A24D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770" w:type="dxa"/>
            <w:vMerge w:val="continue"/>
            <w:noWrap w:val="0"/>
            <w:vAlign w:val="center"/>
          </w:tcPr>
          <w:p w14:paraId="3242763F">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p>
        </w:tc>
        <w:tc>
          <w:tcPr>
            <w:tcW w:w="5669" w:type="dxa"/>
            <w:noWrap w:val="0"/>
            <w:vAlign w:val="center"/>
          </w:tcPr>
          <w:p w14:paraId="57314756">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310" w:lineRule="exact"/>
              <w:ind w:left="0" w:leftChars="0" w:right="0" w:rightChars="0"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容量500立方米以上或者容量1000吨以上的</w:t>
            </w:r>
          </w:p>
        </w:tc>
        <w:tc>
          <w:tcPr>
            <w:tcW w:w="1320" w:type="dxa"/>
            <w:noWrap w:val="0"/>
            <w:vAlign w:val="center"/>
          </w:tcPr>
          <w:p w14:paraId="0D4192C0">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lang w:val="en-US" w:eastAsia="zh-CN"/>
              </w:rPr>
              <w:t>5</w:t>
            </w:r>
          </w:p>
        </w:tc>
      </w:tr>
    </w:tbl>
    <w:p w14:paraId="670F5553">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513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8"/>
        <w:gridCol w:w="5954"/>
        <w:gridCol w:w="1385"/>
      </w:tblGrid>
      <w:tr w14:paraId="71AA9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8759" w:type="dxa"/>
            <w:gridSpan w:val="3"/>
            <w:noWrap w:val="0"/>
            <w:vAlign w:val="center"/>
          </w:tcPr>
          <w:p w14:paraId="5571305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（七）土壤污染防治类</w:t>
            </w:r>
          </w:p>
        </w:tc>
      </w:tr>
      <w:tr w14:paraId="0C5A0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770" w:type="dxa"/>
            <w:noWrap w:val="0"/>
            <w:vAlign w:val="center"/>
          </w:tcPr>
          <w:p w14:paraId="6FC5582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989" w:type="dxa"/>
            <w:gridSpan w:val="2"/>
            <w:noWrap w:val="0"/>
            <w:vAlign w:val="center"/>
          </w:tcPr>
          <w:p w14:paraId="36BFE49F">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w:t>
            </w:r>
          </w:p>
        </w:tc>
      </w:tr>
      <w:tr w14:paraId="470D7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1770" w:type="dxa"/>
            <w:noWrap w:val="0"/>
            <w:vAlign w:val="center"/>
          </w:tcPr>
          <w:p w14:paraId="38FC837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6989" w:type="dxa"/>
            <w:gridSpan w:val="2"/>
            <w:noWrap w:val="0"/>
            <w:vAlign w:val="center"/>
          </w:tcPr>
          <w:p w14:paraId="54D22CC9">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土地使用权人未依法报送土壤污染调查报告，拒不改正的</w:t>
            </w:r>
          </w:p>
        </w:tc>
      </w:tr>
      <w:tr w14:paraId="06407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5" w:hRule="atLeast"/>
          <w:jc w:val="center"/>
        </w:trPr>
        <w:tc>
          <w:tcPr>
            <w:tcW w:w="1770" w:type="dxa"/>
            <w:noWrap w:val="0"/>
            <w:vAlign w:val="center"/>
          </w:tcPr>
          <w:p w14:paraId="458536D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6989" w:type="dxa"/>
            <w:gridSpan w:val="2"/>
            <w:noWrap w:val="0"/>
            <w:vAlign w:val="center"/>
          </w:tcPr>
          <w:p w14:paraId="77DBF788">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《中华人民共和国生态环境法典》第四百五十四条  对土壤污染状况普查、详查和监测、现场检查表明有土壤污染风险的建设用地地块，地方人民政府生态环境主管部门应当要求土地使用权人按照规定进行土壤污染状况调查。</w:t>
            </w:r>
          </w:p>
          <w:p w14:paraId="28998312">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用途变更为居住、公共管理与公共服务用地的，变更前应当按照规定进行土壤污染状况调查。土壤污染状况调查应当在省、自治区、直辖市确定的时限前完成。</w:t>
            </w:r>
          </w:p>
          <w:p w14:paraId="465D81AA">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前两款规定的土壤污染状况调查报告应当报送地方人民政府生态环境主管部门，由地方人民政府生态环境主管部门会同自然资源主管部门组织评审。</w:t>
            </w:r>
          </w:p>
        </w:tc>
      </w:tr>
      <w:tr w14:paraId="432F6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8" w:hRule="atLeast"/>
          <w:jc w:val="center"/>
        </w:trPr>
        <w:tc>
          <w:tcPr>
            <w:tcW w:w="1770" w:type="dxa"/>
            <w:noWrap w:val="0"/>
            <w:vAlign w:val="center"/>
          </w:tcPr>
          <w:p w14:paraId="2631F02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6989" w:type="dxa"/>
            <w:gridSpan w:val="2"/>
            <w:noWrap w:val="0"/>
            <w:vAlign w:val="center"/>
          </w:tcPr>
          <w:p w14:paraId="6A9D96E4">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《中华人民共和国生态环境法典》第一千一百六十六条</w:t>
            </w:r>
            <w:r>
              <w:rPr>
                <w:rFonts w:hint="eastAsia" w:ascii="宋体" w:hAnsi="宋体" w:eastAsia="宋体" w:cs="宋体"/>
                <w:color w:val="auto"/>
                <w:sz w:val="21"/>
                <w:szCs w:val="21"/>
                <w:highlight w:val="none"/>
                <w:lang w:val="en-US" w:eastAsia="zh-CN"/>
              </w:rPr>
              <w:t>第三项</w:t>
            </w:r>
            <w:r>
              <w:rPr>
                <w:rFonts w:hint="eastAsia" w:ascii="宋体" w:hAnsi="宋体" w:eastAsia="宋体" w:cs="宋体"/>
                <w:color w:val="auto"/>
                <w:sz w:val="21"/>
                <w:szCs w:val="21"/>
                <w:highlight w:val="none"/>
              </w:rPr>
              <w:t xml:space="preserve">  违反本法规定，有下列情形之一的，由生态环境主管部门、农业农村主管部门、林业草原主管部门按照职责分工责令改正；拒不改正的，处二万元以上十万元以下的罚款：</w:t>
            </w:r>
          </w:p>
          <w:p w14:paraId="4DD4C272">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（三）土地使用权人未依法报送土壤污染调查报告；</w:t>
            </w:r>
          </w:p>
        </w:tc>
      </w:tr>
      <w:tr w14:paraId="6D775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770" w:type="dxa"/>
            <w:noWrap w:val="0"/>
            <w:vAlign w:val="center"/>
          </w:tcPr>
          <w:p w14:paraId="2569014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670" w:type="dxa"/>
            <w:noWrap w:val="0"/>
            <w:vAlign w:val="center"/>
          </w:tcPr>
          <w:p w14:paraId="54B50A6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319" w:type="dxa"/>
            <w:noWrap w:val="0"/>
            <w:vAlign w:val="center"/>
          </w:tcPr>
          <w:p w14:paraId="31D5AE7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76A9A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770" w:type="dxa"/>
            <w:vMerge w:val="restart"/>
            <w:noWrap w:val="0"/>
            <w:vAlign w:val="center"/>
          </w:tcPr>
          <w:p w14:paraId="6D969C35">
            <w:pPr>
              <w:pStyle w:val="11"/>
              <w:keepNext w:val="0"/>
              <w:keepLines w:val="0"/>
              <w:pageBreakBefore w:val="0"/>
              <w:widowControl w:val="0"/>
              <w:shd w:val="clear" w:color="auto" w:fill="auto"/>
              <w:kinsoku/>
              <w:wordWrap/>
              <w:overflowPunct/>
              <w:topLinePunct w:val="0"/>
              <w:autoSpaceDE w:val="0"/>
              <w:autoSpaceDN w:val="0"/>
              <w:bidi w:val="0"/>
              <w:adjustRightInd w:val="0"/>
              <w:snapToGrid w:val="0"/>
              <w:ind w:left="0" w:leftChars="0" w:right="0" w:rightChars="0" w:firstLine="0" w:firstLine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涉及面积</w:t>
            </w:r>
          </w:p>
        </w:tc>
        <w:tc>
          <w:tcPr>
            <w:tcW w:w="5670" w:type="dxa"/>
            <w:noWrap w:val="0"/>
            <w:vAlign w:val="center"/>
          </w:tcPr>
          <w:p w14:paraId="026C5ABB">
            <w:pPr>
              <w:pStyle w:val="11"/>
              <w:keepNext w:val="0"/>
              <w:keepLines w:val="0"/>
              <w:pageBreakBefore w:val="0"/>
              <w:widowControl w:val="0"/>
              <w:shd w:val="clear" w:color="auto" w:fill="auto"/>
              <w:kinsoku/>
              <w:wordWrap/>
              <w:overflowPunct/>
              <w:topLinePunct w:val="0"/>
              <w:autoSpaceDE w:val="0"/>
              <w:autoSpaceDN w:val="0"/>
              <w:bidi w:val="0"/>
              <w:adjustRightInd w:val="0"/>
              <w:snapToGrid w:val="0"/>
              <w:ind w:left="0" w:leftChars="0" w:right="0" w:rightChars="0" w:firstLine="420" w:firstLineChars="200"/>
              <w:textAlignment w:val="baseline"/>
              <w:rPr>
                <w:rFonts w:hint="eastAsia" w:ascii="宋体" w:hAnsi="宋体" w:eastAsia="宋体" w:cs="宋体"/>
                <w:b/>
                <w:bCs/>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不足</w:t>
            </w:r>
            <w:r>
              <w:rPr>
                <w:rFonts w:hint="eastAsia" w:ascii="宋体" w:hAnsi="宋体" w:eastAsia="宋体" w:cs="宋体"/>
                <w:color w:val="auto"/>
                <w:sz w:val="21"/>
                <w:szCs w:val="21"/>
                <w:highlight w:val="none"/>
              </w:rPr>
              <w:t>500平方米</w:t>
            </w:r>
          </w:p>
        </w:tc>
        <w:tc>
          <w:tcPr>
            <w:tcW w:w="1319" w:type="dxa"/>
            <w:noWrap w:val="0"/>
            <w:vAlign w:val="center"/>
          </w:tcPr>
          <w:p w14:paraId="2ACAD2AA">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1</w:t>
            </w:r>
          </w:p>
        </w:tc>
      </w:tr>
      <w:tr w14:paraId="09F51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770" w:type="dxa"/>
            <w:vMerge w:val="continue"/>
            <w:noWrap w:val="0"/>
            <w:vAlign w:val="center"/>
          </w:tcPr>
          <w:p w14:paraId="1C8EDC53">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p>
        </w:tc>
        <w:tc>
          <w:tcPr>
            <w:tcW w:w="5670" w:type="dxa"/>
            <w:noWrap w:val="0"/>
            <w:vAlign w:val="center"/>
          </w:tcPr>
          <w:p w14:paraId="12A8F7AE">
            <w:pPr>
              <w:pStyle w:val="11"/>
              <w:keepNext w:val="0"/>
              <w:keepLines w:val="0"/>
              <w:pageBreakBefore w:val="0"/>
              <w:widowControl w:val="0"/>
              <w:shd w:val="clear" w:color="auto" w:fill="auto"/>
              <w:kinsoku/>
              <w:wordWrap/>
              <w:overflowPunct/>
              <w:topLinePunct w:val="0"/>
              <w:autoSpaceDE w:val="0"/>
              <w:autoSpaceDN w:val="0"/>
              <w:bidi w:val="0"/>
              <w:adjustRightInd w:val="0"/>
              <w:snapToGrid w:val="0"/>
              <w:ind w:left="0" w:leftChars="0" w:right="0" w:rightChars="0" w:firstLine="420" w:firstLineChars="200"/>
              <w:textAlignment w:val="baseline"/>
              <w:rPr>
                <w:rFonts w:hint="eastAsia" w:ascii="宋体" w:hAnsi="宋体" w:eastAsia="宋体" w:cs="宋体"/>
                <w:b/>
                <w:bCs/>
                <w:kern w:val="2"/>
                <w:sz w:val="21"/>
                <w:szCs w:val="21"/>
                <w:highlight w:val="none"/>
                <w:lang w:val="en-US" w:eastAsia="zh-CN" w:bidi="ar-SA"/>
              </w:rPr>
            </w:pPr>
            <w:r>
              <w:rPr>
                <w:rFonts w:hint="eastAsia" w:ascii="宋体" w:hAnsi="宋体" w:eastAsia="宋体" w:cs="宋体"/>
                <w:color w:val="auto"/>
                <w:sz w:val="21"/>
                <w:szCs w:val="21"/>
                <w:highlight w:val="none"/>
              </w:rPr>
              <w:t>500平方米以上</w:t>
            </w:r>
            <w:r>
              <w:rPr>
                <w:rFonts w:hint="eastAsia" w:ascii="宋体" w:hAnsi="宋体" w:eastAsia="宋体" w:cs="宋体"/>
                <w:color w:val="auto"/>
                <w:sz w:val="21"/>
                <w:szCs w:val="21"/>
                <w:highlight w:val="none"/>
                <w:lang w:val="en-US" w:eastAsia="zh-CN"/>
              </w:rPr>
              <w:t>不足</w:t>
            </w:r>
            <w:r>
              <w:rPr>
                <w:rFonts w:hint="eastAsia" w:ascii="宋体" w:hAnsi="宋体" w:eastAsia="宋体" w:cs="宋体"/>
                <w:color w:val="auto"/>
                <w:sz w:val="21"/>
                <w:szCs w:val="21"/>
                <w:highlight w:val="none"/>
              </w:rPr>
              <w:t>5000平方米</w:t>
            </w:r>
          </w:p>
        </w:tc>
        <w:tc>
          <w:tcPr>
            <w:tcW w:w="1319" w:type="dxa"/>
            <w:noWrap w:val="0"/>
            <w:vAlign w:val="center"/>
          </w:tcPr>
          <w:p w14:paraId="532C816B">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2</w:t>
            </w:r>
          </w:p>
        </w:tc>
      </w:tr>
      <w:tr w14:paraId="6B369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770" w:type="dxa"/>
            <w:vMerge w:val="continue"/>
            <w:noWrap w:val="0"/>
            <w:vAlign w:val="center"/>
          </w:tcPr>
          <w:p w14:paraId="30DCCA78">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p>
        </w:tc>
        <w:tc>
          <w:tcPr>
            <w:tcW w:w="5670" w:type="dxa"/>
            <w:noWrap w:val="0"/>
            <w:vAlign w:val="center"/>
          </w:tcPr>
          <w:p w14:paraId="03D0F98B">
            <w:pPr>
              <w:pStyle w:val="11"/>
              <w:keepNext w:val="0"/>
              <w:keepLines w:val="0"/>
              <w:pageBreakBefore w:val="0"/>
              <w:widowControl w:val="0"/>
              <w:shd w:val="clear" w:color="auto" w:fill="auto"/>
              <w:kinsoku/>
              <w:wordWrap/>
              <w:overflowPunct/>
              <w:topLinePunct w:val="0"/>
              <w:autoSpaceDE w:val="0"/>
              <w:autoSpaceDN w:val="0"/>
              <w:bidi w:val="0"/>
              <w:adjustRightInd w:val="0"/>
              <w:snapToGrid w:val="0"/>
              <w:ind w:left="0" w:leftChars="0" w:right="0" w:rightChars="0" w:firstLine="420" w:firstLineChars="200"/>
              <w:textAlignment w:val="baseline"/>
              <w:rPr>
                <w:rFonts w:hint="eastAsia" w:ascii="宋体" w:hAnsi="宋体" w:eastAsia="宋体" w:cs="宋体"/>
                <w:b/>
                <w:bCs/>
                <w:kern w:val="2"/>
                <w:sz w:val="21"/>
                <w:szCs w:val="21"/>
                <w:highlight w:val="none"/>
                <w:lang w:val="en-US" w:eastAsia="zh-CN" w:bidi="ar-SA"/>
              </w:rPr>
            </w:pPr>
            <w:r>
              <w:rPr>
                <w:rFonts w:hint="eastAsia" w:ascii="宋体" w:hAnsi="宋体" w:eastAsia="宋体" w:cs="宋体"/>
                <w:color w:val="auto"/>
                <w:sz w:val="21"/>
                <w:szCs w:val="21"/>
                <w:highlight w:val="none"/>
              </w:rPr>
              <w:t>5000平方米以上</w:t>
            </w:r>
            <w:r>
              <w:rPr>
                <w:rFonts w:hint="eastAsia" w:ascii="宋体" w:hAnsi="宋体" w:eastAsia="宋体" w:cs="宋体"/>
                <w:color w:val="auto"/>
                <w:sz w:val="21"/>
                <w:szCs w:val="21"/>
                <w:highlight w:val="none"/>
                <w:lang w:val="en-US" w:eastAsia="zh-CN"/>
              </w:rPr>
              <w:t>不足</w:t>
            </w:r>
            <w:r>
              <w:rPr>
                <w:rFonts w:hint="eastAsia" w:ascii="宋体" w:hAnsi="宋体" w:eastAsia="宋体" w:cs="宋体"/>
                <w:color w:val="auto"/>
                <w:sz w:val="21"/>
                <w:szCs w:val="21"/>
                <w:highlight w:val="none"/>
              </w:rPr>
              <w:t>10000平方米</w:t>
            </w:r>
          </w:p>
        </w:tc>
        <w:tc>
          <w:tcPr>
            <w:tcW w:w="1319" w:type="dxa"/>
            <w:noWrap w:val="0"/>
            <w:vAlign w:val="center"/>
          </w:tcPr>
          <w:p w14:paraId="0F823EF2">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3</w:t>
            </w:r>
          </w:p>
        </w:tc>
      </w:tr>
      <w:tr w14:paraId="1DB7D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770" w:type="dxa"/>
            <w:vMerge w:val="continue"/>
            <w:noWrap w:val="0"/>
            <w:vAlign w:val="center"/>
          </w:tcPr>
          <w:p w14:paraId="37477257">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p>
        </w:tc>
        <w:tc>
          <w:tcPr>
            <w:tcW w:w="5670" w:type="dxa"/>
            <w:noWrap w:val="0"/>
            <w:vAlign w:val="center"/>
          </w:tcPr>
          <w:p w14:paraId="423607E7">
            <w:pPr>
              <w:pStyle w:val="11"/>
              <w:keepNext w:val="0"/>
              <w:keepLines w:val="0"/>
              <w:pageBreakBefore w:val="0"/>
              <w:widowControl w:val="0"/>
              <w:shd w:val="clear" w:color="auto" w:fill="auto"/>
              <w:kinsoku/>
              <w:wordWrap/>
              <w:overflowPunct/>
              <w:topLinePunct w:val="0"/>
              <w:autoSpaceDE w:val="0"/>
              <w:autoSpaceDN w:val="0"/>
              <w:bidi w:val="0"/>
              <w:adjustRightInd w:val="0"/>
              <w:snapToGrid w:val="0"/>
              <w:ind w:left="0" w:leftChars="0" w:right="0" w:rightChars="0" w:firstLine="420" w:firstLineChars="200"/>
              <w:textAlignment w:val="baseline"/>
              <w:rPr>
                <w:rFonts w:hint="eastAsia" w:ascii="宋体" w:hAnsi="宋体" w:eastAsia="宋体" w:cs="宋体"/>
                <w:b/>
                <w:bCs/>
                <w:kern w:val="2"/>
                <w:sz w:val="21"/>
                <w:szCs w:val="21"/>
                <w:highlight w:val="none"/>
                <w:lang w:val="en-US" w:eastAsia="zh-CN" w:bidi="ar-SA"/>
              </w:rPr>
            </w:pPr>
            <w:r>
              <w:rPr>
                <w:rFonts w:hint="eastAsia" w:ascii="宋体" w:hAnsi="宋体" w:eastAsia="宋体" w:cs="宋体"/>
                <w:color w:val="auto"/>
                <w:sz w:val="21"/>
                <w:szCs w:val="21"/>
                <w:highlight w:val="none"/>
              </w:rPr>
              <w:t>10000平方米以上</w:t>
            </w:r>
            <w:r>
              <w:rPr>
                <w:rFonts w:hint="eastAsia" w:ascii="宋体" w:hAnsi="宋体" w:eastAsia="宋体" w:cs="宋体"/>
                <w:color w:val="auto"/>
                <w:sz w:val="21"/>
                <w:szCs w:val="21"/>
                <w:highlight w:val="none"/>
                <w:lang w:val="en-US" w:eastAsia="zh-CN"/>
              </w:rPr>
              <w:t>不足</w:t>
            </w:r>
            <w:r>
              <w:rPr>
                <w:rFonts w:hint="eastAsia" w:ascii="宋体" w:hAnsi="宋体" w:eastAsia="宋体" w:cs="宋体"/>
                <w:color w:val="auto"/>
                <w:sz w:val="21"/>
                <w:szCs w:val="21"/>
                <w:highlight w:val="none"/>
              </w:rPr>
              <w:t>20000平方米</w:t>
            </w:r>
          </w:p>
        </w:tc>
        <w:tc>
          <w:tcPr>
            <w:tcW w:w="1319" w:type="dxa"/>
            <w:noWrap w:val="0"/>
            <w:vAlign w:val="center"/>
          </w:tcPr>
          <w:p w14:paraId="543519C8">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pacing w:val="1"/>
                <w:sz w:val="21"/>
                <w:szCs w:val="21"/>
                <w:highlight w:val="none"/>
              </w:rPr>
              <w:t>4</w:t>
            </w:r>
          </w:p>
        </w:tc>
      </w:tr>
      <w:tr w14:paraId="5CEF5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770" w:type="dxa"/>
            <w:vMerge w:val="continue"/>
            <w:noWrap w:val="0"/>
            <w:vAlign w:val="center"/>
          </w:tcPr>
          <w:p w14:paraId="26FC5E63">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p>
        </w:tc>
        <w:tc>
          <w:tcPr>
            <w:tcW w:w="5670" w:type="dxa"/>
            <w:noWrap w:val="0"/>
            <w:vAlign w:val="center"/>
          </w:tcPr>
          <w:p w14:paraId="2FFF715E">
            <w:pPr>
              <w:pStyle w:val="11"/>
              <w:keepNext w:val="0"/>
              <w:keepLines w:val="0"/>
              <w:pageBreakBefore w:val="0"/>
              <w:widowControl w:val="0"/>
              <w:shd w:val="clear" w:color="auto" w:fill="auto"/>
              <w:kinsoku/>
              <w:wordWrap/>
              <w:overflowPunct/>
              <w:topLinePunct w:val="0"/>
              <w:autoSpaceDE w:val="0"/>
              <w:autoSpaceDN w:val="0"/>
              <w:bidi w:val="0"/>
              <w:adjustRightInd w:val="0"/>
              <w:snapToGrid w:val="0"/>
              <w:ind w:left="0" w:leftChars="0" w:right="0" w:rightChars="0" w:firstLine="420" w:firstLineChars="200"/>
              <w:textAlignment w:val="baseline"/>
              <w:rPr>
                <w:rFonts w:hint="eastAsia" w:ascii="宋体" w:hAnsi="宋体" w:eastAsia="宋体" w:cs="宋体"/>
                <w:b/>
                <w:bCs/>
                <w:kern w:val="2"/>
                <w:sz w:val="21"/>
                <w:szCs w:val="21"/>
                <w:highlight w:val="none"/>
                <w:lang w:val="en-US" w:eastAsia="zh-CN" w:bidi="ar-SA"/>
              </w:rPr>
            </w:pPr>
            <w:r>
              <w:rPr>
                <w:rFonts w:hint="eastAsia" w:ascii="宋体" w:hAnsi="宋体" w:eastAsia="宋体" w:cs="宋体"/>
                <w:color w:val="auto"/>
                <w:sz w:val="21"/>
                <w:szCs w:val="21"/>
                <w:highlight w:val="none"/>
              </w:rPr>
              <w:t>20000平方米以上</w:t>
            </w:r>
          </w:p>
        </w:tc>
        <w:tc>
          <w:tcPr>
            <w:tcW w:w="1319" w:type="dxa"/>
            <w:noWrap w:val="0"/>
            <w:vAlign w:val="center"/>
          </w:tcPr>
          <w:p w14:paraId="1FBD1AB2">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5</w:t>
            </w:r>
          </w:p>
        </w:tc>
      </w:tr>
    </w:tbl>
    <w:p w14:paraId="163737C2">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513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5"/>
        <w:gridCol w:w="5960"/>
        <w:gridCol w:w="1382"/>
      </w:tblGrid>
      <w:tr w14:paraId="50779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8759" w:type="dxa"/>
            <w:gridSpan w:val="3"/>
            <w:noWrap w:val="0"/>
            <w:vAlign w:val="center"/>
          </w:tcPr>
          <w:p w14:paraId="28D5A5A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（七）土壤污染防治类</w:t>
            </w:r>
          </w:p>
        </w:tc>
      </w:tr>
      <w:tr w14:paraId="25E7B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767" w:type="dxa"/>
            <w:noWrap w:val="0"/>
            <w:vAlign w:val="center"/>
          </w:tcPr>
          <w:p w14:paraId="554DA78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992" w:type="dxa"/>
            <w:gridSpan w:val="2"/>
            <w:noWrap w:val="0"/>
            <w:vAlign w:val="center"/>
          </w:tcPr>
          <w:p w14:paraId="6BFE6A4F">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23</w:t>
            </w:r>
          </w:p>
        </w:tc>
      </w:tr>
      <w:tr w14:paraId="350F3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1767" w:type="dxa"/>
            <w:noWrap w:val="0"/>
            <w:vAlign w:val="center"/>
          </w:tcPr>
          <w:p w14:paraId="6F9429E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6992" w:type="dxa"/>
            <w:gridSpan w:val="2"/>
            <w:noWrap w:val="0"/>
            <w:vAlign w:val="center"/>
          </w:tcPr>
          <w:p w14:paraId="6D892476">
            <w:pPr>
              <w:adjustRightInd w:val="0"/>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土壤污染责任人、土地使用权人未依法报送土壤污染风险评估报告，拒不改正的</w:t>
            </w:r>
          </w:p>
        </w:tc>
      </w:tr>
      <w:tr w14:paraId="2FF2C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5" w:hRule="atLeast"/>
          <w:jc w:val="center"/>
        </w:trPr>
        <w:tc>
          <w:tcPr>
            <w:tcW w:w="1767" w:type="dxa"/>
            <w:noWrap w:val="0"/>
            <w:vAlign w:val="center"/>
          </w:tcPr>
          <w:p w14:paraId="726387B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6992" w:type="dxa"/>
            <w:gridSpan w:val="2"/>
            <w:noWrap w:val="0"/>
            <w:vAlign w:val="center"/>
          </w:tcPr>
          <w:p w14:paraId="0FC60FE0">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《中华人民共和国生态环境法典》第四百五十五条  对土壤污染状况调查报告评审表明污染物含量超过土壤污染风险管控标准的建设用地地块，土壤污染责任人、土地使用权人应当按照国务院生态环境主管部门的规定进行土壤污染风险评估，并将土壤污染风险评估报告报送省级人民政府生态环境主管部门。</w:t>
            </w:r>
          </w:p>
        </w:tc>
      </w:tr>
      <w:tr w14:paraId="3EFD6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4" w:hRule="atLeast"/>
          <w:jc w:val="center"/>
        </w:trPr>
        <w:tc>
          <w:tcPr>
            <w:tcW w:w="1767" w:type="dxa"/>
            <w:noWrap w:val="0"/>
            <w:vAlign w:val="center"/>
          </w:tcPr>
          <w:p w14:paraId="4AAB375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6992" w:type="dxa"/>
            <w:gridSpan w:val="2"/>
            <w:noWrap w:val="0"/>
            <w:vAlign w:val="center"/>
          </w:tcPr>
          <w:p w14:paraId="32A60C36">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《中华人民共和国生态环境法典》第一千一百六十六条</w:t>
            </w:r>
            <w:r>
              <w:rPr>
                <w:rFonts w:hint="eastAsia" w:ascii="宋体" w:hAnsi="宋体" w:eastAsia="宋体" w:cs="宋体"/>
                <w:color w:val="auto"/>
                <w:sz w:val="21"/>
                <w:szCs w:val="21"/>
                <w:highlight w:val="none"/>
                <w:lang w:val="en-US" w:eastAsia="zh-CN"/>
              </w:rPr>
              <w:t>第四项</w:t>
            </w:r>
            <w:r>
              <w:rPr>
                <w:rFonts w:hint="eastAsia" w:ascii="宋体" w:hAnsi="宋体" w:eastAsia="宋体" w:cs="宋体"/>
                <w:color w:val="auto"/>
                <w:sz w:val="21"/>
                <w:szCs w:val="21"/>
                <w:highlight w:val="none"/>
              </w:rPr>
              <w:t xml:space="preserve">  违反本法规定，有下列情形之一的，由生态环境主管部门、农业农村主管部门、林业草原主管部门按照职责分工责令改正；拒不改正的，处二万元以上十万元以下的罚款：</w:t>
            </w:r>
          </w:p>
          <w:p w14:paraId="12B96782">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（四）土壤污染责任人、土地使用权人未依法报送土壤污染风险评估报告；</w:t>
            </w:r>
          </w:p>
        </w:tc>
      </w:tr>
      <w:tr w14:paraId="4B1AF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767" w:type="dxa"/>
            <w:noWrap w:val="0"/>
            <w:vAlign w:val="center"/>
          </w:tcPr>
          <w:p w14:paraId="21147DD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676" w:type="dxa"/>
            <w:noWrap w:val="0"/>
            <w:vAlign w:val="center"/>
          </w:tcPr>
          <w:p w14:paraId="58CEEB1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316" w:type="dxa"/>
            <w:noWrap w:val="0"/>
            <w:vAlign w:val="center"/>
          </w:tcPr>
          <w:p w14:paraId="0271999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745E9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767" w:type="dxa"/>
            <w:vMerge w:val="restart"/>
            <w:noWrap w:val="0"/>
            <w:vAlign w:val="center"/>
          </w:tcPr>
          <w:p w14:paraId="729FD5C5">
            <w:pPr>
              <w:pStyle w:val="11"/>
              <w:keepNext w:val="0"/>
              <w:keepLines w:val="0"/>
              <w:pageBreakBefore w:val="0"/>
              <w:widowControl w:val="0"/>
              <w:shd w:val="clear" w:color="auto" w:fill="auto"/>
              <w:kinsoku/>
              <w:wordWrap/>
              <w:overflowPunct/>
              <w:topLinePunct w:val="0"/>
              <w:autoSpaceDE w:val="0"/>
              <w:autoSpaceDN w:val="0"/>
              <w:bidi w:val="0"/>
              <w:adjustRightInd w:val="0"/>
              <w:snapToGrid w:val="0"/>
              <w:ind w:left="0" w:leftChars="0" w:right="0" w:rightChars="0" w:firstLine="0" w:firstLine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涉及面积</w:t>
            </w:r>
          </w:p>
        </w:tc>
        <w:tc>
          <w:tcPr>
            <w:tcW w:w="5676" w:type="dxa"/>
            <w:noWrap w:val="0"/>
            <w:vAlign w:val="center"/>
          </w:tcPr>
          <w:p w14:paraId="4BA330A5">
            <w:pPr>
              <w:pStyle w:val="11"/>
              <w:keepNext w:val="0"/>
              <w:keepLines w:val="0"/>
              <w:pageBreakBefore w:val="0"/>
              <w:widowControl w:val="0"/>
              <w:shd w:val="clear" w:color="auto" w:fill="auto"/>
              <w:kinsoku/>
              <w:wordWrap/>
              <w:overflowPunct/>
              <w:topLinePunct w:val="0"/>
              <w:autoSpaceDE w:val="0"/>
              <w:autoSpaceDN w:val="0"/>
              <w:bidi w:val="0"/>
              <w:adjustRightInd w:val="0"/>
              <w:snapToGrid w:val="0"/>
              <w:ind w:left="0" w:leftChars="0" w:right="0" w:rightChars="0" w:firstLine="420" w:firstLineChars="200"/>
              <w:textAlignment w:val="baseline"/>
              <w:rPr>
                <w:rFonts w:hint="eastAsia" w:ascii="宋体" w:hAnsi="宋体" w:eastAsia="宋体" w:cs="宋体"/>
                <w:b/>
                <w:bCs/>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不足</w:t>
            </w:r>
            <w:r>
              <w:rPr>
                <w:rFonts w:hint="eastAsia" w:ascii="宋体" w:hAnsi="宋体" w:eastAsia="宋体" w:cs="宋体"/>
                <w:color w:val="auto"/>
                <w:sz w:val="21"/>
                <w:szCs w:val="21"/>
                <w:highlight w:val="none"/>
              </w:rPr>
              <w:t>500平方米</w:t>
            </w:r>
          </w:p>
        </w:tc>
        <w:tc>
          <w:tcPr>
            <w:tcW w:w="1316" w:type="dxa"/>
            <w:noWrap w:val="0"/>
            <w:vAlign w:val="center"/>
          </w:tcPr>
          <w:p w14:paraId="291D9FAA">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49374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767" w:type="dxa"/>
            <w:vMerge w:val="continue"/>
            <w:noWrap w:val="0"/>
            <w:vAlign w:val="center"/>
          </w:tcPr>
          <w:p w14:paraId="2FEE8800">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p>
        </w:tc>
        <w:tc>
          <w:tcPr>
            <w:tcW w:w="5676" w:type="dxa"/>
            <w:noWrap w:val="0"/>
            <w:vAlign w:val="center"/>
          </w:tcPr>
          <w:p w14:paraId="4AF46EFF">
            <w:pPr>
              <w:pStyle w:val="11"/>
              <w:keepNext w:val="0"/>
              <w:keepLines w:val="0"/>
              <w:pageBreakBefore w:val="0"/>
              <w:widowControl w:val="0"/>
              <w:shd w:val="clear" w:color="auto" w:fill="auto"/>
              <w:kinsoku/>
              <w:wordWrap/>
              <w:overflowPunct/>
              <w:topLinePunct w:val="0"/>
              <w:autoSpaceDE w:val="0"/>
              <w:autoSpaceDN w:val="0"/>
              <w:bidi w:val="0"/>
              <w:adjustRightInd w:val="0"/>
              <w:snapToGrid w:val="0"/>
              <w:ind w:left="0" w:leftChars="0" w:right="0" w:rightChars="0" w:firstLine="420" w:firstLineChars="200"/>
              <w:textAlignment w:val="baseline"/>
              <w:rPr>
                <w:rFonts w:hint="eastAsia" w:ascii="宋体" w:hAnsi="宋体" w:eastAsia="宋体" w:cs="宋体"/>
                <w:b/>
                <w:bCs/>
                <w:kern w:val="2"/>
                <w:sz w:val="21"/>
                <w:szCs w:val="21"/>
                <w:highlight w:val="none"/>
                <w:lang w:val="en-US" w:eastAsia="zh-CN" w:bidi="ar-SA"/>
              </w:rPr>
            </w:pPr>
            <w:r>
              <w:rPr>
                <w:rFonts w:hint="eastAsia" w:ascii="宋体" w:hAnsi="宋体" w:eastAsia="宋体" w:cs="宋体"/>
                <w:color w:val="auto"/>
                <w:sz w:val="21"/>
                <w:szCs w:val="21"/>
                <w:highlight w:val="none"/>
              </w:rPr>
              <w:t>500平方米以上</w:t>
            </w:r>
            <w:r>
              <w:rPr>
                <w:rFonts w:hint="eastAsia" w:ascii="宋体" w:hAnsi="宋体" w:eastAsia="宋体" w:cs="宋体"/>
                <w:color w:val="auto"/>
                <w:sz w:val="21"/>
                <w:szCs w:val="21"/>
                <w:highlight w:val="none"/>
                <w:lang w:val="en-US" w:eastAsia="zh-CN"/>
              </w:rPr>
              <w:t>不足</w:t>
            </w:r>
            <w:r>
              <w:rPr>
                <w:rFonts w:hint="eastAsia" w:ascii="宋体" w:hAnsi="宋体" w:eastAsia="宋体" w:cs="宋体"/>
                <w:color w:val="auto"/>
                <w:sz w:val="21"/>
                <w:szCs w:val="21"/>
                <w:highlight w:val="none"/>
              </w:rPr>
              <w:t>5000平方米</w:t>
            </w:r>
          </w:p>
        </w:tc>
        <w:tc>
          <w:tcPr>
            <w:tcW w:w="1316" w:type="dxa"/>
            <w:noWrap w:val="0"/>
            <w:vAlign w:val="center"/>
          </w:tcPr>
          <w:p w14:paraId="3802F1C7">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r>
      <w:tr w14:paraId="5A53F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767" w:type="dxa"/>
            <w:vMerge w:val="continue"/>
            <w:noWrap w:val="0"/>
            <w:vAlign w:val="center"/>
          </w:tcPr>
          <w:p w14:paraId="0367A152">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p>
        </w:tc>
        <w:tc>
          <w:tcPr>
            <w:tcW w:w="5676" w:type="dxa"/>
            <w:noWrap w:val="0"/>
            <w:vAlign w:val="center"/>
          </w:tcPr>
          <w:p w14:paraId="0E8C70E1">
            <w:pPr>
              <w:pStyle w:val="11"/>
              <w:keepNext w:val="0"/>
              <w:keepLines w:val="0"/>
              <w:pageBreakBefore w:val="0"/>
              <w:widowControl w:val="0"/>
              <w:shd w:val="clear" w:color="auto" w:fill="auto"/>
              <w:kinsoku/>
              <w:wordWrap/>
              <w:overflowPunct/>
              <w:topLinePunct w:val="0"/>
              <w:autoSpaceDE w:val="0"/>
              <w:autoSpaceDN w:val="0"/>
              <w:bidi w:val="0"/>
              <w:adjustRightInd w:val="0"/>
              <w:snapToGrid w:val="0"/>
              <w:ind w:left="0" w:leftChars="0" w:right="0" w:rightChars="0" w:firstLine="420" w:firstLineChars="200"/>
              <w:textAlignment w:val="baseline"/>
              <w:rPr>
                <w:rFonts w:hint="eastAsia" w:ascii="宋体" w:hAnsi="宋体" w:eastAsia="宋体" w:cs="宋体"/>
                <w:b/>
                <w:bCs/>
                <w:kern w:val="2"/>
                <w:sz w:val="21"/>
                <w:szCs w:val="21"/>
                <w:highlight w:val="none"/>
                <w:lang w:val="en-US" w:eastAsia="zh-CN" w:bidi="ar-SA"/>
              </w:rPr>
            </w:pPr>
            <w:r>
              <w:rPr>
                <w:rFonts w:hint="eastAsia" w:ascii="宋体" w:hAnsi="宋体" w:eastAsia="宋体" w:cs="宋体"/>
                <w:color w:val="auto"/>
                <w:sz w:val="21"/>
                <w:szCs w:val="21"/>
                <w:highlight w:val="none"/>
              </w:rPr>
              <w:t>5000平方米以上</w:t>
            </w:r>
            <w:r>
              <w:rPr>
                <w:rFonts w:hint="eastAsia" w:ascii="宋体" w:hAnsi="宋体" w:eastAsia="宋体" w:cs="宋体"/>
                <w:color w:val="auto"/>
                <w:sz w:val="21"/>
                <w:szCs w:val="21"/>
                <w:highlight w:val="none"/>
                <w:lang w:val="en-US" w:eastAsia="zh-CN"/>
              </w:rPr>
              <w:t>不足</w:t>
            </w:r>
            <w:r>
              <w:rPr>
                <w:rFonts w:hint="eastAsia" w:ascii="宋体" w:hAnsi="宋体" w:eastAsia="宋体" w:cs="宋体"/>
                <w:color w:val="auto"/>
                <w:sz w:val="21"/>
                <w:szCs w:val="21"/>
                <w:highlight w:val="none"/>
              </w:rPr>
              <w:t>10000平方米</w:t>
            </w:r>
          </w:p>
        </w:tc>
        <w:tc>
          <w:tcPr>
            <w:tcW w:w="1316" w:type="dxa"/>
            <w:noWrap w:val="0"/>
            <w:vAlign w:val="center"/>
          </w:tcPr>
          <w:p w14:paraId="165A0244">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7736E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767" w:type="dxa"/>
            <w:vMerge w:val="continue"/>
            <w:noWrap w:val="0"/>
            <w:vAlign w:val="center"/>
          </w:tcPr>
          <w:p w14:paraId="6B64CB6D">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p>
        </w:tc>
        <w:tc>
          <w:tcPr>
            <w:tcW w:w="5676" w:type="dxa"/>
            <w:noWrap w:val="0"/>
            <w:vAlign w:val="center"/>
          </w:tcPr>
          <w:p w14:paraId="6BAC5238">
            <w:pPr>
              <w:pStyle w:val="11"/>
              <w:keepNext w:val="0"/>
              <w:keepLines w:val="0"/>
              <w:pageBreakBefore w:val="0"/>
              <w:widowControl w:val="0"/>
              <w:shd w:val="clear" w:color="auto" w:fill="auto"/>
              <w:kinsoku/>
              <w:wordWrap/>
              <w:overflowPunct/>
              <w:topLinePunct w:val="0"/>
              <w:autoSpaceDE w:val="0"/>
              <w:autoSpaceDN w:val="0"/>
              <w:bidi w:val="0"/>
              <w:adjustRightInd w:val="0"/>
              <w:snapToGrid w:val="0"/>
              <w:ind w:left="0" w:leftChars="0" w:right="0" w:rightChars="0" w:firstLine="420" w:firstLineChars="200"/>
              <w:textAlignment w:val="baseline"/>
              <w:rPr>
                <w:rFonts w:hint="eastAsia" w:ascii="宋体" w:hAnsi="宋体" w:eastAsia="宋体" w:cs="宋体"/>
                <w:b/>
                <w:bCs/>
                <w:kern w:val="2"/>
                <w:sz w:val="21"/>
                <w:szCs w:val="21"/>
                <w:highlight w:val="none"/>
                <w:lang w:val="en-US" w:eastAsia="zh-CN" w:bidi="ar-SA"/>
              </w:rPr>
            </w:pPr>
            <w:r>
              <w:rPr>
                <w:rFonts w:hint="eastAsia" w:ascii="宋体" w:hAnsi="宋体" w:eastAsia="宋体" w:cs="宋体"/>
                <w:color w:val="auto"/>
                <w:sz w:val="21"/>
                <w:szCs w:val="21"/>
                <w:highlight w:val="none"/>
              </w:rPr>
              <w:t>10000平方米以上</w:t>
            </w:r>
            <w:r>
              <w:rPr>
                <w:rFonts w:hint="eastAsia" w:ascii="宋体" w:hAnsi="宋体" w:eastAsia="宋体" w:cs="宋体"/>
                <w:color w:val="auto"/>
                <w:sz w:val="21"/>
                <w:szCs w:val="21"/>
                <w:highlight w:val="none"/>
                <w:lang w:val="en-US" w:eastAsia="zh-CN"/>
              </w:rPr>
              <w:t>不足</w:t>
            </w:r>
            <w:r>
              <w:rPr>
                <w:rFonts w:hint="eastAsia" w:ascii="宋体" w:hAnsi="宋体" w:eastAsia="宋体" w:cs="宋体"/>
                <w:color w:val="auto"/>
                <w:sz w:val="21"/>
                <w:szCs w:val="21"/>
                <w:highlight w:val="none"/>
              </w:rPr>
              <w:t>20000平方米</w:t>
            </w:r>
          </w:p>
        </w:tc>
        <w:tc>
          <w:tcPr>
            <w:tcW w:w="1316" w:type="dxa"/>
            <w:noWrap w:val="0"/>
            <w:vAlign w:val="center"/>
          </w:tcPr>
          <w:p w14:paraId="2416F20A">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4</w:t>
            </w:r>
          </w:p>
        </w:tc>
      </w:tr>
      <w:tr w14:paraId="2652B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767" w:type="dxa"/>
            <w:vMerge w:val="continue"/>
            <w:noWrap w:val="0"/>
            <w:vAlign w:val="center"/>
          </w:tcPr>
          <w:p w14:paraId="5C85ABD3">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p>
        </w:tc>
        <w:tc>
          <w:tcPr>
            <w:tcW w:w="5676" w:type="dxa"/>
            <w:noWrap w:val="0"/>
            <w:vAlign w:val="center"/>
          </w:tcPr>
          <w:p w14:paraId="0CBFE26C">
            <w:pPr>
              <w:pStyle w:val="11"/>
              <w:keepNext w:val="0"/>
              <w:keepLines w:val="0"/>
              <w:pageBreakBefore w:val="0"/>
              <w:widowControl w:val="0"/>
              <w:shd w:val="clear" w:color="auto" w:fill="auto"/>
              <w:kinsoku/>
              <w:wordWrap/>
              <w:overflowPunct/>
              <w:topLinePunct w:val="0"/>
              <w:autoSpaceDE w:val="0"/>
              <w:autoSpaceDN w:val="0"/>
              <w:bidi w:val="0"/>
              <w:adjustRightInd w:val="0"/>
              <w:snapToGrid w:val="0"/>
              <w:ind w:left="0" w:leftChars="0" w:right="0" w:rightChars="0" w:firstLine="420" w:firstLineChars="200"/>
              <w:textAlignment w:val="baseline"/>
              <w:rPr>
                <w:rFonts w:hint="eastAsia" w:ascii="宋体" w:hAnsi="宋体" w:eastAsia="宋体" w:cs="宋体"/>
                <w:b/>
                <w:bCs/>
                <w:kern w:val="2"/>
                <w:sz w:val="21"/>
                <w:szCs w:val="21"/>
                <w:highlight w:val="none"/>
                <w:lang w:val="en-US" w:eastAsia="zh-CN" w:bidi="ar-SA"/>
              </w:rPr>
            </w:pPr>
            <w:r>
              <w:rPr>
                <w:rFonts w:hint="eastAsia" w:ascii="宋体" w:hAnsi="宋体" w:eastAsia="宋体" w:cs="宋体"/>
                <w:color w:val="auto"/>
                <w:sz w:val="21"/>
                <w:szCs w:val="21"/>
                <w:highlight w:val="none"/>
              </w:rPr>
              <w:t>20000平方米以上</w:t>
            </w:r>
          </w:p>
        </w:tc>
        <w:tc>
          <w:tcPr>
            <w:tcW w:w="1316" w:type="dxa"/>
            <w:noWrap w:val="0"/>
            <w:vAlign w:val="center"/>
          </w:tcPr>
          <w:p w14:paraId="57BA0538">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bl>
    <w:p w14:paraId="52E73B94">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513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8"/>
        <w:gridCol w:w="5954"/>
        <w:gridCol w:w="1385"/>
      </w:tblGrid>
      <w:tr w14:paraId="0A55B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8759" w:type="dxa"/>
            <w:gridSpan w:val="3"/>
            <w:noWrap w:val="0"/>
            <w:vAlign w:val="center"/>
          </w:tcPr>
          <w:p w14:paraId="0D69DC9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（七）土壤污染防治类</w:t>
            </w:r>
          </w:p>
        </w:tc>
      </w:tr>
      <w:tr w14:paraId="1825A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770" w:type="dxa"/>
            <w:noWrap w:val="0"/>
            <w:vAlign w:val="center"/>
          </w:tcPr>
          <w:p w14:paraId="4DAD6D5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989" w:type="dxa"/>
            <w:gridSpan w:val="2"/>
            <w:noWrap w:val="0"/>
            <w:vAlign w:val="center"/>
          </w:tcPr>
          <w:p w14:paraId="030C62BC">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24</w:t>
            </w:r>
          </w:p>
        </w:tc>
      </w:tr>
      <w:tr w14:paraId="37E7F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1770" w:type="dxa"/>
            <w:noWrap w:val="0"/>
            <w:vAlign w:val="center"/>
          </w:tcPr>
          <w:p w14:paraId="0674BE6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6989" w:type="dxa"/>
            <w:gridSpan w:val="2"/>
            <w:noWrap w:val="0"/>
            <w:vAlign w:val="center"/>
          </w:tcPr>
          <w:p w14:paraId="5595A8BC">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土壤污染责任人未依法报告风险管控措施，拒不改正的</w:t>
            </w:r>
          </w:p>
        </w:tc>
      </w:tr>
      <w:tr w14:paraId="56892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5" w:hRule="atLeast"/>
          <w:jc w:val="center"/>
        </w:trPr>
        <w:tc>
          <w:tcPr>
            <w:tcW w:w="1770" w:type="dxa"/>
            <w:noWrap w:val="0"/>
            <w:vAlign w:val="center"/>
          </w:tcPr>
          <w:p w14:paraId="498E603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6989" w:type="dxa"/>
            <w:gridSpan w:val="2"/>
            <w:noWrap w:val="0"/>
            <w:vAlign w:val="center"/>
          </w:tcPr>
          <w:p w14:paraId="4F201E3F">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《中华人民共和国生态环境法典》第四百五十七条  对建设用地土壤污染风险管控和修复名录中的地块，土壤污染责任人应当按照国家规定以及土壤污染风险评估报告的要求，采取相应的风险管控措施，并定期向地方人民政府生态环境主管部门报告。风险管控措施应当包括地下水污染防治的内容。</w:t>
            </w:r>
          </w:p>
        </w:tc>
      </w:tr>
      <w:tr w14:paraId="01858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6" w:hRule="atLeast"/>
          <w:jc w:val="center"/>
        </w:trPr>
        <w:tc>
          <w:tcPr>
            <w:tcW w:w="1770" w:type="dxa"/>
            <w:noWrap w:val="0"/>
            <w:vAlign w:val="center"/>
          </w:tcPr>
          <w:p w14:paraId="1CC03C2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6989" w:type="dxa"/>
            <w:gridSpan w:val="2"/>
            <w:noWrap w:val="0"/>
            <w:vAlign w:val="center"/>
          </w:tcPr>
          <w:p w14:paraId="185A9424">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《中华人民共和国生态环境法典》第一千一百六十六条</w:t>
            </w:r>
            <w:r>
              <w:rPr>
                <w:rFonts w:hint="eastAsia" w:ascii="宋体" w:hAnsi="宋体" w:eastAsia="宋体" w:cs="宋体"/>
                <w:color w:val="auto"/>
                <w:sz w:val="21"/>
                <w:szCs w:val="21"/>
                <w:highlight w:val="none"/>
                <w:lang w:val="en-US" w:eastAsia="zh-CN"/>
              </w:rPr>
              <w:t>第五项</w:t>
            </w:r>
            <w:r>
              <w:rPr>
                <w:rFonts w:hint="eastAsia" w:ascii="宋体" w:hAnsi="宋体" w:eastAsia="宋体" w:cs="宋体"/>
                <w:color w:val="auto"/>
                <w:sz w:val="21"/>
                <w:szCs w:val="21"/>
                <w:highlight w:val="none"/>
              </w:rPr>
              <w:t xml:space="preserve">  违反本法规定，有下列情形之一的，由生态环境主管部门、农业农村主管部门、林业草原主管部门按照职责分工责令改正；拒不改正的，处二万元以上十万元以下的罚款：</w:t>
            </w:r>
          </w:p>
          <w:p w14:paraId="18AC07B0">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（五）土壤污染责任人未依法报告风险管控措施；</w:t>
            </w:r>
          </w:p>
        </w:tc>
      </w:tr>
      <w:tr w14:paraId="3CDE8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770" w:type="dxa"/>
            <w:noWrap w:val="0"/>
            <w:vAlign w:val="center"/>
          </w:tcPr>
          <w:p w14:paraId="5431ECC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670" w:type="dxa"/>
            <w:noWrap w:val="0"/>
            <w:vAlign w:val="center"/>
          </w:tcPr>
          <w:p w14:paraId="7AE9A26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319" w:type="dxa"/>
            <w:noWrap w:val="0"/>
            <w:vAlign w:val="center"/>
          </w:tcPr>
          <w:p w14:paraId="18288EA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7B115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770" w:type="dxa"/>
            <w:vMerge w:val="restart"/>
            <w:noWrap w:val="0"/>
            <w:vAlign w:val="center"/>
          </w:tcPr>
          <w:p w14:paraId="3FCB9C15">
            <w:pPr>
              <w:pStyle w:val="11"/>
              <w:keepNext w:val="0"/>
              <w:keepLines w:val="0"/>
              <w:pageBreakBefore w:val="0"/>
              <w:widowControl w:val="0"/>
              <w:shd w:val="clear" w:color="auto" w:fill="auto"/>
              <w:kinsoku/>
              <w:wordWrap/>
              <w:overflowPunct/>
              <w:topLinePunct w:val="0"/>
              <w:autoSpaceDE w:val="0"/>
              <w:autoSpaceDN w:val="0"/>
              <w:bidi w:val="0"/>
              <w:adjustRightInd w:val="0"/>
              <w:snapToGrid w:val="0"/>
              <w:ind w:left="0" w:leftChars="0" w:right="0" w:rightChars="0" w:firstLine="0" w:firstLineChars="0"/>
              <w:jc w:val="center"/>
              <w:textAlignment w:val="baseline"/>
              <w:rPr>
                <w:rFonts w:hint="eastAsia" w:ascii="宋体" w:hAnsi="宋体" w:eastAsia="宋体" w:cs="宋体"/>
                <w:b/>
                <w:bCs/>
                <w:kern w:val="2"/>
                <w:sz w:val="21"/>
                <w:szCs w:val="21"/>
                <w:highlight w:val="none"/>
                <w:lang w:val="en-US" w:eastAsia="zh-CN" w:bidi="ar-SA"/>
              </w:rPr>
            </w:pPr>
            <w:r>
              <w:rPr>
                <w:rFonts w:hint="eastAsia" w:ascii="宋体" w:hAnsi="宋体" w:eastAsia="宋体" w:cs="宋体"/>
                <w:color w:val="auto"/>
                <w:sz w:val="21"/>
                <w:szCs w:val="21"/>
                <w:highlight w:val="none"/>
              </w:rPr>
              <w:t>涉及面积</w:t>
            </w:r>
          </w:p>
        </w:tc>
        <w:tc>
          <w:tcPr>
            <w:tcW w:w="5670" w:type="dxa"/>
            <w:noWrap w:val="0"/>
            <w:vAlign w:val="center"/>
          </w:tcPr>
          <w:p w14:paraId="476F1C57">
            <w:pPr>
              <w:pStyle w:val="11"/>
              <w:keepNext w:val="0"/>
              <w:keepLines w:val="0"/>
              <w:pageBreakBefore w:val="0"/>
              <w:widowControl w:val="0"/>
              <w:shd w:val="clear" w:color="auto" w:fill="auto"/>
              <w:kinsoku/>
              <w:wordWrap/>
              <w:overflowPunct/>
              <w:topLinePunct w:val="0"/>
              <w:autoSpaceDE w:val="0"/>
              <w:autoSpaceDN w:val="0"/>
              <w:bidi w:val="0"/>
              <w:adjustRightInd w:val="0"/>
              <w:snapToGrid w:val="0"/>
              <w:ind w:left="0" w:leftChars="0" w:right="0" w:rightChars="0" w:firstLine="420" w:firstLineChars="200"/>
              <w:textAlignment w:val="baseline"/>
              <w:rPr>
                <w:rFonts w:hint="eastAsia" w:ascii="宋体" w:hAnsi="宋体" w:eastAsia="宋体" w:cs="宋体"/>
                <w:b/>
                <w:bCs/>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不足</w:t>
            </w:r>
            <w:r>
              <w:rPr>
                <w:rFonts w:hint="eastAsia" w:ascii="宋体" w:hAnsi="宋体" w:eastAsia="宋体" w:cs="宋体"/>
                <w:color w:val="auto"/>
                <w:sz w:val="21"/>
                <w:szCs w:val="21"/>
                <w:highlight w:val="none"/>
              </w:rPr>
              <w:t>500平方米</w:t>
            </w:r>
          </w:p>
        </w:tc>
        <w:tc>
          <w:tcPr>
            <w:tcW w:w="1319" w:type="dxa"/>
            <w:noWrap w:val="0"/>
            <w:vAlign w:val="center"/>
          </w:tcPr>
          <w:p w14:paraId="2698E1BD">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1D77F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770" w:type="dxa"/>
            <w:vMerge w:val="continue"/>
            <w:noWrap w:val="0"/>
            <w:vAlign w:val="center"/>
          </w:tcPr>
          <w:p w14:paraId="1A643A99">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p>
        </w:tc>
        <w:tc>
          <w:tcPr>
            <w:tcW w:w="5670" w:type="dxa"/>
            <w:noWrap w:val="0"/>
            <w:vAlign w:val="center"/>
          </w:tcPr>
          <w:p w14:paraId="7A51D85A">
            <w:pPr>
              <w:pStyle w:val="11"/>
              <w:keepNext w:val="0"/>
              <w:keepLines w:val="0"/>
              <w:pageBreakBefore w:val="0"/>
              <w:widowControl w:val="0"/>
              <w:shd w:val="clear" w:color="auto" w:fill="auto"/>
              <w:kinsoku/>
              <w:wordWrap/>
              <w:overflowPunct/>
              <w:topLinePunct w:val="0"/>
              <w:autoSpaceDE w:val="0"/>
              <w:autoSpaceDN w:val="0"/>
              <w:bidi w:val="0"/>
              <w:adjustRightInd w:val="0"/>
              <w:snapToGrid w:val="0"/>
              <w:ind w:left="0" w:leftChars="0" w:right="0" w:rightChars="0"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500平方米以上</w:t>
            </w:r>
            <w:r>
              <w:rPr>
                <w:rFonts w:hint="eastAsia" w:ascii="宋体" w:hAnsi="宋体" w:eastAsia="宋体" w:cs="宋体"/>
                <w:color w:val="auto"/>
                <w:sz w:val="21"/>
                <w:szCs w:val="21"/>
                <w:highlight w:val="none"/>
                <w:lang w:val="en-US" w:eastAsia="zh-CN"/>
              </w:rPr>
              <w:t>不足</w:t>
            </w:r>
            <w:r>
              <w:rPr>
                <w:rFonts w:hint="eastAsia" w:ascii="宋体" w:hAnsi="宋体" w:eastAsia="宋体" w:cs="宋体"/>
                <w:color w:val="auto"/>
                <w:sz w:val="21"/>
                <w:szCs w:val="21"/>
                <w:highlight w:val="none"/>
              </w:rPr>
              <w:t>5000平方米</w:t>
            </w:r>
          </w:p>
        </w:tc>
        <w:tc>
          <w:tcPr>
            <w:tcW w:w="1319" w:type="dxa"/>
            <w:noWrap w:val="0"/>
            <w:vAlign w:val="center"/>
          </w:tcPr>
          <w:p w14:paraId="2646DB0F">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r>
      <w:tr w14:paraId="768C3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770" w:type="dxa"/>
            <w:vMerge w:val="continue"/>
            <w:noWrap w:val="0"/>
            <w:vAlign w:val="center"/>
          </w:tcPr>
          <w:p w14:paraId="4F634B31">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p>
        </w:tc>
        <w:tc>
          <w:tcPr>
            <w:tcW w:w="5670" w:type="dxa"/>
            <w:noWrap w:val="0"/>
            <w:vAlign w:val="center"/>
          </w:tcPr>
          <w:p w14:paraId="0A0B50F5">
            <w:pPr>
              <w:pStyle w:val="11"/>
              <w:keepNext w:val="0"/>
              <w:keepLines w:val="0"/>
              <w:pageBreakBefore w:val="0"/>
              <w:widowControl w:val="0"/>
              <w:shd w:val="clear" w:color="auto" w:fill="auto"/>
              <w:kinsoku/>
              <w:wordWrap/>
              <w:overflowPunct/>
              <w:topLinePunct w:val="0"/>
              <w:autoSpaceDE w:val="0"/>
              <w:autoSpaceDN w:val="0"/>
              <w:bidi w:val="0"/>
              <w:adjustRightInd w:val="0"/>
              <w:snapToGrid w:val="0"/>
              <w:ind w:left="0" w:leftChars="0" w:right="0" w:rightChars="0"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5000平方米以上</w:t>
            </w:r>
            <w:r>
              <w:rPr>
                <w:rFonts w:hint="eastAsia" w:ascii="宋体" w:hAnsi="宋体" w:eastAsia="宋体" w:cs="宋体"/>
                <w:color w:val="auto"/>
                <w:sz w:val="21"/>
                <w:szCs w:val="21"/>
                <w:highlight w:val="none"/>
                <w:lang w:val="en-US" w:eastAsia="zh-CN"/>
              </w:rPr>
              <w:t>不足</w:t>
            </w:r>
            <w:r>
              <w:rPr>
                <w:rFonts w:hint="eastAsia" w:ascii="宋体" w:hAnsi="宋体" w:eastAsia="宋体" w:cs="宋体"/>
                <w:color w:val="auto"/>
                <w:sz w:val="21"/>
                <w:szCs w:val="21"/>
                <w:highlight w:val="none"/>
              </w:rPr>
              <w:t>10000平方米</w:t>
            </w:r>
          </w:p>
        </w:tc>
        <w:tc>
          <w:tcPr>
            <w:tcW w:w="1319" w:type="dxa"/>
            <w:noWrap w:val="0"/>
            <w:vAlign w:val="center"/>
          </w:tcPr>
          <w:p w14:paraId="5443B6CE">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15133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770" w:type="dxa"/>
            <w:vMerge w:val="continue"/>
            <w:noWrap w:val="0"/>
            <w:vAlign w:val="center"/>
          </w:tcPr>
          <w:p w14:paraId="02D22FC3">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p>
        </w:tc>
        <w:tc>
          <w:tcPr>
            <w:tcW w:w="5670" w:type="dxa"/>
            <w:noWrap w:val="0"/>
            <w:vAlign w:val="center"/>
          </w:tcPr>
          <w:p w14:paraId="734DE9FF">
            <w:pPr>
              <w:pStyle w:val="11"/>
              <w:keepNext w:val="0"/>
              <w:keepLines w:val="0"/>
              <w:pageBreakBefore w:val="0"/>
              <w:widowControl w:val="0"/>
              <w:shd w:val="clear" w:color="auto" w:fill="auto"/>
              <w:kinsoku/>
              <w:wordWrap/>
              <w:overflowPunct/>
              <w:topLinePunct w:val="0"/>
              <w:autoSpaceDE w:val="0"/>
              <w:autoSpaceDN w:val="0"/>
              <w:bidi w:val="0"/>
              <w:adjustRightInd w:val="0"/>
              <w:snapToGrid w:val="0"/>
              <w:ind w:left="0" w:leftChars="0" w:right="0" w:rightChars="0"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10000平方米以上</w:t>
            </w:r>
            <w:r>
              <w:rPr>
                <w:rFonts w:hint="eastAsia" w:ascii="宋体" w:hAnsi="宋体" w:eastAsia="宋体" w:cs="宋体"/>
                <w:color w:val="auto"/>
                <w:sz w:val="21"/>
                <w:szCs w:val="21"/>
                <w:highlight w:val="none"/>
                <w:lang w:val="en-US" w:eastAsia="zh-CN"/>
              </w:rPr>
              <w:t>不足</w:t>
            </w:r>
            <w:r>
              <w:rPr>
                <w:rFonts w:hint="eastAsia" w:ascii="宋体" w:hAnsi="宋体" w:eastAsia="宋体" w:cs="宋体"/>
                <w:color w:val="auto"/>
                <w:sz w:val="21"/>
                <w:szCs w:val="21"/>
                <w:highlight w:val="none"/>
              </w:rPr>
              <w:t>20000平方米</w:t>
            </w:r>
          </w:p>
        </w:tc>
        <w:tc>
          <w:tcPr>
            <w:tcW w:w="1319" w:type="dxa"/>
            <w:noWrap w:val="0"/>
            <w:vAlign w:val="center"/>
          </w:tcPr>
          <w:p w14:paraId="36986925">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4</w:t>
            </w:r>
          </w:p>
        </w:tc>
      </w:tr>
      <w:tr w14:paraId="38043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770" w:type="dxa"/>
            <w:vMerge w:val="continue"/>
            <w:noWrap w:val="0"/>
            <w:vAlign w:val="center"/>
          </w:tcPr>
          <w:p w14:paraId="405DD30D">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p>
        </w:tc>
        <w:tc>
          <w:tcPr>
            <w:tcW w:w="5670" w:type="dxa"/>
            <w:noWrap w:val="0"/>
            <w:vAlign w:val="center"/>
          </w:tcPr>
          <w:p w14:paraId="098AD201">
            <w:pPr>
              <w:pStyle w:val="11"/>
              <w:keepNext w:val="0"/>
              <w:keepLines w:val="0"/>
              <w:pageBreakBefore w:val="0"/>
              <w:widowControl w:val="0"/>
              <w:shd w:val="clear" w:color="auto" w:fill="auto"/>
              <w:kinsoku/>
              <w:wordWrap/>
              <w:overflowPunct/>
              <w:topLinePunct w:val="0"/>
              <w:autoSpaceDE w:val="0"/>
              <w:autoSpaceDN w:val="0"/>
              <w:bidi w:val="0"/>
              <w:adjustRightInd w:val="0"/>
              <w:snapToGrid w:val="0"/>
              <w:ind w:left="0" w:leftChars="0" w:right="0" w:rightChars="0"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20000平方米以上</w:t>
            </w:r>
          </w:p>
        </w:tc>
        <w:tc>
          <w:tcPr>
            <w:tcW w:w="1319" w:type="dxa"/>
            <w:noWrap w:val="0"/>
            <w:vAlign w:val="center"/>
          </w:tcPr>
          <w:p w14:paraId="04CF0EFF">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bl>
    <w:p w14:paraId="1DFC4CD7">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513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9"/>
        <w:gridCol w:w="5952"/>
        <w:gridCol w:w="1386"/>
      </w:tblGrid>
      <w:tr w14:paraId="3650C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8759" w:type="dxa"/>
            <w:gridSpan w:val="3"/>
            <w:noWrap w:val="0"/>
            <w:vAlign w:val="center"/>
          </w:tcPr>
          <w:p w14:paraId="1F639166">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（七）土壤污染防治类</w:t>
            </w:r>
          </w:p>
        </w:tc>
      </w:tr>
      <w:tr w14:paraId="47FE0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770" w:type="dxa"/>
            <w:noWrap w:val="0"/>
            <w:vAlign w:val="center"/>
          </w:tcPr>
          <w:p w14:paraId="5F592A5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989" w:type="dxa"/>
            <w:gridSpan w:val="2"/>
            <w:noWrap w:val="0"/>
            <w:vAlign w:val="center"/>
          </w:tcPr>
          <w:p w14:paraId="43232E87">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25</w:t>
            </w:r>
          </w:p>
        </w:tc>
      </w:tr>
      <w:tr w14:paraId="1A3B9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1770" w:type="dxa"/>
            <w:noWrap w:val="0"/>
            <w:vAlign w:val="center"/>
          </w:tcPr>
          <w:p w14:paraId="35E6C1D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6989" w:type="dxa"/>
            <w:gridSpan w:val="2"/>
            <w:noWrap w:val="0"/>
            <w:vAlign w:val="center"/>
          </w:tcPr>
          <w:p w14:paraId="29192664">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土壤污染责任人、土地使用权人未依法将修复方案、效果评估报告备案，拒不改正的</w:t>
            </w:r>
          </w:p>
        </w:tc>
      </w:tr>
      <w:tr w14:paraId="3264E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5" w:hRule="atLeast"/>
          <w:jc w:val="center"/>
        </w:trPr>
        <w:tc>
          <w:tcPr>
            <w:tcW w:w="1770" w:type="dxa"/>
            <w:noWrap w:val="0"/>
            <w:vAlign w:val="center"/>
          </w:tcPr>
          <w:p w14:paraId="6CB0028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6989" w:type="dxa"/>
            <w:gridSpan w:val="2"/>
            <w:noWrap w:val="0"/>
            <w:vAlign w:val="center"/>
          </w:tcPr>
          <w:p w14:paraId="0E1B4B52">
            <w:pPr>
              <w:ind w:firstLine="420" w:firstLineChars="200"/>
              <w:jc w:val="both"/>
              <w:rPr>
                <w:rFonts w:hint="eastAsia" w:ascii="宋体" w:hAnsi="宋体" w:eastAsia="宋体" w:cs="宋体"/>
                <w:strike w:val="0"/>
                <w:dstrike w:val="0"/>
                <w:color w:val="auto"/>
                <w:sz w:val="21"/>
                <w:szCs w:val="21"/>
                <w:highlight w:val="none"/>
                <w:u w:val="none"/>
              </w:rPr>
            </w:pPr>
            <w:r>
              <w:rPr>
                <w:rFonts w:hint="eastAsia" w:ascii="宋体" w:hAnsi="宋体" w:eastAsia="宋体" w:cs="宋体"/>
                <w:strike w:val="0"/>
                <w:dstrike w:val="0"/>
                <w:color w:val="auto"/>
                <w:sz w:val="21"/>
                <w:szCs w:val="21"/>
                <w:highlight w:val="none"/>
              </w:rPr>
              <w:t>《中华人民共和国生态环境法典》第四百五十九条　对建设用地土壤污染风险管控和修复名录中需要实施修复的地块，土壤污染责任人应当结合国土空间规划编制修复方案，报地方人民政府生态环境主管部门备案并实施</w:t>
            </w:r>
            <w:r>
              <w:rPr>
                <w:rFonts w:hint="eastAsia" w:ascii="宋体" w:hAnsi="宋体" w:eastAsia="宋体" w:cs="宋体"/>
                <w:strike w:val="0"/>
                <w:dstrike w:val="0"/>
                <w:color w:val="auto"/>
                <w:sz w:val="21"/>
                <w:szCs w:val="21"/>
                <w:highlight w:val="none"/>
                <w:u w:val="none"/>
              </w:rPr>
              <w:t>。修复方案应当包括地下水污染防治的内容。</w:t>
            </w:r>
          </w:p>
          <w:p w14:paraId="7B06EA12">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strike w:val="0"/>
                <w:dstrike w:val="0"/>
                <w:color w:val="auto"/>
                <w:sz w:val="21"/>
                <w:szCs w:val="21"/>
                <w:highlight w:val="none"/>
              </w:rPr>
              <w:t>《中华人民共和国生态环境法典》第四百六十条　风险管控、修复活动完成后，土壤污染责任人应当另行委托有关单位对风险管控效果、修复效果进行评估，并将效果评估报告报地方人民政府生态环境主管部门备案。</w:t>
            </w:r>
          </w:p>
        </w:tc>
      </w:tr>
      <w:tr w14:paraId="2DAA5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8" w:hRule="atLeast"/>
          <w:jc w:val="center"/>
        </w:trPr>
        <w:tc>
          <w:tcPr>
            <w:tcW w:w="1770" w:type="dxa"/>
            <w:noWrap w:val="0"/>
            <w:vAlign w:val="center"/>
          </w:tcPr>
          <w:p w14:paraId="02BD880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6989" w:type="dxa"/>
            <w:gridSpan w:val="2"/>
            <w:noWrap w:val="0"/>
            <w:vAlign w:val="center"/>
          </w:tcPr>
          <w:p w14:paraId="59862C39">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《中华人民共和国生态环境法典》第一千一百六十六条</w:t>
            </w:r>
            <w:r>
              <w:rPr>
                <w:rFonts w:hint="eastAsia" w:ascii="宋体" w:hAnsi="宋体" w:eastAsia="宋体" w:cs="宋体"/>
                <w:color w:val="auto"/>
                <w:sz w:val="21"/>
                <w:szCs w:val="21"/>
                <w:highlight w:val="none"/>
                <w:lang w:val="en-US" w:eastAsia="zh-CN"/>
              </w:rPr>
              <w:t>第六项</w:t>
            </w:r>
            <w:r>
              <w:rPr>
                <w:rFonts w:hint="eastAsia" w:ascii="宋体" w:hAnsi="宋体" w:eastAsia="宋体" w:cs="宋体"/>
                <w:color w:val="auto"/>
                <w:sz w:val="21"/>
                <w:szCs w:val="21"/>
                <w:highlight w:val="none"/>
              </w:rPr>
              <w:t xml:space="preserve">  违反本法规定，有下列情形之一的，由生态环境主管部门、农业农村主管部门、林业草原主管部门按照职责分工责令改正；拒不改正的，处二万元以上十万元以下的罚款：</w:t>
            </w:r>
          </w:p>
          <w:p w14:paraId="40415CEA">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（六）土壤污染责任人、土地使用权人未依法将修复方案、效果评估报告备案。</w:t>
            </w:r>
          </w:p>
        </w:tc>
      </w:tr>
      <w:tr w14:paraId="76F71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770" w:type="dxa"/>
            <w:noWrap w:val="0"/>
            <w:vAlign w:val="center"/>
          </w:tcPr>
          <w:p w14:paraId="484DA34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669" w:type="dxa"/>
            <w:noWrap w:val="0"/>
            <w:vAlign w:val="center"/>
          </w:tcPr>
          <w:p w14:paraId="21E479B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320" w:type="dxa"/>
            <w:noWrap w:val="0"/>
            <w:vAlign w:val="center"/>
          </w:tcPr>
          <w:p w14:paraId="3CE96B2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7B533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770" w:type="dxa"/>
            <w:vMerge w:val="restart"/>
            <w:noWrap w:val="0"/>
            <w:vAlign w:val="center"/>
          </w:tcPr>
          <w:p w14:paraId="1797F2A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涉及面积</w:t>
            </w:r>
          </w:p>
        </w:tc>
        <w:tc>
          <w:tcPr>
            <w:tcW w:w="5669" w:type="dxa"/>
            <w:noWrap w:val="0"/>
            <w:vAlign w:val="center"/>
          </w:tcPr>
          <w:p w14:paraId="0F99391F">
            <w:pPr>
              <w:pStyle w:val="11"/>
              <w:keepNext w:val="0"/>
              <w:keepLines w:val="0"/>
              <w:pageBreakBefore w:val="0"/>
              <w:widowControl w:val="0"/>
              <w:shd w:val="clear" w:color="auto" w:fill="auto"/>
              <w:kinsoku/>
              <w:wordWrap/>
              <w:overflowPunct/>
              <w:topLinePunct w:val="0"/>
              <w:autoSpaceDE w:val="0"/>
              <w:autoSpaceDN w:val="0"/>
              <w:bidi w:val="0"/>
              <w:adjustRightInd w:val="0"/>
              <w:snapToGrid w:val="0"/>
              <w:ind w:left="0" w:leftChars="0" w:right="0" w:rightChars="0"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不足</w:t>
            </w:r>
            <w:r>
              <w:rPr>
                <w:rFonts w:hint="eastAsia" w:ascii="宋体" w:hAnsi="宋体" w:eastAsia="宋体" w:cs="宋体"/>
                <w:color w:val="auto"/>
                <w:sz w:val="21"/>
                <w:szCs w:val="21"/>
                <w:highlight w:val="none"/>
              </w:rPr>
              <w:t>500平方米</w:t>
            </w:r>
          </w:p>
        </w:tc>
        <w:tc>
          <w:tcPr>
            <w:tcW w:w="1320" w:type="dxa"/>
            <w:noWrap w:val="0"/>
            <w:vAlign w:val="center"/>
          </w:tcPr>
          <w:p w14:paraId="2B69118A">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r>
      <w:tr w14:paraId="0C86A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770" w:type="dxa"/>
            <w:vMerge w:val="continue"/>
            <w:noWrap w:val="0"/>
            <w:vAlign w:val="center"/>
          </w:tcPr>
          <w:p w14:paraId="756CFA47">
            <w:pPr>
              <w:rPr>
                <w:rFonts w:hint="eastAsia" w:ascii="宋体" w:hAnsi="宋体" w:eastAsia="宋体" w:cs="宋体"/>
                <w:color w:val="auto"/>
                <w:sz w:val="21"/>
                <w:szCs w:val="21"/>
                <w:highlight w:val="none"/>
              </w:rPr>
            </w:pPr>
          </w:p>
        </w:tc>
        <w:tc>
          <w:tcPr>
            <w:tcW w:w="5669" w:type="dxa"/>
            <w:noWrap w:val="0"/>
            <w:vAlign w:val="center"/>
          </w:tcPr>
          <w:p w14:paraId="6B579009">
            <w:pPr>
              <w:pStyle w:val="11"/>
              <w:keepNext w:val="0"/>
              <w:keepLines w:val="0"/>
              <w:pageBreakBefore w:val="0"/>
              <w:widowControl w:val="0"/>
              <w:shd w:val="clear" w:color="auto" w:fill="auto"/>
              <w:kinsoku/>
              <w:wordWrap/>
              <w:overflowPunct/>
              <w:topLinePunct w:val="0"/>
              <w:autoSpaceDE w:val="0"/>
              <w:autoSpaceDN w:val="0"/>
              <w:bidi w:val="0"/>
              <w:adjustRightInd w:val="0"/>
              <w:snapToGrid w:val="0"/>
              <w:ind w:left="0" w:leftChars="0" w:right="0" w:rightChars="0"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500平方米以上</w:t>
            </w:r>
            <w:r>
              <w:rPr>
                <w:rFonts w:hint="eastAsia" w:ascii="宋体" w:hAnsi="宋体" w:eastAsia="宋体" w:cs="宋体"/>
                <w:color w:val="auto"/>
                <w:sz w:val="21"/>
                <w:szCs w:val="21"/>
                <w:highlight w:val="none"/>
                <w:lang w:val="en-US" w:eastAsia="zh-CN"/>
              </w:rPr>
              <w:t>不足</w:t>
            </w:r>
            <w:r>
              <w:rPr>
                <w:rFonts w:hint="eastAsia" w:ascii="宋体" w:hAnsi="宋体" w:eastAsia="宋体" w:cs="宋体"/>
                <w:color w:val="auto"/>
                <w:sz w:val="21"/>
                <w:szCs w:val="21"/>
                <w:highlight w:val="none"/>
              </w:rPr>
              <w:t>5000平方米</w:t>
            </w:r>
          </w:p>
        </w:tc>
        <w:tc>
          <w:tcPr>
            <w:tcW w:w="1320" w:type="dxa"/>
            <w:noWrap w:val="0"/>
            <w:vAlign w:val="center"/>
          </w:tcPr>
          <w:p w14:paraId="1432A3A4">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r>
      <w:tr w14:paraId="260EA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770" w:type="dxa"/>
            <w:vMerge w:val="continue"/>
            <w:noWrap w:val="0"/>
            <w:vAlign w:val="center"/>
          </w:tcPr>
          <w:p w14:paraId="2C47A078">
            <w:pPr>
              <w:rPr>
                <w:rFonts w:hint="eastAsia" w:ascii="宋体" w:hAnsi="宋体" w:eastAsia="宋体" w:cs="宋体"/>
                <w:color w:val="auto"/>
                <w:sz w:val="21"/>
                <w:szCs w:val="21"/>
                <w:highlight w:val="none"/>
              </w:rPr>
            </w:pPr>
          </w:p>
        </w:tc>
        <w:tc>
          <w:tcPr>
            <w:tcW w:w="5669" w:type="dxa"/>
            <w:noWrap w:val="0"/>
            <w:vAlign w:val="center"/>
          </w:tcPr>
          <w:p w14:paraId="30DFCFC6">
            <w:pPr>
              <w:pStyle w:val="11"/>
              <w:keepNext w:val="0"/>
              <w:keepLines w:val="0"/>
              <w:pageBreakBefore w:val="0"/>
              <w:widowControl w:val="0"/>
              <w:shd w:val="clear" w:color="auto" w:fill="auto"/>
              <w:kinsoku/>
              <w:wordWrap/>
              <w:overflowPunct/>
              <w:topLinePunct w:val="0"/>
              <w:autoSpaceDE w:val="0"/>
              <w:autoSpaceDN w:val="0"/>
              <w:bidi w:val="0"/>
              <w:adjustRightInd w:val="0"/>
              <w:snapToGrid w:val="0"/>
              <w:ind w:left="0" w:leftChars="0" w:right="0" w:rightChars="0"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5000平方米以上</w:t>
            </w:r>
            <w:r>
              <w:rPr>
                <w:rFonts w:hint="eastAsia" w:ascii="宋体" w:hAnsi="宋体" w:eastAsia="宋体" w:cs="宋体"/>
                <w:color w:val="auto"/>
                <w:sz w:val="21"/>
                <w:szCs w:val="21"/>
                <w:highlight w:val="none"/>
                <w:lang w:val="en-US" w:eastAsia="zh-CN"/>
              </w:rPr>
              <w:t>不足</w:t>
            </w:r>
            <w:r>
              <w:rPr>
                <w:rFonts w:hint="eastAsia" w:ascii="宋体" w:hAnsi="宋体" w:eastAsia="宋体" w:cs="宋体"/>
                <w:color w:val="auto"/>
                <w:sz w:val="21"/>
                <w:szCs w:val="21"/>
                <w:highlight w:val="none"/>
              </w:rPr>
              <w:t>10000平方米</w:t>
            </w:r>
          </w:p>
        </w:tc>
        <w:tc>
          <w:tcPr>
            <w:tcW w:w="1320" w:type="dxa"/>
            <w:noWrap w:val="0"/>
            <w:vAlign w:val="center"/>
          </w:tcPr>
          <w:p w14:paraId="2972AA2B">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r>
      <w:tr w14:paraId="5AE8F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770" w:type="dxa"/>
            <w:vMerge w:val="continue"/>
            <w:noWrap w:val="0"/>
            <w:vAlign w:val="center"/>
          </w:tcPr>
          <w:p w14:paraId="54568991">
            <w:pPr>
              <w:rPr>
                <w:rFonts w:hint="eastAsia" w:ascii="宋体" w:hAnsi="宋体" w:eastAsia="宋体" w:cs="宋体"/>
                <w:color w:val="auto"/>
                <w:sz w:val="21"/>
                <w:szCs w:val="21"/>
                <w:highlight w:val="none"/>
              </w:rPr>
            </w:pPr>
          </w:p>
        </w:tc>
        <w:tc>
          <w:tcPr>
            <w:tcW w:w="5669" w:type="dxa"/>
            <w:noWrap w:val="0"/>
            <w:vAlign w:val="center"/>
          </w:tcPr>
          <w:p w14:paraId="276D643A">
            <w:pPr>
              <w:pStyle w:val="11"/>
              <w:keepNext w:val="0"/>
              <w:keepLines w:val="0"/>
              <w:pageBreakBefore w:val="0"/>
              <w:widowControl w:val="0"/>
              <w:shd w:val="clear" w:color="auto" w:fill="auto"/>
              <w:kinsoku/>
              <w:wordWrap/>
              <w:overflowPunct/>
              <w:topLinePunct w:val="0"/>
              <w:autoSpaceDE w:val="0"/>
              <w:autoSpaceDN w:val="0"/>
              <w:bidi w:val="0"/>
              <w:adjustRightInd w:val="0"/>
              <w:snapToGrid w:val="0"/>
              <w:ind w:left="0" w:leftChars="0" w:right="0" w:rightChars="0"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10000平方米以上</w:t>
            </w:r>
            <w:r>
              <w:rPr>
                <w:rFonts w:hint="eastAsia" w:ascii="宋体" w:hAnsi="宋体" w:eastAsia="宋体" w:cs="宋体"/>
                <w:color w:val="auto"/>
                <w:sz w:val="21"/>
                <w:szCs w:val="21"/>
                <w:highlight w:val="none"/>
                <w:lang w:val="en-US" w:eastAsia="zh-CN"/>
              </w:rPr>
              <w:t>不足</w:t>
            </w:r>
            <w:r>
              <w:rPr>
                <w:rFonts w:hint="eastAsia" w:ascii="宋体" w:hAnsi="宋体" w:eastAsia="宋体" w:cs="宋体"/>
                <w:color w:val="auto"/>
                <w:sz w:val="21"/>
                <w:szCs w:val="21"/>
                <w:highlight w:val="none"/>
              </w:rPr>
              <w:t>20000平方米</w:t>
            </w:r>
          </w:p>
        </w:tc>
        <w:tc>
          <w:tcPr>
            <w:tcW w:w="1320" w:type="dxa"/>
            <w:noWrap w:val="0"/>
            <w:vAlign w:val="center"/>
          </w:tcPr>
          <w:p w14:paraId="1DD5FA4D">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r>
      <w:tr w14:paraId="09498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770" w:type="dxa"/>
            <w:vMerge w:val="continue"/>
            <w:noWrap w:val="0"/>
            <w:vAlign w:val="center"/>
          </w:tcPr>
          <w:p w14:paraId="7C4B4E26">
            <w:pPr>
              <w:rPr>
                <w:rFonts w:hint="eastAsia" w:ascii="宋体" w:hAnsi="宋体" w:eastAsia="宋体" w:cs="宋体"/>
                <w:color w:val="auto"/>
                <w:sz w:val="21"/>
                <w:szCs w:val="21"/>
                <w:highlight w:val="none"/>
              </w:rPr>
            </w:pPr>
          </w:p>
        </w:tc>
        <w:tc>
          <w:tcPr>
            <w:tcW w:w="5669" w:type="dxa"/>
            <w:noWrap w:val="0"/>
            <w:vAlign w:val="center"/>
          </w:tcPr>
          <w:p w14:paraId="65372CBE">
            <w:pPr>
              <w:pStyle w:val="11"/>
              <w:keepNext w:val="0"/>
              <w:keepLines w:val="0"/>
              <w:pageBreakBefore w:val="0"/>
              <w:widowControl w:val="0"/>
              <w:shd w:val="clear" w:color="auto" w:fill="auto"/>
              <w:kinsoku/>
              <w:wordWrap/>
              <w:overflowPunct/>
              <w:topLinePunct w:val="0"/>
              <w:autoSpaceDE w:val="0"/>
              <w:autoSpaceDN w:val="0"/>
              <w:bidi w:val="0"/>
              <w:adjustRightInd w:val="0"/>
              <w:snapToGrid w:val="0"/>
              <w:ind w:left="0" w:leftChars="0" w:right="0" w:rightChars="0"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20000平方米以上</w:t>
            </w:r>
          </w:p>
        </w:tc>
        <w:tc>
          <w:tcPr>
            <w:tcW w:w="1320" w:type="dxa"/>
            <w:noWrap w:val="0"/>
            <w:vAlign w:val="center"/>
          </w:tcPr>
          <w:p w14:paraId="14D26349">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r>
    </w:tbl>
    <w:p w14:paraId="68BE27CC">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502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99"/>
        <w:gridCol w:w="5869"/>
        <w:gridCol w:w="1318"/>
      </w:tblGrid>
      <w:tr w14:paraId="23D0D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558" w:type="dxa"/>
            <w:gridSpan w:val="3"/>
            <w:noWrap w:val="0"/>
            <w:vAlign w:val="center"/>
          </w:tcPr>
          <w:p w14:paraId="4706FA2B">
            <w:pPr>
              <w:jc w:val="center"/>
              <w:rPr>
                <w:rFonts w:hint="eastAsia" w:ascii="宋体" w:hAnsi="宋体" w:eastAsia="宋体" w:cs="宋体"/>
                <w:bCs/>
                <w:color w:val="auto"/>
                <w:sz w:val="21"/>
                <w:szCs w:val="21"/>
                <w:highlight w:val="none"/>
                <w:lang w:eastAsia="zh-CN"/>
              </w:rPr>
            </w:pPr>
            <w:r>
              <w:rPr>
                <w:rFonts w:hint="eastAsia" w:ascii="宋体" w:hAnsi="宋体" w:eastAsia="宋体" w:cs="宋体"/>
                <w:color w:val="auto"/>
                <w:sz w:val="21"/>
                <w:szCs w:val="21"/>
                <w:highlight w:val="none"/>
                <w:lang w:eastAsia="zh-CN"/>
              </w:rPr>
              <w:t>（七）土壤污染防治类</w:t>
            </w:r>
          </w:p>
        </w:tc>
      </w:tr>
      <w:tr w14:paraId="5151D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714" w:type="dxa"/>
            <w:noWrap w:val="0"/>
            <w:vAlign w:val="center"/>
          </w:tcPr>
          <w:p w14:paraId="7BBBA99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844" w:type="dxa"/>
            <w:gridSpan w:val="2"/>
            <w:noWrap w:val="0"/>
            <w:vAlign w:val="center"/>
          </w:tcPr>
          <w:p w14:paraId="4F27AB33">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26</w:t>
            </w:r>
          </w:p>
        </w:tc>
      </w:tr>
      <w:tr w14:paraId="6F490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1714" w:type="dxa"/>
            <w:noWrap w:val="0"/>
            <w:vAlign w:val="center"/>
          </w:tcPr>
          <w:p w14:paraId="231648E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6844" w:type="dxa"/>
            <w:gridSpan w:val="2"/>
            <w:noWrap w:val="0"/>
            <w:vAlign w:val="center"/>
          </w:tcPr>
          <w:p w14:paraId="615DA99F">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土壤污染重点监管单位未将土壤污染防治工作方案备案，拒不改正的</w:t>
            </w:r>
          </w:p>
        </w:tc>
      </w:tr>
      <w:tr w14:paraId="091FD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4" w:hRule="atLeast"/>
          <w:jc w:val="center"/>
        </w:trPr>
        <w:tc>
          <w:tcPr>
            <w:tcW w:w="1714" w:type="dxa"/>
            <w:noWrap w:val="0"/>
            <w:vAlign w:val="center"/>
          </w:tcPr>
          <w:p w14:paraId="2680823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6844" w:type="dxa"/>
            <w:gridSpan w:val="2"/>
            <w:noWrap w:val="0"/>
            <w:vAlign w:val="center"/>
          </w:tcPr>
          <w:p w14:paraId="0E2F2C26">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《中华人民共和国生态环境法典》第四百一十五条</w:t>
            </w:r>
            <w:r>
              <w:rPr>
                <w:rFonts w:hint="eastAsia" w:ascii="宋体" w:hAnsi="宋体" w:eastAsia="宋体" w:cs="宋体"/>
                <w:color w:val="auto"/>
                <w:sz w:val="21"/>
                <w:szCs w:val="21"/>
                <w:highlight w:val="none"/>
                <w:lang w:val="en-US" w:eastAsia="zh-CN"/>
              </w:rPr>
              <w:t>第二款</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土壤污染重点监管单位拆除设施、设备或者建筑物、构筑物的，应当制定包括应急措施在内的土壤污染防治工作方案，报地方人民政府生态环境主管部门、工业和信息化主管部门备案并实施。</w:t>
            </w:r>
          </w:p>
        </w:tc>
      </w:tr>
      <w:tr w14:paraId="67D52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5" w:hRule="atLeast"/>
          <w:jc w:val="center"/>
        </w:trPr>
        <w:tc>
          <w:tcPr>
            <w:tcW w:w="1714" w:type="dxa"/>
            <w:noWrap w:val="0"/>
            <w:vAlign w:val="center"/>
          </w:tcPr>
          <w:p w14:paraId="54581E4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6844" w:type="dxa"/>
            <w:gridSpan w:val="2"/>
            <w:noWrap w:val="0"/>
            <w:vAlign w:val="center"/>
          </w:tcPr>
          <w:p w14:paraId="011D97A6">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《中华人民共和国生态环境法典》第一千一百六十七条  违反本法规定，有下列情形之一的，由生态环境主管部门、工业和信息化主管部门按照职责分工责令改正；拒不改正的，处一万元以上五万元以下的罚款：</w:t>
            </w:r>
          </w:p>
          <w:p w14:paraId="5EDAAA41">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（一）土壤污染重点监管单位未将土壤污染防治工作方案备案；</w:t>
            </w:r>
          </w:p>
        </w:tc>
      </w:tr>
      <w:tr w14:paraId="7ECA4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714" w:type="dxa"/>
            <w:noWrap w:val="0"/>
            <w:vAlign w:val="center"/>
          </w:tcPr>
          <w:p w14:paraId="5B4D8B3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589" w:type="dxa"/>
            <w:noWrap w:val="0"/>
            <w:vAlign w:val="center"/>
          </w:tcPr>
          <w:p w14:paraId="31824A1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255" w:type="dxa"/>
            <w:noWrap w:val="0"/>
            <w:vAlign w:val="center"/>
          </w:tcPr>
          <w:p w14:paraId="3BA860D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2BFD3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714" w:type="dxa"/>
            <w:vMerge w:val="restart"/>
            <w:noWrap w:val="0"/>
            <w:vAlign w:val="center"/>
          </w:tcPr>
          <w:p w14:paraId="2BF0B8E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涉及面积</w:t>
            </w:r>
          </w:p>
        </w:tc>
        <w:tc>
          <w:tcPr>
            <w:tcW w:w="5589" w:type="dxa"/>
            <w:noWrap w:val="0"/>
            <w:vAlign w:val="center"/>
          </w:tcPr>
          <w:p w14:paraId="521E9DA7">
            <w:pPr>
              <w:pStyle w:val="11"/>
              <w:keepNext w:val="0"/>
              <w:keepLines w:val="0"/>
              <w:pageBreakBefore w:val="0"/>
              <w:widowControl w:val="0"/>
              <w:shd w:val="clear" w:color="auto" w:fill="auto"/>
              <w:kinsoku/>
              <w:wordWrap/>
              <w:overflowPunct/>
              <w:topLinePunct w:val="0"/>
              <w:autoSpaceDE w:val="0"/>
              <w:autoSpaceDN w:val="0"/>
              <w:bidi w:val="0"/>
              <w:adjustRightInd w:val="0"/>
              <w:snapToGrid w:val="0"/>
              <w:ind w:left="0" w:leftChars="0" w:right="0" w:rightChars="0"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不足</w:t>
            </w:r>
            <w:r>
              <w:rPr>
                <w:rFonts w:hint="eastAsia" w:ascii="宋体" w:hAnsi="宋体" w:eastAsia="宋体" w:cs="宋体"/>
                <w:color w:val="auto"/>
                <w:sz w:val="21"/>
                <w:szCs w:val="21"/>
                <w:highlight w:val="none"/>
              </w:rPr>
              <w:t>500平方米</w:t>
            </w:r>
          </w:p>
        </w:tc>
        <w:tc>
          <w:tcPr>
            <w:tcW w:w="1255" w:type="dxa"/>
            <w:noWrap w:val="0"/>
            <w:vAlign w:val="center"/>
          </w:tcPr>
          <w:p w14:paraId="2BDCA92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2F2B1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714" w:type="dxa"/>
            <w:vMerge w:val="continue"/>
            <w:noWrap w:val="0"/>
            <w:vAlign w:val="center"/>
          </w:tcPr>
          <w:p w14:paraId="6B58A3EE">
            <w:pPr>
              <w:rPr>
                <w:rFonts w:hint="eastAsia" w:ascii="宋体" w:hAnsi="宋体" w:eastAsia="宋体" w:cs="宋体"/>
                <w:color w:val="auto"/>
                <w:sz w:val="21"/>
                <w:szCs w:val="21"/>
                <w:highlight w:val="none"/>
              </w:rPr>
            </w:pPr>
          </w:p>
        </w:tc>
        <w:tc>
          <w:tcPr>
            <w:tcW w:w="5589" w:type="dxa"/>
            <w:noWrap w:val="0"/>
            <w:vAlign w:val="center"/>
          </w:tcPr>
          <w:p w14:paraId="6F76CA72">
            <w:pPr>
              <w:pStyle w:val="11"/>
              <w:keepNext w:val="0"/>
              <w:keepLines w:val="0"/>
              <w:pageBreakBefore w:val="0"/>
              <w:widowControl w:val="0"/>
              <w:shd w:val="clear" w:color="auto" w:fill="auto"/>
              <w:kinsoku/>
              <w:wordWrap/>
              <w:overflowPunct/>
              <w:topLinePunct w:val="0"/>
              <w:autoSpaceDE w:val="0"/>
              <w:autoSpaceDN w:val="0"/>
              <w:bidi w:val="0"/>
              <w:adjustRightInd w:val="0"/>
              <w:snapToGrid w:val="0"/>
              <w:ind w:left="0" w:leftChars="0" w:right="0" w:rightChars="0"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500平方米以上</w:t>
            </w:r>
            <w:r>
              <w:rPr>
                <w:rFonts w:hint="eastAsia" w:ascii="宋体" w:hAnsi="宋体" w:eastAsia="宋体" w:cs="宋体"/>
                <w:color w:val="auto"/>
                <w:sz w:val="21"/>
                <w:szCs w:val="21"/>
                <w:highlight w:val="none"/>
                <w:lang w:val="en-US" w:eastAsia="zh-CN"/>
              </w:rPr>
              <w:t>不足</w:t>
            </w:r>
            <w:r>
              <w:rPr>
                <w:rFonts w:hint="eastAsia" w:ascii="宋体" w:hAnsi="宋体" w:eastAsia="宋体" w:cs="宋体"/>
                <w:color w:val="auto"/>
                <w:sz w:val="21"/>
                <w:szCs w:val="21"/>
                <w:highlight w:val="none"/>
              </w:rPr>
              <w:t>5000平方米</w:t>
            </w:r>
          </w:p>
        </w:tc>
        <w:tc>
          <w:tcPr>
            <w:tcW w:w="1255" w:type="dxa"/>
            <w:noWrap w:val="0"/>
            <w:vAlign w:val="bottom"/>
          </w:tcPr>
          <w:p w14:paraId="60E0C74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r>
      <w:tr w14:paraId="77DD8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714" w:type="dxa"/>
            <w:vMerge w:val="continue"/>
            <w:noWrap w:val="0"/>
            <w:vAlign w:val="center"/>
          </w:tcPr>
          <w:p w14:paraId="297F7FBE">
            <w:pPr>
              <w:rPr>
                <w:rFonts w:hint="eastAsia" w:ascii="宋体" w:hAnsi="宋体" w:eastAsia="宋体" w:cs="宋体"/>
                <w:color w:val="auto"/>
                <w:sz w:val="21"/>
                <w:szCs w:val="21"/>
                <w:highlight w:val="none"/>
              </w:rPr>
            </w:pPr>
          </w:p>
        </w:tc>
        <w:tc>
          <w:tcPr>
            <w:tcW w:w="5589" w:type="dxa"/>
            <w:noWrap w:val="0"/>
            <w:vAlign w:val="center"/>
          </w:tcPr>
          <w:p w14:paraId="7085D696">
            <w:pPr>
              <w:pStyle w:val="11"/>
              <w:keepNext w:val="0"/>
              <w:keepLines w:val="0"/>
              <w:pageBreakBefore w:val="0"/>
              <w:widowControl w:val="0"/>
              <w:shd w:val="clear" w:color="auto" w:fill="auto"/>
              <w:kinsoku/>
              <w:wordWrap/>
              <w:overflowPunct/>
              <w:topLinePunct w:val="0"/>
              <w:autoSpaceDE w:val="0"/>
              <w:autoSpaceDN w:val="0"/>
              <w:bidi w:val="0"/>
              <w:adjustRightInd w:val="0"/>
              <w:snapToGrid w:val="0"/>
              <w:ind w:left="0" w:leftChars="0" w:right="0" w:rightChars="0"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5000平方米以上</w:t>
            </w:r>
            <w:r>
              <w:rPr>
                <w:rFonts w:hint="eastAsia" w:ascii="宋体" w:hAnsi="宋体" w:eastAsia="宋体" w:cs="宋体"/>
                <w:color w:val="auto"/>
                <w:sz w:val="21"/>
                <w:szCs w:val="21"/>
                <w:highlight w:val="none"/>
                <w:lang w:val="en-US" w:eastAsia="zh-CN"/>
              </w:rPr>
              <w:t>不足</w:t>
            </w:r>
            <w:r>
              <w:rPr>
                <w:rFonts w:hint="eastAsia" w:ascii="宋体" w:hAnsi="宋体" w:eastAsia="宋体" w:cs="宋体"/>
                <w:color w:val="auto"/>
                <w:sz w:val="21"/>
                <w:szCs w:val="21"/>
                <w:highlight w:val="none"/>
              </w:rPr>
              <w:t>10000平方米</w:t>
            </w:r>
          </w:p>
        </w:tc>
        <w:tc>
          <w:tcPr>
            <w:tcW w:w="1255" w:type="dxa"/>
            <w:noWrap w:val="0"/>
            <w:vAlign w:val="center"/>
          </w:tcPr>
          <w:p w14:paraId="0D99F70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2EC7E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714" w:type="dxa"/>
            <w:vMerge w:val="continue"/>
            <w:noWrap w:val="0"/>
            <w:vAlign w:val="center"/>
          </w:tcPr>
          <w:p w14:paraId="727E176B">
            <w:pPr>
              <w:rPr>
                <w:rFonts w:hint="eastAsia" w:ascii="宋体" w:hAnsi="宋体" w:eastAsia="宋体" w:cs="宋体"/>
                <w:color w:val="auto"/>
                <w:sz w:val="21"/>
                <w:szCs w:val="21"/>
                <w:highlight w:val="none"/>
              </w:rPr>
            </w:pPr>
          </w:p>
        </w:tc>
        <w:tc>
          <w:tcPr>
            <w:tcW w:w="5589" w:type="dxa"/>
            <w:noWrap w:val="0"/>
            <w:vAlign w:val="center"/>
          </w:tcPr>
          <w:p w14:paraId="2C983756">
            <w:pPr>
              <w:pStyle w:val="11"/>
              <w:keepNext w:val="0"/>
              <w:keepLines w:val="0"/>
              <w:pageBreakBefore w:val="0"/>
              <w:widowControl w:val="0"/>
              <w:shd w:val="clear" w:color="auto" w:fill="auto"/>
              <w:kinsoku/>
              <w:wordWrap/>
              <w:overflowPunct/>
              <w:topLinePunct w:val="0"/>
              <w:autoSpaceDE w:val="0"/>
              <w:autoSpaceDN w:val="0"/>
              <w:bidi w:val="0"/>
              <w:adjustRightInd w:val="0"/>
              <w:snapToGrid w:val="0"/>
              <w:ind w:left="0" w:leftChars="0" w:right="0" w:rightChars="0"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10000平方米以上</w:t>
            </w:r>
            <w:r>
              <w:rPr>
                <w:rFonts w:hint="eastAsia" w:ascii="宋体" w:hAnsi="宋体" w:eastAsia="宋体" w:cs="宋体"/>
                <w:color w:val="auto"/>
                <w:sz w:val="21"/>
                <w:szCs w:val="21"/>
                <w:highlight w:val="none"/>
                <w:lang w:val="en-US" w:eastAsia="zh-CN"/>
              </w:rPr>
              <w:t>不足</w:t>
            </w:r>
            <w:r>
              <w:rPr>
                <w:rFonts w:hint="eastAsia" w:ascii="宋体" w:hAnsi="宋体" w:eastAsia="宋体" w:cs="宋体"/>
                <w:color w:val="auto"/>
                <w:sz w:val="21"/>
                <w:szCs w:val="21"/>
                <w:highlight w:val="none"/>
              </w:rPr>
              <w:t>20000平方米</w:t>
            </w:r>
          </w:p>
        </w:tc>
        <w:tc>
          <w:tcPr>
            <w:tcW w:w="1255" w:type="dxa"/>
            <w:noWrap w:val="0"/>
            <w:vAlign w:val="center"/>
          </w:tcPr>
          <w:p w14:paraId="0DA06D9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r>
      <w:tr w14:paraId="1B9C9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714" w:type="dxa"/>
            <w:vMerge w:val="continue"/>
            <w:noWrap w:val="0"/>
            <w:vAlign w:val="center"/>
          </w:tcPr>
          <w:p w14:paraId="76187F42">
            <w:pPr>
              <w:rPr>
                <w:rFonts w:hint="eastAsia" w:ascii="宋体" w:hAnsi="宋体" w:eastAsia="宋体" w:cs="宋体"/>
                <w:color w:val="auto"/>
                <w:sz w:val="21"/>
                <w:szCs w:val="21"/>
                <w:highlight w:val="none"/>
              </w:rPr>
            </w:pPr>
          </w:p>
        </w:tc>
        <w:tc>
          <w:tcPr>
            <w:tcW w:w="5589" w:type="dxa"/>
            <w:noWrap w:val="0"/>
            <w:vAlign w:val="center"/>
          </w:tcPr>
          <w:p w14:paraId="1A65DC08">
            <w:pPr>
              <w:pStyle w:val="11"/>
              <w:keepNext w:val="0"/>
              <w:keepLines w:val="0"/>
              <w:pageBreakBefore w:val="0"/>
              <w:widowControl w:val="0"/>
              <w:shd w:val="clear" w:color="auto" w:fill="auto"/>
              <w:kinsoku/>
              <w:wordWrap/>
              <w:overflowPunct/>
              <w:topLinePunct w:val="0"/>
              <w:autoSpaceDE w:val="0"/>
              <w:autoSpaceDN w:val="0"/>
              <w:bidi w:val="0"/>
              <w:adjustRightInd w:val="0"/>
              <w:snapToGrid w:val="0"/>
              <w:ind w:left="0" w:leftChars="0" w:right="0" w:rightChars="0"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20000平方米以上</w:t>
            </w:r>
          </w:p>
        </w:tc>
        <w:tc>
          <w:tcPr>
            <w:tcW w:w="1255" w:type="dxa"/>
            <w:noWrap w:val="0"/>
            <w:vAlign w:val="center"/>
          </w:tcPr>
          <w:p w14:paraId="510090E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bl>
    <w:p w14:paraId="1AC34DB6">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92"/>
        <w:gridCol w:w="5841"/>
        <w:gridCol w:w="1311"/>
      </w:tblGrid>
      <w:tr w14:paraId="6D64C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8519" w:type="dxa"/>
            <w:gridSpan w:val="3"/>
            <w:noWrap w:val="0"/>
            <w:vAlign w:val="center"/>
          </w:tcPr>
          <w:p w14:paraId="08D7752B">
            <w:pPr>
              <w:jc w:val="center"/>
              <w:rPr>
                <w:rFonts w:hint="eastAsia" w:ascii="宋体" w:hAnsi="宋体" w:eastAsia="宋体" w:cs="宋体"/>
                <w:bCs/>
                <w:color w:val="auto"/>
                <w:sz w:val="21"/>
                <w:szCs w:val="21"/>
                <w:highlight w:val="none"/>
                <w:lang w:eastAsia="zh-CN"/>
              </w:rPr>
            </w:pPr>
            <w:r>
              <w:rPr>
                <w:rFonts w:hint="eastAsia" w:ascii="宋体" w:hAnsi="宋体" w:eastAsia="宋体" w:cs="宋体"/>
                <w:color w:val="auto"/>
                <w:sz w:val="21"/>
                <w:szCs w:val="21"/>
                <w:highlight w:val="none"/>
                <w:lang w:eastAsia="zh-CN"/>
              </w:rPr>
              <w:t>（七）土壤污染防治类</w:t>
            </w:r>
          </w:p>
        </w:tc>
      </w:tr>
      <w:tr w14:paraId="3D9AA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707" w:type="dxa"/>
            <w:noWrap w:val="0"/>
            <w:vAlign w:val="center"/>
          </w:tcPr>
          <w:p w14:paraId="29522B2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812" w:type="dxa"/>
            <w:gridSpan w:val="2"/>
            <w:noWrap w:val="0"/>
            <w:vAlign w:val="center"/>
          </w:tcPr>
          <w:p w14:paraId="4382C191">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27</w:t>
            </w:r>
          </w:p>
        </w:tc>
      </w:tr>
      <w:tr w14:paraId="455BB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1707" w:type="dxa"/>
            <w:noWrap w:val="0"/>
            <w:vAlign w:val="center"/>
          </w:tcPr>
          <w:p w14:paraId="6CA8FCE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6812" w:type="dxa"/>
            <w:gridSpan w:val="2"/>
            <w:noWrap w:val="0"/>
            <w:vAlign w:val="center"/>
          </w:tcPr>
          <w:p w14:paraId="1ED976A0">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土地使用权人未将土壤污染状况调查报告备案，拒不改正的</w:t>
            </w:r>
          </w:p>
        </w:tc>
      </w:tr>
      <w:tr w14:paraId="074DA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2" w:hRule="atLeast"/>
          <w:jc w:val="center"/>
        </w:trPr>
        <w:tc>
          <w:tcPr>
            <w:tcW w:w="1707" w:type="dxa"/>
            <w:noWrap w:val="0"/>
            <w:vAlign w:val="center"/>
          </w:tcPr>
          <w:p w14:paraId="1A329CD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6812" w:type="dxa"/>
            <w:gridSpan w:val="2"/>
            <w:noWrap w:val="0"/>
            <w:vAlign w:val="center"/>
          </w:tcPr>
          <w:p w14:paraId="10FB9456">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《中华人民共和国生态环境法典》第四百六十二条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土壤污染重点监管单位生产经营用地的用途变更或者在其土地使用权收回、转让前，应当由土地使用权人按照规定进行土壤污染状况调查。土壤污染状况调查报告应当作为不动产登记资料送交地方人民政府不动产登记机构，并报地方人民政府生态环境主管部门备案；土地使用权人未送交土壤污染状况调查报告的，地方人民政府不动产登记机构应当要求其补充提供。</w:t>
            </w:r>
          </w:p>
        </w:tc>
      </w:tr>
      <w:tr w14:paraId="53C0A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0" w:hRule="atLeast"/>
          <w:jc w:val="center"/>
        </w:trPr>
        <w:tc>
          <w:tcPr>
            <w:tcW w:w="1707" w:type="dxa"/>
            <w:noWrap w:val="0"/>
            <w:vAlign w:val="center"/>
          </w:tcPr>
          <w:p w14:paraId="1A94FA5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6812" w:type="dxa"/>
            <w:gridSpan w:val="2"/>
            <w:noWrap w:val="0"/>
            <w:vAlign w:val="center"/>
          </w:tcPr>
          <w:p w14:paraId="74ABD755">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《中华人民共和国生态环境法典》第一千一百六十七条  违反本法规定，有下列情形之一的，由生态环境主管部门、工业和信息化主管部门按照职责分工责令改正；拒不改正的，处一万元以上五万元以下的罚款：</w:t>
            </w:r>
          </w:p>
          <w:p w14:paraId="3B7ED8DE">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（二）土地使用权人未将土壤污染状况调查报告备案。</w:t>
            </w:r>
          </w:p>
        </w:tc>
      </w:tr>
      <w:tr w14:paraId="57840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707" w:type="dxa"/>
            <w:noWrap w:val="0"/>
            <w:vAlign w:val="center"/>
          </w:tcPr>
          <w:p w14:paraId="003ADB3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563" w:type="dxa"/>
            <w:noWrap w:val="0"/>
            <w:vAlign w:val="center"/>
          </w:tcPr>
          <w:p w14:paraId="78C9FF9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249" w:type="dxa"/>
            <w:noWrap w:val="0"/>
            <w:vAlign w:val="center"/>
          </w:tcPr>
          <w:p w14:paraId="4277344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5E13E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707" w:type="dxa"/>
            <w:vMerge w:val="restart"/>
            <w:noWrap w:val="0"/>
            <w:vAlign w:val="center"/>
          </w:tcPr>
          <w:p w14:paraId="7AC7401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涉及面积</w:t>
            </w:r>
          </w:p>
        </w:tc>
        <w:tc>
          <w:tcPr>
            <w:tcW w:w="5563" w:type="dxa"/>
            <w:noWrap w:val="0"/>
            <w:vAlign w:val="center"/>
          </w:tcPr>
          <w:p w14:paraId="10202169">
            <w:pPr>
              <w:pStyle w:val="11"/>
              <w:keepNext w:val="0"/>
              <w:keepLines w:val="0"/>
              <w:pageBreakBefore w:val="0"/>
              <w:widowControl w:val="0"/>
              <w:shd w:val="clear" w:color="auto" w:fill="auto"/>
              <w:kinsoku/>
              <w:wordWrap/>
              <w:overflowPunct/>
              <w:topLinePunct w:val="0"/>
              <w:autoSpaceDE w:val="0"/>
              <w:autoSpaceDN w:val="0"/>
              <w:bidi w:val="0"/>
              <w:adjustRightInd w:val="0"/>
              <w:snapToGrid w:val="0"/>
              <w:ind w:left="0" w:leftChars="0" w:right="0" w:rightChars="0"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不足</w:t>
            </w:r>
            <w:r>
              <w:rPr>
                <w:rFonts w:hint="eastAsia" w:ascii="宋体" w:hAnsi="宋体" w:eastAsia="宋体" w:cs="宋体"/>
                <w:color w:val="auto"/>
                <w:sz w:val="21"/>
                <w:szCs w:val="21"/>
                <w:highlight w:val="none"/>
              </w:rPr>
              <w:t>500平方米</w:t>
            </w:r>
          </w:p>
        </w:tc>
        <w:tc>
          <w:tcPr>
            <w:tcW w:w="1249" w:type="dxa"/>
            <w:noWrap w:val="0"/>
            <w:vAlign w:val="center"/>
          </w:tcPr>
          <w:p w14:paraId="342604C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7809E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707" w:type="dxa"/>
            <w:vMerge w:val="continue"/>
            <w:noWrap w:val="0"/>
            <w:vAlign w:val="center"/>
          </w:tcPr>
          <w:p w14:paraId="301DB328">
            <w:pPr>
              <w:rPr>
                <w:rFonts w:hint="eastAsia" w:ascii="宋体" w:hAnsi="宋体" w:eastAsia="宋体" w:cs="宋体"/>
                <w:color w:val="auto"/>
                <w:sz w:val="21"/>
                <w:szCs w:val="21"/>
                <w:highlight w:val="none"/>
              </w:rPr>
            </w:pPr>
          </w:p>
        </w:tc>
        <w:tc>
          <w:tcPr>
            <w:tcW w:w="5563" w:type="dxa"/>
            <w:noWrap w:val="0"/>
            <w:vAlign w:val="center"/>
          </w:tcPr>
          <w:p w14:paraId="0EFD56A6">
            <w:pPr>
              <w:pStyle w:val="11"/>
              <w:keepNext w:val="0"/>
              <w:keepLines w:val="0"/>
              <w:pageBreakBefore w:val="0"/>
              <w:widowControl w:val="0"/>
              <w:shd w:val="clear" w:color="auto" w:fill="auto"/>
              <w:kinsoku/>
              <w:wordWrap/>
              <w:overflowPunct/>
              <w:topLinePunct w:val="0"/>
              <w:autoSpaceDE w:val="0"/>
              <w:autoSpaceDN w:val="0"/>
              <w:bidi w:val="0"/>
              <w:adjustRightInd w:val="0"/>
              <w:snapToGrid w:val="0"/>
              <w:ind w:left="0" w:leftChars="0" w:right="0" w:rightChars="0"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500平方米以上</w:t>
            </w:r>
            <w:r>
              <w:rPr>
                <w:rFonts w:hint="eastAsia" w:ascii="宋体" w:hAnsi="宋体" w:eastAsia="宋体" w:cs="宋体"/>
                <w:color w:val="auto"/>
                <w:sz w:val="21"/>
                <w:szCs w:val="21"/>
                <w:highlight w:val="none"/>
                <w:lang w:val="en-US" w:eastAsia="zh-CN"/>
              </w:rPr>
              <w:t>不足</w:t>
            </w:r>
            <w:r>
              <w:rPr>
                <w:rFonts w:hint="eastAsia" w:ascii="宋体" w:hAnsi="宋体" w:eastAsia="宋体" w:cs="宋体"/>
                <w:color w:val="auto"/>
                <w:sz w:val="21"/>
                <w:szCs w:val="21"/>
                <w:highlight w:val="none"/>
              </w:rPr>
              <w:t>5000平方米</w:t>
            </w:r>
          </w:p>
        </w:tc>
        <w:tc>
          <w:tcPr>
            <w:tcW w:w="1249" w:type="dxa"/>
            <w:noWrap w:val="0"/>
            <w:vAlign w:val="center"/>
          </w:tcPr>
          <w:p w14:paraId="1B144C9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r>
      <w:tr w14:paraId="41380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707" w:type="dxa"/>
            <w:vMerge w:val="continue"/>
            <w:noWrap w:val="0"/>
            <w:vAlign w:val="center"/>
          </w:tcPr>
          <w:p w14:paraId="71352CE0">
            <w:pPr>
              <w:rPr>
                <w:rFonts w:hint="eastAsia" w:ascii="宋体" w:hAnsi="宋体" w:eastAsia="宋体" w:cs="宋体"/>
                <w:color w:val="auto"/>
                <w:sz w:val="21"/>
                <w:szCs w:val="21"/>
                <w:highlight w:val="none"/>
              </w:rPr>
            </w:pPr>
          </w:p>
        </w:tc>
        <w:tc>
          <w:tcPr>
            <w:tcW w:w="5563" w:type="dxa"/>
            <w:noWrap w:val="0"/>
            <w:vAlign w:val="center"/>
          </w:tcPr>
          <w:p w14:paraId="480461ED">
            <w:pPr>
              <w:pStyle w:val="11"/>
              <w:keepNext w:val="0"/>
              <w:keepLines w:val="0"/>
              <w:pageBreakBefore w:val="0"/>
              <w:widowControl w:val="0"/>
              <w:shd w:val="clear" w:color="auto" w:fill="auto"/>
              <w:kinsoku/>
              <w:wordWrap/>
              <w:overflowPunct/>
              <w:topLinePunct w:val="0"/>
              <w:autoSpaceDE w:val="0"/>
              <w:autoSpaceDN w:val="0"/>
              <w:bidi w:val="0"/>
              <w:adjustRightInd w:val="0"/>
              <w:snapToGrid w:val="0"/>
              <w:ind w:left="0" w:leftChars="0" w:right="0" w:rightChars="0"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5000平方米以上</w:t>
            </w:r>
            <w:r>
              <w:rPr>
                <w:rFonts w:hint="eastAsia" w:ascii="宋体" w:hAnsi="宋体" w:eastAsia="宋体" w:cs="宋体"/>
                <w:color w:val="auto"/>
                <w:sz w:val="21"/>
                <w:szCs w:val="21"/>
                <w:highlight w:val="none"/>
                <w:lang w:val="en-US" w:eastAsia="zh-CN"/>
              </w:rPr>
              <w:t>不足</w:t>
            </w:r>
            <w:r>
              <w:rPr>
                <w:rFonts w:hint="eastAsia" w:ascii="宋体" w:hAnsi="宋体" w:eastAsia="宋体" w:cs="宋体"/>
                <w:color w:val="auto"/>
                <w:sz w:val="21"/>
                <w:szCs w:val="21"/>
                <w:highlight w:val="none"/>
              </w:rPr>
              <w:t>10000平方米</w:t>
            </w:r>
          </w:p>
        </w:tc>
        <w:tc>
          <w:tcPr>
            <w:tcW w:w="1249" w:type="dxa"/>
            <w:noWrap w:val="0"/>
            <w:vAlign w:val="center"/>
          </w:tcPr>
          <w:p w14:paraId="69C569A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7516F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707" w:type="dxa"/>
            <w:vMerge w:val="continue"/>
            <w:noWrap w:val="0"/>
            <w:vAlign w:val="center"/>
          </w:tcPr>
          <w:p w14:paraId="5A43709E">
            <w:pPr>
              <w:rPr>
                <w:rFonts w:hint="eastAsia" w:ascii="宋体" w:hAnsi="宋体" w:eastAsia="宋体" w:cs="宋体"/>
                <w:color w:val="auto"/>
                <w:sz w:val="21"/>
                <w:szCs w:val="21"/>
                <w:highlight w:val="none"/>
              </w:rPr>
            </w:pPr>
          </w:p>
        </w:tc>
        <w:tc>
          <w:tcPr>
            <w:tcW w:w="5563" w:type="dxa"/>
            <w:noWrap w:val="0"/>
            <w:vAlign w:val="center"/>
          </w:tcPr>
          <w:p w14:paraId="0AC99A9C">
            <w:pPr>
              <w:pStyle w:val="11"/>
              <w:keepNext w:val="0"/>
              <w:keepLines w:val="0"/>
              <w:pageBreakBefore w:val="0"/>
              <w:widowControl w:val="0"/>
              <w:shd w:val="clear" w:color="auto" w:fill="auto"/>
              <w:kinsoku/>
              <w:wordWrap/>
              <w:overflowPunct/>
              <w:topLinePunct w:val="0"/>
              <w:autoSpaceDE w:val="0"/>
              <w:autoSpaceDN w:val="0"/>
              <w:bidi w:val="0"/>
              <w:adjustRightInd w:val="0"/>
              <w:snapToGrid w:val="0"/>
              <w:ind w:left="0" w:leftChars="0" w:right="0" w:rightChars="0"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10000平方米以上</w:t>
            </w:r>
            <w:r>
              <w:rPr>
                <w:rFonts w:hint="eastAsia" w:ascii="宋体" w:hAnsi="宋体" w:eastAsia="宋体" w:cs="宋体"/>
                <w:color w:val="auto"/>
                <w:sz w:val="21"/>
                <w:szCs w:val="21"/>
                <w:highlight w:val="none"/>
                <w:lang w:val="en-US" w:eastAsia="zh-CN"/>
              </w:rPr>
              <w:t>不足</w:t>
            </w:r>
            <w:r>
              <w:rPr>
                <w:rFonts w:hint="eastAsia" w:ascii="宋体" w:hAnsi="宋体" w:eastAsia="宋体" w:cs="宋体"/>
                <w:color w:val="auto"/>
                <w:sz w:val="21"/>
                <w:szCs w:val="21"/>
                <w:highlight w:val="none"/>
              </w:rPr>
              <w:t>20000平方米</w:t>
            </w:r>
          </w:p>
        </w:tc>
        <w:tc>
          <w:tcPr>
            <w:tcW w:w="1249" w:type="dxa"/>
            <w:noWrap w:val="0"/>
            <w:vAlign w:val="center"/>
          </w:tcPr>
          <w:p w14:paraId="573E341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r>
      <w:tr w14:paraId="5DB4C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707" w:type="dxa"/>
            <w:vMerge w:val="continue"/>
            <w:noWrap w:val="0"/>
            <w:vAlign w:val="center"/>
          </w:tcPr>
          <w:p w14:paraId="5A62355A">
            <w:pPr>
              <w:rPr>
                <w:rFonts w:hint="eastAsia" w:ascii="宋体" w:hAnsi="宋体" w:eastAsia="宋体" w:cs="宋体"/>
                <w:color w:val="auto"/>
                <w:sz w:val="21"/>
                <w:szCs w:val="21"/>
                <w:highlight w:val="none"/>
              </w:rPr>
            </w:pPr>
          </w:p>
        </w:tc>
        <w:tc>
          <w:tcPr>
            <w:tcW w:w="5563" w:type="dxa"/>
            <w:noWrap w:val="0"/>
            <w:vAlign w:val="center"/>
          </w:tcPr>
          <w:p w14:paraId="30CD03E3">
            <w:pPr>
              <w:pStyle w:val="11"/>
              <w:keepNext w:val="0"/>
              <w:keepLines w:val="0"/>
              <w:pageBreakBefore w:val="0"/>
              <w:widowControl w:val="0"/>
              <w:shd w:val="clear" w:color="auto" w:fill="auto"/>
              <w:kinsoku/>
              <w:wordWrap/>
              <w:overflowPunct/>
              <w:topLinePunct w:val="0"/>
              <w:autoSpaceDE w:val="0"/>
              <w:autoSpaceDN w:val="0"/>
              <w:bidi w:val="0"/>
              <w:adjustRightInd w:val="0"/>
              <w:snapToGrid w:val="0"/>
              <w:ind w:left="0" w:leftChars="0" w:right="0" w:rightChars="0"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20000平方米以上</w:t>
            </w:r>
          </w:p>
        </w:tc>
        <w:tc>
          <w:tcPr>
            <w:tcW w:w="1249" w:type="dxa"/>
            <w:noWrap w:val="0"/>
            <w:vAlign w:val="center"/>
          </w:tcPr>
          <w:p w14:paraId="7D0A7D1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bl>
    <w:p w14:paraId="2EA00840">
      <w:pPr>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br w:type="page"/>
      </w:r>
    </w:p>
    <w:tbl>
      <w:tblPr>
        <w:tblStyle w:val="8"/>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801"/>
        <w:gridCol w:w="5509"/>
        <w:gridCol w:w="1638"/>
      </w:tblGrid>
      <w:tr w14:paraId="55AB05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948" w:type="dxa"/>
            <w:gridSpan w:val="3"/>
            <w:tcBorders>
              <w:top w:val="single" w:color="auto" w:sz="4" w:space="0"/>
              <w:left w:val="single" w:color="auto" w:sz="4" w:space="0"/>
              <w:bottom w:val="single" w:color="auto" w:sz="4" w:space="0"/>
              <w:right w:val="single" w:color="auto" w:sz="4" w:space="0"/>
            </w:tcBorders>
            <w:noWrap w:val="0"/>
            <w:vAlign w:val="center"/>
          </w:tcPr>
          <w:p w14:paraId="542D8255">
            <w:pPr>
              <w:adjustRightInd w:val="0"/>
              <w:jc w:val="center"/>
              <w:rPr>
                <w:rFonts w:hint="eastAsia" w:ascii="宋体" w:cs="宋体"/>
                <w:color w:val="auto"/>
                <w:szCs w:val="21"/>
              </w:rPr>
            </w:pPr>
            <w:r>
              <w:rPr>
                <w:rFonts w:hint="eastAsia" w:ascii="宋体"/>
                <w:bCs/>
                <w:color w:val="auto"/>
              </w:rPr>
              <w:t>（七）土壤污染防治类</w:t>
            </w:r>
          </w:p>
        </w:tc>
      </w:tr>
      <w:tr w14:paraId="512051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18" w:hRule="atLeast"/>
          <w:jc w:val="center"/>
        </w:trPr>
        <w:tc>
          <w:tcPr>
            <w:tcW w:w="1801" w:type="dxa"/>
            <w:tcBorders>
              <w:top w:val="single" w:color="auto" w:sz="4" w:space="0"/>
              <w:left w:val="single" w:color="auto" w:sz="4" w:space="0"/>
              <w:bottom w:val="single" w:color="auto" w:sz="4" w:space="0"/>
              <w:right w:val="single" w:color="auto" w:sz="4" w:space="0"/>
            </w:tcBorders>
            <w:noWrap w:val="0"/>
            <w:vAlign w:val="center"/>
          </w:tcPr>
          <w:p w14:paraId="1A335A0F">
            <w:pPr>
              <w:adjustRightInd w:val="0"/>
              <w:jc w:val="center"/>
              <w:rPr>
                <w:rFonts w:hint="eastAsia" w:ascii="宋体" w:cs="宋体"/>
                <w:color w:val="auto"/>
                <w:szCs w:val="21"/>
              </w:rPr>
            </w:pPr>
            <w:r>
              <w:rPr>
                <w:rFonts w:hint="eastAsia" w:ascii="宋体" w:cs="宋体"/>
                <w:color w:val="auto"/>
                <w:szCs w:val="21"/>
              </w:rPr>
              <w:t>序号</w:t>
            </w:r>
          </w:p>
        </w:tc>
        <w:tc>
          <w:tcPr>
            <w:tcW w:w="7147" w:type="dxa"/>
            <w:gridSpan w:val="2"/>
            <w:tcBorders>
              <w:top w:val="single" w:color="auto" w:sz="4" w:space="0"/>
              <w:left w:val="single" w:color="auto" w:sz="4" w:space="0"/>
              <w:bottom w:val="single" w:color="auto" w:sz="4" w:space="0"/>
              <w:right w:val="single" w:color="auto" w:sz="4" w:space="0"/>
            </w:tcBorders>
            <w:noWrap w:val="0"/>
            <w:vAlign w:val="center"/>
          </w:tcPr>
          <w:p w14:paraId="40D4F448">
            <w:pPr>
              <w:adjustRightInd w:val="0"/>
              <w:jc w:val="center"/>
              <w:rPr>
                <w:rFonts w:hint="eastAsia" w:ascii="宋体" w:eastAsia="宋体" w:cs="宋体"/>
                <w:color w:val="auto"/>
                <w:szCs w:val="21"/>
                <w:lang w:val="en-US" w:eastAsia="zh-CN"/>
              </w:rPr>
            </w:pPr>
            <w:r>
              <w:rPr>
                <w:rFonts w:hint="eastAsia" w:ascii="宋体" w:cs="宋体"/>
                <w:color w:val="auto"/>
                <w:szCs w:val="21"/>
              </w:rPr>
              <w:t>2</w:t>
            </w:r>
            <w:r>
              <w:rPr>
                <w:rFonts w:hint="eastAsia" w:ascii="宋体" w:cs="宋体"/>
                <w:color w:val="auto"/>
                <w:szCs w:val="21"/>
                <w:lang w:val="en-US" w:eastAsia="zh-CN"/>
              </w:rPr>
              <w:t>8</w:t>
            </w:r>
          </w:p>
        </w:tc>
      </w:tr>
      <w:tr w14:paraId="05086A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801" w:type="dxa"/>
            <w:tcBorders>
              <w:top w:val="single" w:color="auto" w:sz="4" w:space="0"/>
              <w:left w:val="single" w:color="auto" w:sz="4" w:space="0"/>
              <w:bottom w:val="single" w:color="auto" w:sz="4" w:space="0"/>
              <w:right w:val="single" w:color="auto" w:sz="4" w:space="0"/>
            </w:tcBorders>
            <w:noWrap w:val="0"/>
            <w:vAlign w:val="center"/>
          </w:tcPr>
          <w:p w14:paraId="7686C214">
            <w:pPr>
              <w:adjustRightInd w:val="0"/>
              <w:jc w:val="center"/>
              <w:rPr>
                <w:rFonts w:hint="eastAsia" w:ascii="宋体" w:cs="宋体"/>
                <w:color w:val="auto"/>
                <w:szCs w:val="21"/>
              </w:rPr>
            </w:pPr>
            <w:r>
              <w:rPr>
                <w:rFonts w:hint="eastAsia" w:ascii="宋体" w:cs="宋体"/>
                <w:color w:val="auto"/>
                <w:szCs w:val="21"/>
              </w:rPr>
              <w:t>违法行为</w:t>
            </w:r>
          </w:p>
        </w:tc>
        <w:tc>
          <w:tcPr>
            <w:tcW w:w="7147" w:type="dxa"/>
            <w:gridSpan w:val="2"/>
            <w:tcBorders>
              <w:top w:val="single" w:color="auto" w:sz="4" w:space="0"/>
              <w:left w:val="single" w:color="auto" w:sz="4" w:space="0"/>
              <w:bottom w:val="single" w:color="auto" w:sz="4" w:space="0"/>
              <w:right w:val="single" w:color="auto" w:sz="4" w:space="0"/>
            </w:tcBorders>
            <w:noWrap w:val="0"/>
            <w:vAlign w:val="center"/>
          </w:tcPr>
          <w:p w14:paraId="23D5CD30">
            <w:pPr>
              <w:adjustRightInd w:val="0"/>
              <w:ind w:firstLine="420" w:firstLineChars="200"/>
              <w:jc w:val="both"/>
              <w:rPr>
                <w:rFonts w:hint="eastAsia" w:ascii="宋体" w:cs="宋体"/>
                <w:color w:val="auto"/>
                <w:szCs w:val="21"/>
              </w:rPr>
            </w:pPr>
            <w:r>
              <w:rPr>
                <w:rFonts w:hint="eastAsia" w:ascii="宋体" w:cs="宋体"/>
                <w:color w:val="auto"/>
                <w:szCs w:val="21"/>
              </w:rPr>
              <w:t>拒不配合有关部门开展土壤污染状况普查、详查、监测的；破坏或者阻挠土壤污染状况调查、风险评估、风险管控和修复等活动的；损毁、移动、侵占土壤污染状况监测设施、设备、标志、标识的</w:t>
            </w:r>
          </w:p>
        </w:tc>
      </w:tr>
      <w:tr w14:paraId="3ED82E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cBorders>
            <w:noWrap w:val="0"/>
            <w:vAlign w:val="center"/>
          </w:tcPr>
          <w:p w14:paraId="3A8039EC">
            <w:pPr>
              <w:adjustRightInd w:val="0"/>
              <w:jc w:val="center"/>
              <w:rPr>
                <w:rFonts w:hint="eastAsia" w:ascii="宋体" w:cs="宋体"/>
                <w:color w:val="auto"/>
                <w:szCs w:val="21"/>
              </w:rPr>
            </w:pPr>
            <w:r>
              <w:rPr>
                <w:rFonts w:hint="eastAsia" w:ascii="宋体" w:cs="宋体"/>
                <w:color w:val="auto"/>
                <w:szCs w:val="21"/>
              </w:rPr>
              <w:t>违反条款</w:t>
            </w:r>
          </w:p>
        </w:tc>
        <w:tc>
          <w:tcPr>
            <w:tcW w:w="7147" w:type="dxa"/>
            <w:gridSpan w:val="2"/>
            <w:tcBorders>
              <w:top w:val="single" w:color="auto" w:sz="4" w:space="0"/>
              <w:left w:val="single" w:color="auto" w:sz="4" w:space="0"/>
              <w:bottom w:val="single" w:color="auto" w:sz="4" w:space="0"/>
              <w:right w:val="single" w:color="auto" w:sz="4" w:space="0"/>
            </w:tcBorders>
            <w:noWrap w:val="0"/>
            <w:vAlign w:val="center"/>
          </w:tcPr>
          <w:p w14:paraId="378F7A04">
            <w:pPr>
              <w:adjustRightInd w:val="0"/>
              <w:ind w:firstLine="420" w:firstLineChars="200"/>
              <w:jc w:val="both"/>
              <w:rPr>
                <w:rFonts w:hint="eastAsia" w:ascii="宋体" w:cs="宋体"/>
                <w:color w:val="auto"/>
                <w:szCs w:val="21"/>
              </w:rPr>
            </w:pPr>
            <w:r>
              <w:rPr>
                <w:rFonts w:hint="eastAsia" w:ascii="宋体" w:cs="宋体"/>
                <w:color w:val="auto"/>
                <w:szCs w:val="21"/>
              </w:rPr>
              <w:t>《福建省土壤污染防治条例》第三十九条第一款</w:t>
            </w:r>
            <w:r>
              <w:rPr>
                <w:rFonts w:hint="eastAsia" w:ascii="宋体" w:cs="宋体"/>
                <w:color w:val="auto"/>
                <w:szCs w:val="21"/>
                <w:lang w:val="en-US" w:eastAsia="zh-CN"/>
              </w:rPr>
              <w:t xml:space="preserve"> </w:t>
            </w:r>
            <w:r>
              <w:rPr>
                <w:rFonts w:hint="eastAsia" w:ascii="宋体" w:cs="宋体"/>
                <w:color w:val="auto"/>
                <w:szCs w:val="21"/>
              </w:rPr>
              <w:t>县级以上地方人民政府有关部门开展土壤污染状况普查、详查、监测、现场检查，需要到相关地块取样时，土地使用权人应当予以配合。</w:t>
            </w:r>
          </w:p>
          <w:p w14:paraId="3D831A79">
            <w:pPr>
              <w:adjustRightInd w:val="0"/>
              <w:ind w:firstLine="420" w:firstLineChars="200"/>
              <w:jc w:val="both"/>
              <w:rPr>
                <w:rFonts w:hint="eastAsia" w:ascii="宋体" w:cs="宋体"/>
                <w:color w:val="auto"/>
                <w:szCs w:val="21"/>
              </w:rPr>
            </w:pPr>
            <w:r>
              <w:rPr>
                <w:rFonts w:hint="eastAsia" w:ascii="宋体" w:cs="宋体"/>
                <w:color w:val="auto"/>
                <w:szCs w:val="21"/>
              </w:rPr>
              <w:t>《福建省土壤污染防治条例》第四十条</w:t>
            </w:r>
            <w:r>
              <w:rPr>
                <w:rFonts w:hint="eastAsia" w:ascii="宋体" w:cs="宋体"/>
                <w:color w:val="auto"/>
                <w:szCs w:val="21"/>
                <w:lang w:val="en-US" w:eastAsia="zh-CN"/>
              </w:rPr>
              <w:t xml:space="preserve"> </w:t>
            </w:r>
            <w:r>
              <w:rPr>
                <w:rFonts w:hint="eastAsia" w:ascii="宋体" w:cs="宋体"/>
                <w:color w:val="auto"/>
                <w:szCs w:val="21"/>
              </w:rPr>
              <w:t>任何组织和个人不得破坏或者阻挠有关部门或者单位依法开展土壤污染状况调查、风险评估、风险管控和修复等活动，不得损毁、移动、侵占土壤污染状况监测设施、设备、标志、标识。</w:t>
            </w:r>
          </w:p>
        </w:tc>
      </w:tr>
      <w:tr w14:paraId="52D295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cBorders>
            <w:noWrap w:val="0"/>
            <w:vAlign w:val="center"/>
          </w:tcPr>
          <w:p w14:paraId="77085F0F">
            <w:pPr>
              <w:adjustRightInd w:val="0"/>
              <w:jc w:val="center"/>
              <w:rPr>
                <w:rFonts w:hint="eastAsia" w:ascii="宋体" w:cs="宋体"/>
                <w:color w:val="auto"/>
                <w:szCs w:val="21"/>
              </w:rPr>
            </w:pPr>
            <w:r>
              <w:rPr>
                <w:rFonts w:hint="eastAsia" w:ascii="宋体" w:cs="宋体"/>
                <w:color w:val="auto"/>
                <w:szCs w:val="21"/>
              </w:rPr>
              <w:t>处罚依据</w:t>
            </w:r>
          </w:p>
        </w:tc>
        <w:tc>
          <w:tcPr>
            <w:tcW w:w="7147" w:type="dxa"/>
            <w:gridSpan w:val="2"/>
            <w:tcBorders>
              <w:top w:val="single" w:color="auto" w:sz="4" w:space="0"/>
              <w:left w:val="single" w:color="auto" w:sz="4" w:space="0"/>
              <w:bottom w:val="single" w:color="auto" w:sz="4" w:space="0"/>
              <w:right w:val="single" w:color="auto" w:sz="4" w:space="0"/>
            </w:tcBorders>
            <w:noWrap w:val="0"/>
            <w:vAlign w:val="center"/>
          </w:tcPr>
          <w:p w14:paraId="0594171A">
            <w:pPr>
              <w:adjustRightInd w:val="0"/>
              <w:ind w:firstLine="420" w:firstLineChars="200"/>
              <w:jc w:val="both"/>
              <w:rPr>
                <w:rFonts w:hint="eastAsia" w:ascii="宋体" w:cs="宋体"/>
                <w:color w:val="auto"/>
                <w:szCs w:val="21"/>
              </w:rPr>
            </w:pPr>
            <w:r>
              <w:rPr>
                <w:rFonts w:hint="eastAsia" w:ascii="宋体" w:cs="宋体"/>
                <w:color w:val="auto"/>
                <w:szCs w:val="21"/>
              </w:rPr>
              <w:t>《福建省土壤污染防治条例》第四十五条</w:t>
            </w:r>
            <w:r>
              <w:rPr>
                <w:rFonts w:hint="eastAsia" w:ascii="宋体" w:cs="宋体"/>
                <w:color w:val="auto"/>
                <w:szCs w:val="21"/>
                <w:lang w:val="en-US" w:eastAsia="zh-CN"/>
              </w:rPr>
              <w:t xml:space="preserve"> </w:t>
            </w:r>
            <w:r>
              <w:rPr>
                <w:rFonts w:hint="eastAsia" w:ascii="宋体" w:cs="宋体"/>
                <w:color w:val="auto"/>
                <w:szCs w:val="21"/>
              </w:rPr>
              <w:t>违反本条例第三十九条第一款、第四十条规定，有下列情形之一的，由省、设区的市人民政府生态环境主管部门责令改正；拒不改正的，处五千元以上二万元以下的罚款；情节严重的，处二万元以上十万元以下的罚款；构成违反治安管理行为的，依法给予治安管理处罚；造成损失的，依法承担赔偿责任：</w:t>
            </w:r>
          </w:p>
          <w:p w14:paraId="5747A1CF">
            <w:pPr>
              <w:adjustRightInd w:val="0"/>
              <w:ind w:firstLine="420" w:firstLineChars="200"/>
              <w:jc w:val="both"/>
              <w:rPr>
                <w:rFonts w:hint="eastAsia" w:ascii="宋体" w:cs="宋体"/>
                <w:color w:val="auto"/>
                <w:szCs w:val="21"/>
              </w:rPr>
            </w:pPr>
            <w:r>
              <w:rPr>
                <w:rFonts w:hint="eastAsia" w:ascii="宋体" w:cs="宋体"/>
                <w:color w:val="auto"/>
                <w:szCs w:val="21"/>
              </w:rPr>
              <w:t>（一）拒不配合有关部门开展土壤污染状况普查、详查、监测的；</w:t>
            </w:r>
          </w:p>
          <w:p w14:paraId="5CFD8BD9">
            <w:pPr>
              <w:adjustRightInd w:val="0"/>
              <w:ind w:firstLine="420" w:firstLineChars="200"/>
              <w:jc w:val="both"/>
              <w:rPr>
                <w:rFonts w:hint="eastAsia" w:ascii="宋体" w:cs="宋体"/>
                <w:color w:val="auto"/>
                <w:szCs w:val="21"/>
              </w:rPr>
            </w:pPr>
            <w:r>
              <w:rPr>
                <w:rFonts w:hint="eastAsia" w:ascii="宋体" w:cs="宋体"/>
                <w:color w:val="auto"/>
                <w:szCs w:val="21"/>
              </w:rPr>
              <w:t>（二）破坏或者阻挠土壤污染状况调查、风险评估、风险管控和修复等活动的；</w:t>
            </w:r>
          </w:p>
          <w:p w14:paraId="5E321A12">
            <w:pPr>
              <w:adjustRightInd w:val="0"/>
              <w:ind w:firstLine="420" w:firstLineChars="200"/>
              <w:jc w:val="both"/>
              <w:rPr>
                <w:rFonts w:hint="eastAsia" w:ascii="宋体" w:cs="宋体"/>
                <w:color w:val="auto"/>
                <w:szCs w:val="21"/>
              </w:rPr>
            </w:pPr>
            <w:r>
              <w:rPr>
                <w:rFonts w:hint="eastAsia" w:ascii="宋体" w:cs="宋体"/>
                <w:color w:val="auto"/>
                <w:szCs w:val="21"/>
              </w:rPr>
              <w:t>（三）损毁、移动、侵占土壤污染状况标志、标识的。</w:t>
            </w:r>
          </w:p>
        </w:tc>
      </w:tr>
      <w:tr w14:paraId="51AF4A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cBorders>
            <w:noWrap w:val="0"/>
            <w:vAlign w:val="center"/>
          </w:tcPr>
          <w:p w14:paraId="38465909">
            <w:pPr>
              <w:adjustRightInd w:val="0"/>
              <w:jc w:val="center"/>
              <w:rPr>
                <w:rFonts w:hint="eastAsia" w:ascii="宋体" w:cs="宋体"/>
                <w:color w:val="auto"/>
                <w:szCs w:val="21"/>
              </w:rPr>
            </w:pPr>
            <w:r>
              <w:rPr>
                <w:rFonts w:hint="eastAsia" w:ascii="宋体" w:cs="宋体"/>
                <w:color w:val="auto"/>
                <w:szCs w:val="21"/>
              </w:rPr>
              <w:t>裁量因素</w:t>
            </w:r>
          </w:p>
        </w:tc>
        <w:tc>
          <w:tcPr>
            <w:tcW w:w="5509" w:type="dxa"/>
            <w:tcBorders>
              <w:top w:val="single" w:color="auto" w:sz="4" w:space="0"/>
              <w:left w:val="single" w:color="auto" w:sz="4" w:space="0"/>
              <w:bottom w:val="single" w:color="auto" w:sz="4" w:space="0"/>
              <w:right w:val="single" w:color="auto" w:sz="4" w:space="0"/>
            </w:tcBorders>
            <w:noWrap w:val="0"/>
            <w:vAlign w:val="center"/>
          </w:tcPr>
          <w:p w14:paraId="5FB1DD9D">
            <w:pPr>
              <w:adjustRightInd w:val="0"/>
              <w:jc w:val="center"/>
              <w:rPr>
                <w:rFonts w:hint="eastAsia" w:ascii="宋体" w:cs="宋体"/>
                <w:color w:val="auto"/>
                <w:szCs w:val="21"/>
              </w:rPr>
            </w:pPr>
            <w:r>
              <w:rPr>
                <w:rFonts w:hint="eastAsia" w:ascii="宋体" w:cs="宋体"/>
                <w:color w:val="auto"/>
                <w:szCs w:val="21"/>
              </w:rPr>
              <w:t>裁量因子</w:t>
            </w:r>
          </w:p>
        </w:tc>
        <w:tc>
          <w:tcPr>
            <w:tcW w:w="1638" w:type="dxa"/>
            <w:tcBorders>
              <w:top w:val="single" w:color="auto" w:sz="4" w:space="0"/>
              <w:left w:val="single" w:color="auto" w:sz="4" w:space="0"/>
              <w:bottom w:val="single" w:color="auto" w:sz="4" w:space="0"/>
              <w:right w:val="single" w:color="auto" w:sz="4" w:space="0"/>
            </w:tcBorders>
            <w:noWrap w:val="0"/>
            <w:vAlign w:val="center"/>
          </w:tcPr>
          <w:p w14:paraId="3D2E1994">
            <w:pPr>
              <w:adjustRightInd w:val="0"/>
              <w:jc w:val="center"/>
              <w:rPr>
                <w:rFonts w:hint="eastAsia" w:ascii="宋体" w:cs="宋体"/>
                <w:color w:val="auto"/>
                <w:szCs w:val="21"/>
              </w:rPr>
            </w:pPr>
            <w:r>
              <w:rPr>
                <w:rFonts w:hint="eastAsia" w:ascii="宋体" w:cs="宋体"/>
                <w:color w:val="auto"/>
                <w:szCs w:val="21"/>
              </w:rPr>
              <w:t>裁量等级</w:t>
            </w:r>
          </w:p>
        </w:tc>
      </w:tr>
      <w:tr w14:paraId="141F17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01" w:type="dxa"/>
            <w:vMerge w:val="restart"/>
            <w:tcBorders>
              <w:top w:val="single" w:color="auto" w:sz="4" w:space="0"/>
              <w:left w:val="single" w:color="auto" w:sz="4" w:space="0"/>
              <w:bottom w:val="single" w:color="auto" w:sz="4" w:space="0"/>
              <w:right w:val="single" w:color="auto" w:sz="4" w:space="0"/>
            </w:tcBorders>
            <w:noWrap w:val="0"/>
            <w:vAlign w:val="center"/>
          </w:tcPr>
          <w:p w14:paraId="4BCC490E">
            <w:pPr>
              <w:adjustRightInd w:val="0"/>
              <w:jc w:val="center"/>
              <w:rPr>
                <w:rFonts w:hint="eastAsia" w:ascii="宋体" w:cs="宋体"/>
                <w:color w:val="auto"/>
                <w:szCs w:val="21"/>
              </w:rPr>
            </w:pPr>
            <w:r>
              <w:rPr>
                <w:rFonts w:hint="eastAsia" w:ascii="宋体" w:cs="宋体"/>
                <w:color w:val="auto"/>
                <w:szCs w:val="21"/>
              </w:rPr>
              <w:t>违法事实</w:t>
            </w:r>
          </w:p>
        </w:tc>
        <w:tc>
          <w:tcPr>
            <w:tcW w:w="5509" w:type="dxa"/>
            <w:tcBorders>
              <w:top w:val="single" w:color="auto" w:sz="4" w:space="0"/>
              <w:left w:val="single" w:color="auto" w:sz="4" w:space="0"/>
              <w:bottom w:val="single" w:color="auto" w:sz="4" w:space="0"/>
              <w:right w:val="single" w:color="auto" w:sz="4" w:space="0"/>
            </w:tcBorders>
            <w:noWrap w:val="0"/>
            <w:vAlign w:val="center"/>
          </w:tcPr>
          <w:p w14:paraId="2D577A20">
            <w:pPr>
              <w:adjustRightInd w:val="0"/>
              <w:ind w:firstLine="420" w:firstLineChars="200"/>
              <w:jc w:val="both"/>
              <w:rPr>
                <w:rFonts w:hint="eastAsia" w:ascii="宋体" w:cs="宋体"/>
                <w:color w:val="auto"/>
                <w:szCs w:val="21"/>
              </w:rPr>
            </w:pPr>
            <w:r>
              <w:rPr>
                <w:rFonts w:hint="eastAsia" w:ascii="宋体" w:cs="宋体"/>
                <w:color w:val="auto"/>
                <w:szCs w:val="21"/>
              </w:rPr>
              <w:t>迟滞10分钟以上30分钟以内</w:t>
            </w:r>
          </w:p>
        </w:tc>
        <w:tc>
          <w:tcPr>
            <w:tcW w:w="1638" w:type="dxa"/>
            <w:tcBorders>
              <w:top w:val="single" w:color="auto" w:sz="4" w:space="0"/>
              <w:left w:val="single" w:color="auto" w:sz="4" w:space="0"/>
              <w:bottom w:val="single" w:color="auto" w:sz="4" w:space="0"/>
              <w:right w:val="single" w:color="auto" w:sz="4" w:space="0"/>
            </w:tcBorders>
            <w:noWrap w:val="0"/>
            <w:vAlign w:val="center"/>
          </w:tcPr>
          <w:p w14:paraId="3C468539">
            <w:pPr>
              <w:adjustRightInd w:val="0"/>
              <w:jc w:val="center"/>
              <w:rPr>
                <w:rFonts w:hint="eastAsia" w:ascii="宋体" w:cs="宋体"/>
                <w:color w:val="auto"/>
                <w:szCs w:val="21"/>
              </w:rPr>
            </w:pPr>
            <w:r>
              <w:rPr>
                <w:rFonts w:hint="eastAsia" w:ascii="宋体" w:cs="宋体"/>
                <w:color w:val="auto"/>
                <w:szCs w:val="21"/>
              </w:rPr>
              <w:t>1</w:t>
            </w:r>
          </w:p>
        </w:tc>
      </w:tr>
      <w:tr w14:paraId="3DDB05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01" w:type="dxa"/>
            <w:vMerge w:val="continue"/>
            <w:tcBorders>
              <w:top w:val="single" w:color="auto" w:sz="4" w:space="0"/>
              <w:left w:val="single" w:color="auto" w:sz="4" w:space="0"/>
              <w:bottom w:val="single" w:color="auto" w:sz="4" w:space="0"/>
              <w:right w:val="single" w:color="auto" w:sz="4" w:space="0"/>
            </w:tcBorders>
            <w:noWrap w:val="0"/>
            <w:vAlign w:val="center"/>
          </w:tcPr>
          <w:p w14:paraId="745EC08B">
            <w:pPr>
              <w:adjustRightInd w:val="0"/>
              <w:jc w:val="center"/>
              <w:rPr>
                <w:color w:val="auto"/>
              </w:rPr>
            </w:pPr>
          </w:p>
        </w:tc>
        <w:tc>
          <w:tcPr>
            <w:tcW w:w="5509" w:type="dxa"/>
            <w:tcBorders>
              <w:top w:val="single" w:color="auto" w:sz="4" w:space="0"/>
              <w:left w:val="single" w:color="auto" w:sz="4" w:space="0"/>
              <w:bottom w:val="single" w:color="auto" w:sz="4" w:space="0"/>
              <w:right w:val="single" w:color="auto" w:sz="4" w:space="0"/>
            </w:tcBorders>
            <w:noWrap w:val="0"/>
            <w:vAlign w:val="center"/>
          </w:tcPr>
          <w:p w14:paraId="66496B54">
            <w:pPr>
              <w:adjustRightInd w:val="0"/>
              <w:ind w:firstLine="420" w:firstLineChars="200"/>
              <w:jc w:val="both"/>
              <w:rPr>
                <w:rFonts w:ascii="宋体" w:cs="宋体"/>
                <w:color w:val="auto"/>
                <w:szCs w:val="21"/>
              </w:rPr>
            </w:pPr>
            <w:r>
              <w:rPr>
                <w:rFonts w:hint="eastAsia" w:ascii="宋体" w:cs="宋体"/>
                <w:color w:val="auto"/>
                <w:szCs w:val="21"/>
              </w:rPr>
              <w:t>迟滞超过半小时或拒绝配合的</w:t>
            </w:r>
          </w:p>
        </w:tc>
        <w:tc>
          <w:tcPr>
            <w:tcW w:w="1638" w:type="dxa"/>
            <w:tcBorders>
              <w:top w:val="single" w:color="auto" w:sz="4" w:space="0"/>
              <w:left w:val="single" w:color="auto" w:sz="4" w:space="0"/>
              <w:bottom w:val="single" w:color="auto" w:sz="4" w:space="0"/>
              <w:right w:val="single" w:color="auto" w:sz="4" w:space="0"/>
            </w:tcBorders>
            <w:noWrap w:val="0"/>
            <w:vAlign w:val="center"/>
          </w:tcPr>
          <w:p w14:paraId="747080D9">
            <w:pPr>
              <w:adjustRightInd w:val="0"/>
              <w:jc w:val="center"/>
              <w:rPr>
                <w:rFonts w:hint="eastAsia" w:ascii="宋体" w:cs="宋体"/>
                <w:color w:val="auto"/>
                <w:szCs w:val="21"/>
              </w:rPr>
            </w:pPr>
            <w:r>
              <w:rPr>
                <w:rFonts w:hint="eastAsia" w:ascii="宋体" w:cs="宋体"/>
                <w:color w:val="auto"/>
                <w:szCs w:val="21"/>
              </w:rPr>
              <w:t>2</w:t>
            </w:r>
          </w:p>
        </w:tc>
      </w:tr>
      <w:tr w14:paraId="705387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01" w:type="dxa"/>
            <w:vMerge w:val="continue"/>
            <w:tcBorders>
              <w:top w:val="single" w:color="auto" w:sz="4" w:space="0"/>
              <w:left w:val="single" w:color="auto" w:sz="4" w:space="0"/>
              <w:bottom w:val="single" w:color="auto" w:sz="4" w:space="0"/>
              <w:right w:val="single" w:color="auto" w:sz="4" w:space="0"/>
            </w:tcBorders>
            <w:noWrap w:val="0"/>
            <w:vAlign w:val="center"/>
          </w:tcPr>
          <w:p w14:paraId="009F6C6E">
            <w:pPr>
              <w:adjustRightInd w:val="0"/>
              <w:jc w:val="center"/>
              <w:rPr>
                <w:color w:val="auto"/>
              </w:rPr>
            </w:pPr>
          </w:p>
        </w:tc>
        <w:tc>
          <w:tcPr>
            <w:tcW w:w="5509" w:type="dxa"/>
            <w:tcBorders>
              <w:top w:val="single" w:color="auto" w:sz="4" w:space="0"/>
              <w:left w:val="single" w:color="auto" w:sz="4" w:space="0"/>
              <w:bottom w:val="single" w:color="auto" w:sz="4" w:space="0"/>
              <w:right w:val="single" w:color="auto" w:sz="4" w:space="0"/>
            </w:tcBorders>
            <w:noWrap w:val="0"/>
            <w:vAlign w:val="center"/>
          </w:tcPr>
          <w:p w14:paraId="12175438">
            <w:pPr>
              <w:adjustRightInd w:val="0"/>
              <w:ind w:firstLine="420" w:firstLineChars="200"/>
              <w:jc w:val="both"/>
              <w:rPr>
                <w:rFonts w:ascii="宋体" w:cs="宋体"/>
                <w:color w:val="auto"/>
                <w:szCs w:val="21"/>
              </w:rPr>
            </w:pPr>
            <w:r>
              <w:rPr>
                <w:rFonts w:hint="eastAsia" w:ascii="宋体" w:cs="宋体"/>
                <w:color w:val="auto"/>
                <w:szCs w:val="21"/>
              </w:rPr>
              <w:t>有阻挠或破坏、损毁、移动、侵占情形</w:t>
            </w:r>
          </w:p>
        </w:tc>
        <w:tc>
          <w:tcPr>
            <w:tcW w:w="1638" w:type="dxa"/>
            <w:tcBorders>
              <w:top w:val="single" w:color="auto" w:sz="4" w:space="0"/>
              <w:left w:val="single" w:color="auto" w:sz="4" w:space="0"/>
              <w:bottom w:val="single" w:color="auto" w:sz="4" w:space="0"/>
              <w:right w:val="single" w:color="auto" w:sz="4" w:space="0"/>
            </w:tcBorders>
            <w:noWrap w:val="0"/>
            <w:vAlign w:val="center"/>
          </w:tcPr>
          <w:p w14:paraId="1D4D6B2E">
            <w:pPr>
              <w:adjustRightInd w:val="0"/>
              <w:jc w:val="center"/>
              <w:rPr>
                <w:rFonts w:hint="eastAsia" w:ascii="宋体" w:cs="宋体"/>
                <w:color w:val="auto"/>
                <w:szCs w:val="21"/>
              </w:rPr>
            </w:pPr>
            <w:r>
              <w:rPr>
                <w:rFonts w:hint="eastAsia" w:ascii="宋体" w:cs="宋体"/>
                <w:color w:val="auto"/>
                <w:szCs w:val="21"/>
              </w:rPr>
              <w:t>3</w:t>
            </w:r>
          </w:p>
        </w:tc>
      </w:tr>
      <w:tr w14:paraId="32A85E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01" w:type="dxa"/>
            <w:vMerge w:val="continue"/>
            <w:tcBorders>
              <w:top w:val="single" w:color="auto" w:sz="4" w:space="0"/>
              <w:left w:val="single" w:color="auto" w:sz="4" w:space="0"/>
              <w:bottom w:val="single" w:color="auto" w:sz="4" w:space="0"/>
              <w:right w:val="single" w:color="auto" w:sz="4" w:space="0"/>
            </w:tcBorders>
            <w:noWrap w:val="0"/>
            <w:vAlign w:val="center"/>
          </w:tcPr>
          <w:p w14:paraId="30A1AF79">
            <w:pPr>
              <w:adjustRightInd w:val="0"/>
              <w:jc w:val="center"/>
              <w:rPr>
                <w:color w:val="auto"/>
              </w:rPr>
            </w:pPr>
          </w:p>
        </w:tc>
        <w:tc>
          <w:tcPr>
            <w:tcW w:w="5509" w:type="dxa"/>
            <w:tcBorders>
              <w:top w:val="single" w:color="auto" w:sz="4" w:space="0"/>
              <w:left w:val="single" w:color="auto" w:sz="4" w:space="0"/>
              <w:bottom w:val="single" w:color="auto" w:sz="4" w:space="0"/>
              <w:right w:val="single" w:color="auto" w:sz="4" w:space="0"/>
            </w:tcBorders>
            <w:noWrap w:val="0"/>
            <w:vAlign w:val="center"/>
          </w:tcPr>
          <w:p w14:paraId="66C118BC">
            <w:pPr>
              <w:adjustRightInd w:val="0"/>
              <w:ind w:firstLine="420" w:firstLineChars="200"/>
              <w:jc w:val="both"/>
              <w:rPr>
                <w:rFonts w:hint="eastAsia" w:ascii="宋体" w:cs="宋体"/>
                <w:color w:val="auto"/>
                <w:szCs w:val="21"/>
              </w:rPr>
            </w:pPr>
            <w:r>
              <w:rPr>
                <w:rFonts w:hint="eastAsia" w:ascii="宋体" w:cs="宋体"/>
                <w:color w:val="auto"/>
                <w:szCs w:val="21"/>
              </w:rPr>
              <w:t>围堵、滞留执法人员</w:t>
            </w:r>
          </w:p>
        </w:tc>
        <w:tc>
          <w:tcPr>
            <w:tcW w:w="1638" w:type="dxa"/>
            <w:tcBorders>
              <w:top w:val="single" w:color="auto" w:sz="4" w:space="0"/>
              <w:left w:val="single" w:color="auto" w:sz="4" w:space="0"/>
              <w:bottom w:val="single" w:color="auto" w:sz="4" w:space="0"/>
              <w:right w:val="single" w:color="auto" w:sz="4" w:space="0"/>
            </w:tcBorders>
            <w:noWrap w:val="0"/>
            <w:vAlign w:val="center"/>
          </w:tcPr>
          <w:p w14:paraId="366D92BD">
            <w:pPr>
              <w:adjustRightInd w:val="0"/>
              <w:jc w:val="center"/>
              <w:rPr>
                <w:rFonts w:hint="eastAsia" w:ascii="宋体" w:cs="宋体"/>
                <w:color w:val="auto"/>
                <w:szCs w:val="21"/>
              </w:rPr>
            </w:pPr>
            <w:r>
              <w:rPr>
                <w:rFonts w:hint="eastAsia" w:ascii="宋体" w:cs="宋体"/>
                <w:color w:val="auto"/>
                <w:szCs w:val="21"/>
              </w:rPr>
              <w:t>4</w:t>
            </w:r>
          </w:p>
        </w:tc>
      </w:tr>
      <w:tr w14:paraId="508ED4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01" w:type="dxa"/>
            <w:vMerge w:val="continue"/>
            <w:tcBorders>
              <w:top w:val="single" w:color="auto" w:sz="4" w:space="0"/>
              <w:left w:val="single" w:color="auto" w:sz="4" w:space="0"/>
              <w:bottom w:val="single" w:color="auto" w:sz="4" w:space="0"/>
              <w:right w:val="single" w:color="auto" w:sz="4" w:space="0"/>
            </w:tcBorders>
            <w:noWrap w:val="0"/>
            <w:vAlign w:val="center"/>
          </w:tcPr>
          <w:p w14:paraId="1F57F14D">
            <w:pPr>
              <w:adjustRightInd w:val="0"/>
              <w:jc w:val="center"/>
              <w:rPr>
                <w:color w:val="auto"/>
              </w:rPr>
            </w:pPr>
          </w:p>
        </w:tc>
        <w:tc>
          <w:tcPr>
            <w:tcW w:w="5509" w:type="dxa"/>
            <w:tcBorders>
              <w:top w:val="single" w:color="auto" w:sz="4" w:space="0"/>
              <w:left w:val="single" w:color="auto" w:sz="4" w:space="0"/>
              <w:bottom w:val="single" w:color="auto" w:sz="4" w:space="0"/>
              <w:right w:val="single" w:color="auto" w:sz="4" w:space="0"/>
            </w:tcBorders>
            <w:noWrap w:val="0"/>
            <w:vAlign w:val="center"/>
          </w:tcPr>
          <w:p w14:paraId="6AC493A8">
            <w:pPr>
              <w:adjustRightInd w:val="0"/>
              <w:ind w:firstLine="420" w:firstLineChars="200"/>
              <w:jc w:val="both"/>
              <w:rPr>
                <w:rFonts w:hint="eastAsia" w:ascii="宋体" w:cs="宋体"/>
                <w:color w:val="auto"/>
                <w:szCs w:val="21"/>
              </w:rPr>
            </w:pPr>
            <w:r>
              <w:rPr>
                <w:rFonts w:hint="eastAsia" w:ascii="宋体" w:cs="宋体"/>
                <w:color w:val="auto"/>
                <w:szCs w:val="21"/>
              </w:rPr>
              <w:t>暴力抗法</w:t>
            </w:r>
          </w:p>
        </w:tc>
        <w:tc>
          <w:tcPr>
            <w:tcW w:w="1638" w:type="dxa"/>
            <w:tcBorders>
              <w:top w:val="single" w:color="auto" w:sz="4" w:space="0"/>
              <w:left w:val="single" w:color="auto" w:sz="4" w:space="0"/>
              <w:bottom w:val="single" w:color="auto" w:sz="4" w:space="0"/>
              <w:right w:val="single" w:color="auto" w:sz="4" w:space="0"/>
            </w:tcBorders>
            <w:noWrap w:val="0"/>
            <w:vAlign w:val="center"/>
          </w:tcPr>
          <w:p w14:paraId="4AF27582">
            <w:pPr>
              <w:adjustRightInd w:val="0"/>
              <w:jc w:val="center"/>
              <w:rPr>
                <w:rFonts w:hint="eastAsia" w:ascii="宋体" w:cs="宋体"/>
                <w:color w:val="auto"/>
                <w:szCs w:val="21"/>
              </w:rPr>
            </w:pPr>
            <w:r>
              <w:rPr>
                <w:rFonts w:hint="eastAsia" w:ascii="宋体" w:cs="宋体"/>
                <w:color w:val="auto"/>
                <w:szCs w:val="21"/>
              </w:rPr>
              <w:t>5</w:t>
            </w:r>
          </w:p>
        </w:tc>
      </w:tr>
    </w:tbl>
    <w:p w14:paraId="5E3DA1A4">
      <w:pPr>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br w:type="page"/>
      </w:r>
    </w:p>
    <w:tbl>
      <w:tblPr>
        <w:tblStyle w:val="8"/>
        <w:tblW w:w="4997"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805"/>
        <w:gridCol w:w="5499"/>
        <w:gridCol w:w="1639"/>
      </w:tblGrid>
      <w:tr w14:paraId="7F5DADB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8944" w:type="dxa"/>
            <w:gridSpan w:val="3"/>
            <w:tcBorders>
              <w:top w:val="single" w:color="auto" w:sz="4" w:space="0"/>
              <w:left w:val="single" w:color="auto" w:sz="4" w:space="0"/>
              <w:bottom w:val="single" w:color="auto" w:sz="4" w:space="0"/>
              <w:right w:val="single" w:color="auto" w:sz="4" w:space="0"/>
            </w:tcBorders>
            <w:noWrap w:val="0"/>
            <w:vAlign w:val="center"/>
          </w:tcPr>
          <w:p w14:paraId="31AFA0D9">
            <w:pPr>
              <w:jc w:val="center"/>
              <w:rPr>
                <w:rFonts w:hint="eastAsia" w:ascii="宋体" w:cs="宋体"/>
                <w:color w:val="auto"/>
                <w:szCs w:val="21"/>
              </w:rPr>
            </w:pPr>
            <w:r>
              <w:rPr>
                <w:rFonts w:hint="eastAsia" w:ascii="宋体"/>
                <w:bCs/>
                <w:color w:val="auto"/>
              </w:rPr>
              <w:t>（七）土壤污染防治类</w:t>
            </w:r>
          </w:p>
        </w:tc>
      </w:tr>
      <w:tr w14:paraId="4859FC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1805" w:type="dxa"/>
            <w:tcBorders>
              <w:top w:val="single" w:color="auto" w:sz="4" w:space="0"/>
              <w:left w:val="single" w:color="auto" w:sz="4" w:space="0"/>
              <w:bottom w:val="single" w:color="auto" w:sz="4" w:space="0"/>
              <w:right w:val="single" w:color="auto" w:sz="4" w:space="0"/>
            </w:tcBorders>
            <w:noWrap w:val="0"/>
            <w:vAlign w:val="center"/>
          </w:tcPr>
          <w:p w14:paraId="19DD4658">
            <w:pPr>
              <w:jc w:val="center"/>
              <w:rPr>
                <w:rFonts w:hint="eastAsia" w:ascii="宋体" w:cs="宋体"/>
                <w:color w:val="auto"/>
                <w:szCs w:val="21"/>
              </w:rPr>
            </w:pPr>
            <w:r>
              <w:rPr>
                <w:rFonts w:hint="eastAsia" w:ascii="宋体" w:cs="宋体"/>
                <w:color w:val="auto"/>
                <w:szCs w:val="21"/>
              </w:rPr>
              <w:t>序号</w:t>
            </w:r>
          </w:p>
        </w:tc>
        <w:tc>
          <w:tcPr>
            <w:tcW w:w="7139" w:type="dxa"/>
            <w:gridSpan w:val="2"/>
            <w:tcBorders>
              <w:top w:val="single" w:color="auto" w:sz="4" w:space="0"/>
              <w:left w:val="single" w:color="auto" w:sz="4" w:space="0"/>
              <w:bottom w:val="single" w:color="auto" w:sz="4" w:space="0"/>
              <w:right w:val="single" w:color="auto" w:sz="4" w:space="0"/>
            </w:tcBorders>
            <w:noWrap w:val="0"/>
            <w:vAlign w:val="center"/>
          </w:tcPr>
          <w:p w14:paraId="4A5131DA">
            <w:pPr>
              <w:jc w:val="center"/>
              <w:rPr>
                <w:rFonts w:hint="eastAsia" w:ascii="宋体" w:eastAsia="宋体" w:cs="宋体"/>
                <w:color w:val="auto"/>
                <w:szCs w:val="21"/>
                <w:lang w:val="en-US" w:eastAsia="zh-CN"/>
              </w:rPr>
            </w:pPr>
            <w:r>
              <w:rPr>
                <w:rFonts w:hint="eastAsia" w:ascii="宋体" w:cs="宋体"/>
                <w:color w:val="auto"/>
                <w:szCs w:val="21"/>
              </w:rPr>
              <w:t>2</w:t>
            </w:r>
            <w:r>
              <w:rPr>
                <w:rFonts w:hint="eastAsia" w:ascii="宋体" w:cs="宋体"/>
                <w:color w:val="auto"/>
                <w:szCs w:val="21"/>
                <w:lang w:val="en-US" w:eastAsia="zh-CN"/>
              </w:rPr>
              <w:t>9</w:t>
            </w:r>
          </w:p>
        </w:tc>
      </w:tr>
      <w:tr w14:paraId="283D8C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7" w:hRule="atLeast"/>
          <w:jc w:val="center"/>
        </w:trPr>
        <w:tc>
          <w:tcPr>
            <w:tcW w:w="1805" w:type="dxa"/>
            <w:tcBorders>
              <w:top w:val="single" w:color="auto" w:sz="4" w:space="0"/>
              <w:left w:val="single" w:color="auto" w:sz="4" w:space="0"/>
              <w:bottom w:val="single" w:color="auto" w:sz="4" w:space="0"/>
              <w:right w:val="single" w:color="auto" w:sz="4" w:space="0"/>
            </w:tcBorders>
            <w:noWrap w:val="0"/>
            <w:vAlign w:val="center"/>
          </w:tcPr>
          <w:p w14:paraId="2B9B09DC">
            <w:pPr>
              <w:jc w:val="center"/>
              <w:rPr>
                <w:rFonts w:hint="eastAsia" w:ascii="宋体" w:cs="宋体"/>
                <w:color w:val="auto"/>
                <w:szCs w:val="21"/>
              </w:rPr>
            </w:pPr>
            <w:r>
              <w:rPr>
                <w:rFonts w:hint="eastAsia" w:ascii="宋体" w:cs="宋体"/>
                <w:color w:val="auto"/>
                <w:szCs w:val="21"/>
              </w:rPr>
              <w:t>违法行为</w:t>
            </w:r>
          </w:p>
        </w:tc>
        <w:tc>
          <w:tcPr>
            <w:tcW w:w="7139" w:type="dxa"/>
            <w:gridSpan w:val="2"/>
            <w:tcBorders>
              <w:top w:val="single" w:color="auto" w:sz="4" w:space="0"/>
              <w:left w:val="single" w:color="auto" w:sz="4" w:space="0"/>
              <w:bottom w:val="single" w:color="auto" w:sz="4" w:space="0"/>
              <w:right w:val="single" w:color="auto" w:sz="4" w:space="0"/>
            </w:tcBorders>
            <w:noWrap w:val="0"/>
            <w:vAlign w:val="center"/>
          </w:tcPr>
          <w:p w14:paraId="3CEAB8B8">
            <w:pPr>
              <w:adjustRightInd w:val="0"/>
              <w:ind w:firstLine="420" w:firstLineChars="200"/>
              <w:jc w:val="both"/>
              <w:rPr>
                <w:rFonts w:hint="eastAsia" w:ascii="宋体" w:cs="宋体"/>
                <w:color w:val="auto"/>
                <w:szCs w:val="21"/>
              </w:rPr>
            </w:pPr>
            <w:r>
              <w:rPr>
                <w:rFonts w:hint="eastAsia" w:ascii="宋体" w:cs="宋体"/>
                <w:color w:val="auto"/>
                <w:szCs w:val="21"/>
              </w:rPr>
              <w:t>土壤污染责任人拒不配合土地使用权人开展土壤污染状况调查，或者不如实提供相关资料的</w:t>
            </w:r>
          </w:p>
        </w:tc>
      </w:tr>
      <w:tr w14:paraId="0E6E76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44" w:hRule="atLeast"/>
          <w:jc w:val="center"/>
        </w:trPr>
        <w:tc>
          <w:tcPr>
            <w:tcW w:w="1805" w:type="dxa"/>
            <w:tcBorders>
              <w:top w:val="single" w:color="auto" w:sz="4" w:space="0"/>
              <w:left w:val="single" w:color="auto" w:sz="4" w:space="0"/>
              <w:bottom w:val="single" w:color="auto" w:sz="4" w:space="0"/>
              <w:right w:val="single" w:color="auto" w:sz="4" w:space="0"/>
            </w:tcBorders>
            <w:noWrap w:val="0"/>
            <w:vAlign w:val="center"/>
          </w:tcPr>
          <w:p w14:paraId="528C3EC8">
            <w:pPr>
              <w:jc w:val="center"/>
              <w:rPr>
                <w:rFonts w:hint="eastAsia" w:ascii="宋体" w:cs="宋体"/>
                <w:color w:val="auto"/>
                <w:szCs w:val="21"/>
              </w:rPr>
            </w:pPr>
            <w:r>
              <w:rPr>
                <w:rFonts w:hint="eastAsia" w:ascii="宋体" w:cs="宋体"/>
                <w:color w:val="auto"/>
                <w:szCs w:val="21"/>
              </w:rPr>
              <w:t>违反条款</w:t>
            </w:r>
          </w:p>
        </w:tc>
        <w:tc>
          <w:tcPr>
            <w:tcW w:w="7139" w:type="dxa"/>
            <w:gridSpan w:val="2"/>
            <w:tcBorders>
              <w:top w:val="single" w:color="auto" w:sz="4" w:space="0"/>
              <w:left w:val="single" w:color="auto" w:sz="4" w:space="0"/>
              <w:bottom w:val="single" w:color="auto" w:sz="4" w:space="0"/>
              <w:right w:val="single" w:color="auto" w:sz="4" w:space="0"/>
            </w:tcBorders>
            <w:noWrap w:val="0"/>
            <w:vAlign w:val="center"/>
          </w:tcPr>
          <w:p w14:paraId="366FAE3A">
            <w:pPr>
              <w:adjustRightInd w:val="0"/>
              <w:ind w:firstLine="420" w:firstLineChars="200"/>
              <w:jc w:val="both"/>
              <w:rPr>
                <w:rFonts w:hint="eastAsia" w:ascii="宋体" w:cs="宋体"/>
                <w:color w:val="auto"/>
                <w:szCs w:val="21"/>
              </w:rPr>
            </w:pPr>
            <w:r>
              <w:rPr>
                <w:rFonts w:hint="eastAsia" w:ascii="宋体" w:cs="宋体"/>
                <w:color w:val="auto"/>
                <w:szCs w:val="21"/>
              </w:rPr>
              <w:t>《福建省土壤污染防治条例》第三十九条第二款</w:t>
            </w:r>
            <w:r>
              <w:rPr>
                <w:rFonts w:hint="eastAsia" w:ascii="宋体" w:cs="宋体"/>
                <w:color w:val="auto"/>
                <w:szCs w:val="21"/>
                <w:lang w:val="en-US" w:eastAsia="zh-CN"/>
              </w:rPr>
              <w:t xml:space="preserve"> </w:t>
            </w:r>
            <w:r>
              <w:rPr>
                <w:rFonts w:hint="eastAsia" w:ascii="宋体" w:cs="宋体"/>
                <w:color w:val="auto"/>
                <w:szCs w:val="21"/>
              </w:rPr>
              <w:t>土壤污染责任人应当配合土地使用权人开展土壤污染状况调查，并据实提供使用、产生、排放的有毒有害物质清单，以及监测、环境影响评价、竣工环保验收报告等资料。</w:t>
            </w:r>
          </w:p>
        </w:tc>
      </w:tr>
      <w:tr w14:paraId="765592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160" w:hRule="atLeast"/>
          <w:jc w:val="center"/>
        </w:trPr>
        <w:tc>
          <w:tcPr>
            <w:tcW w:w="1805" w:type="dxa"/>
            <w:tcBorders>
              <w:top w:val="single" w:color="auto" w:sz="4" w:space="0"/>
              <w:left w:val="single" w:color="auto" w:sz="4" w:space="0"/>
              <w:bottom w:val="single" w:color="auto" w:sz="4" w:space="0"/>
              <w:right w:val="single" w:color="auto" w:sz="4" w:space="0"/>
            </w:tcBorders>
            <w:noWrap w:val="0"/>
            <w:vAlign w:val="center"/>
          </w:tcPr>
          <w:p w14:paraId="52FE5AD2">
            <w:pPr>
              <w:jc w:val="center"/>
              <w:rPr>
                <w:rFonts w:hint="eastAsia" w:ascii="宋体" w:cs="宋体"/>
                <w:color w:val="auto"/>
                <w:szCs w:val="21"/>
              </w:rPr>
            </w:pPr>
            <w:r>
              <w:rPr>
                <w:rFonts w:hint="eastAsia" w:ascii="宋体" w:cs="宋体"/>
                <w:color w:val="auto"/>
                <w:szCs w:val="21"/>
              </w:rPr>
              <w:t>处罚依据</w:t>
            </w:r>
          </w:p>
        </w:tc>
        <w:tc>
          <w:tcPr>
            <w:tcW w:w="7139" w:type="dxa"/>
            <w:gridSpan w:val="2"/>
            <w:tcBorders>
              <w:top w:val="single" w:color="auto" w:sz="4" w:space="0"/>
              <w:left w:val="single" w:color="auto" w:sz="4" w:space="0"/>
              <w:bottom w:val="single" w:color="auto" w:sz="4" w:space="0"/>
              <w:right w:val="single" w:color="auto" w:sz="4" w:space="0"/>
            </w:tcBorders>
            <w:noWrap w:val="0"/>
            <w:vAlign w:val="center"/>
          </w:tcPr>
          <w:p w14:paraId="26CF5259">
            <w:pPr>
              <w:adjustRightInd w:val="0"/>
              <w:ind w:firstLine="420" w:firstLineChars="200"/>
              <w:jc w:val="both"/>
              <w:rPr>
                <w:rFonts w:hint="eastAsia" w:ascii="宋体" w:cs="宋体"/>
                <w:color w:val="auto"/>
                <w:szCs w:val="21"/>
              </w:rPr>
            </w:pPr>
            <w:r>
              <w:rPr>
                <w:rFonts w:hint="eastAsia" w:ascii="宋体" w:cs="宋体"/>
                <w:color w:val="auto"/>
                <w:szCs w:val="21"/>
              </w:rPr>
              <w:t>《福建省土壤污染防治条例》第四十六条</w:t>
            </w:r>
            <w:r>
              <w:rPr>
                <w:rFonts w:hint="eastAsia" w:ascii="宋体" w:cs="宋体"/>
                <w:color w:val="auto"/>
                <w:szCs w:val="21"/>
                <w:lang w:val="en-US" w:eastAsia="zh-CN"/>
              </w:rPr>
              <w:t xml:space="preserve"> </w:t>
            </w:r>
            <w:r>
              <w:rPr>
                <w:rFonts w:hint="eastAsia" w:ascii="宋体" w:cs="宋体"/>
                <w:color w:val="auto"/>
                <w:szCs w:val="21"/>
              </w:rPr>
              <w:t>违反本条例第三十九条第二款规定，土壤污染责任人拒不配合土地使用权人开展土壤污染状况调查，或者不如实提供相关资料的，由省、设区的市人民政府生态环境主管部门责令改正；拒不改正的，处五千元以上二万元以下的罚款；情节严重的，处二万元以上十万元以下的罚款。</w:t>
            </w:r>
          </w:p>
        </w:tc>
      </w:tr>
      <w:tr w14:paraId="60B854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1805" w:type="dxa"/>
            <w:tcBorders>
              <w:top w:val="single" w:color="auto" w:sz="4" w:space="0"/>
              <w:left w:val="single" w:color="auto" w:sz="4" w:space="0"/>
              <w:bottom w:val="single" w:color="auto" w:sz="4" w:space="0"/>
              <w:right w:val="single" w:color="auto" w:sz="4" w:space="0"/>
            </w:tcBorders>
            <w:noWrap w:val="0"/>
            <w:vAlign w:val="center"/>
          </w:tcPr>
          <w:p w14:paraId="5D0FE13E">
            <w:pPr>
              <w:jc w:val="center"/>
              <w:rPr>
                <w:rFonts w:hint="eastAsia" w:ascii="宋体" w:cs="宋体"/>
                <w:color w:val="auto"/>
                <w:szCs w:val="21"/>
              </w:rPr>
            </w:pPr>
            <w:r>
              <w:rPr>
                <w:rFonts w:hint="eastAsia" w:ascii="宋体" w:cs="宋体"/>
                <w:color w:val="auto"/>
                <w:szCs w:val="21"/>
              </w:rPr>
              <w:t>裁量因素</w:t>
            </w:r>
          </w:p>
        </w:tc>
        <w:tc>
          <w:tcPr>
            <w:tcW w:w="5500" w:type="dxa"/>
            <w:tcBorders>
              <w:top w:val="single" w:color="auto" w:sz="4" w:space="0"/>
              <w:left w:val="single" w:color="auto" w:sz="4" w:space="0"/>
              <w:bottom w:val="single" w:color="auto" w:sz="4" w:space="0"/>
              <w:right w:val="single" w:color="auto" w:sz="4" w:space="0"/>
            </w:tcBorders>
            <w:noWrap w:val="0"/>
            <w:vAlign w:val="center"/>
          </w:tcPr>
          <w:p w14:paraId="67690D3C">
            <w:pPr>
              <w:jc w:val="center"/>
              <w:rPr>
                <w:rFonts w:hint="eastAsia" w:ascii="宋体" w:cs="宋体"/>
                <w:color w:val="auto"/>
                <w:szCs w:val="21"/>
              </w:rPr>
            </w:pPr>
            <w:r>
              <w:rPr>
                <w:rFonts w:hint="eastAsia" w:ascii="宋体" w:cs="宋体"/>
                <w:color w:val="auto"/>
                <w:szCs w:val="21"/>
              </w:rPr>
              <w:t>裁量因子</w:t>
            </w:r>
          </w:p>
        </w:tc>
        <w:tc>
          <w:tcPr>
            <w:tcW w:w="1639" w:type="dxa"/>
            <w:tcBorders>
              <w:top w:val="single" w:color="auto" w:sz="4" w:space="0"/>
              <w:left w:val="single" w:color="auto" w:sz="4" w:space="0"/>
              <w:bottom w:val="single" w:color="auto" w:sz="4" w:space="0"/>
              <w:right w:val="single" w:color="auto" w:sz="4" w:space="0"/>
            </w:tcBorders>
            <w:noWrap w:val="0"/>
            <w:vAlign w:val="center"/>
          </w:tcPr>
          <w:p w14:paraId="3A277079">
            <w:pPr>
              <w:jc w:val="center"/>
              <w:rPr>
                <w:rFonts w:hint="eastAsia" w:ascii="宋体" w:cs="宋体"/>
                <w:color w:val="auto"/>
                <w:szCs w:val="21"/>
              </w:rPr>
            </w:pPr>
            <w:r>
              <w:rPr>
                <w:rFonts w:hint="eastAsia" w:ascii="宋体" w:cs="宋体"/>
                <w:color w:val="auto"/>
                <w:szCs w:val="21"/>
              </w:rPr>
              <w:t>裁量等级</w:t>
            </w:r>
          </w:p>
        </w:tc>
      </w:tr>
      <w:tr w14:paraId="294FF0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1805" w:type="dxa"/>
            <w:vMerge w:val="restart"/>
            <w:tcBorders>
              <w:top w:val="single" w:color="auto" w:sz="4" w:space="0"/>
              <w:left w:val="single" w:color="auto" w:sz="4" w:space="0"/>
              <w:bottom w:val="single" w:color="auto" w:sz="4" w:space="0"/>
              <w:right w:val="single" w:color="auto" w:sz="4" w:space="0"/>
            </w:tcBorders>
            <w:noWrap w:val="0"/>
            <w:vAlign w:val="center"/>
          </w:tcPr>
          <w:p w14:paraId="5390B869">
            <w:pPr>
              <w:jc w:val="center"/>
              <w:rPr>
                <w:rFonts w:hint="eastAsia" w:ascii="宋体" w:cs="宋体"/>
                <w:color w:val="auto"/>
                <w:szCs w:val="21"/>
              </w:rPr>
            </w:pPr>
            <w:r>
              <w:rPr>
                <w:rFonts w:hint="eastAsia" w:ascii="宋体" w:cs="宋体"/>
                <w:color w:val="auto"/>
                <w:szCs w:val="21"/>
              </w:rPr>
              <w:t>违法事实</w:t>
            </w:r>
          </w:p>
        </w:tc>
        <w:tc>
          <w:tcPr>
            <w:tcW w:w="5500" w:type="dxa"/>
            <w:tcBorders>
              <w:top w:val="single" w:color="auto" w:sz="4" w:space="0"/>
              <w:left w:val="single" w:color="auto" w:sz="4" w:space="0"/>
              <w:bottom w:val="single" w:color="auto" w:sz="4" w:space="0"/>
              <w:right w:val="single" w:color="auto" w:sz="4" w:space="0"/>
            </w:tcBorders>
            <w:noWrap w:val="0"/>
            <w:vAlign w:val="center"/>
          </w:tcPr>
          <w:p w14:paraId="19D401EA">
            <w:pPr>
              <w:ind w:firstLine="420" w:firstLineChars="200"/>
              <w:jc w:val="both"/>
              <w:rPr>
                <w:rFonts w:hint="eastAsia" w:ascii="宋体" w:cs="宋体"/>
                <w:color w:val="auto"/>
                <w:szCs w:val="21"/>
              </w:rPr>
            </w:pPr>
            <w:r>
              <w:rPr>
                <w:rFonts w:hint="eastAsia" w:ascii="宋体" w:cs="宋体"/>
                <w:color w:val="auto"/>
                <w:szCs w:val="21"/>
              </w:rPr>
              <w:t>迟滞10分钟以上30分钟以内</w:t>
            </w:r>
          </w:p>
        </w:tc>
        <w:tc>
          <w:tcPr>
            <w:tcW w:w="1639" w:type="dxa"/>
            <w:tcBorders>
              <w:top w:val="single" w:color="auto" w:sz="4" w:space="0"/>
              <w:left w:val="single" w:color="auto" w:sz="4" w:space="0"/>
              <w:bottom w:val="single" w:color="auto" w:sz="4" w:space="0"/>
              <w:right w:val="single" w:color="auto" w:sz="4" w:space="0"/>
            </w:tcBorders>
            <w:noWrap w:val="0"/>
            <w:vAlign w:val="center"/>
          </w:tcPr>
          <w:p w14:paraId="79675068">
            <w:pPr>
              <w:jc w:val="center"/>
              <w:rPr>
                <w:rFonts w:hint="eastAsia" w:ascii="宋体" w:cs="宋体"/>
                <w:color w:val="auto"/>
                <w:szCs w:val="21"/>
              </w:rPr>
            </w:pPr>
            <w:r>
              <w:rPr>
                <w:rFonts w:hint="eastAsia" w:ascii="宋体" w:cs="宋体"/>
                <w:color w:val="auto"/>
                <w:szCs w:val="21"/>
              </w:rPr>
              <w:t>1</w:t>
            </w:r>
          </w:p>
        </w:tc>
      </w:tr>
      <w:tr w14:paraId="2C3285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1805" w:type="dxa"/>
            <w:vMerge w:val="continue"/>
            <w:tcBorders>
              <w:top w:val="single" w:color="auto" w:sz="4" w:space="0"/>
              <w:left w:val="single" w:color="auto" w:sz="4" w:space="0"/>
              <w:bottom w:val="single" w:color="auto" w:sz="4" w:space="0"/>
              <w:right w:val="single" w:color="auto" w:sz="4" w:space="0"/>
            </w:tcBorders>
            <w:noWrap w:val="0"/>
            <w:vAlign w:val="center"/>
          </w:tcPr>
          <w:p w14:paraId="0BFE246F">
            <w:pPr>
              <w:jc w:val="center"/>
              <w:rPr>
                <w:color w:val="auto"/>
              </w:rPr>
            </w:pPr>
          </w:p>
        </w:tc>
        <w:tc>
          <w:tcPr>
            <w:tcW w:w="5500" w:type="dxa"/>
            <w:tcBorders>
              <w:top w:val="single" w:color="auto" w:sz="4" w:space="0"/>
              <w:left w:val="single" w:color="auto" w:sz="4" w:space="0"/>
              <w:bottom w:val="single" w:color="auto" w:sz="4" w:space="0"/>
              <w:right w:val="single" w:color="auto" w:sz="4" w:space="0"/>
            </w:tcBorders>
            <w:noWrap w:val="0"/>
            <w:vAlign w:val="center"/>
          </w:tcPr>
          <w:p w14:paraId="1B335CC8">
            <w:pPr>
              <w:ind w:firstLine="420" w:firstLineChars="200"/>
              <w:jc w:val="both"/>
              <w:rPr>
                <w:rFonts w:hint="eastAsia" w:ascii="宋体" w:cs="宋体"/>
                <w:color w:val="auto"/>
                <w:szCs w:val="21"/>
              </w:rPr>
            </w:pPr>
            <w:r>
              <w:rPr>
                <w:rFonts w:hint="eastAsia" w:ascii="宋体" w:cs="宋体"/>
                <w:color w:val="auto"/>
                <w:szCs w:val="21"/>
              </w:rPr>
              <w:t>迟滞超过半小时</w:t>
            </w:r>
          </w:p>
        </w:tc>
        <w:tc>
          <w:tcPr>
            <w:tcW w:w="1639" w:type="dxa"/>
            <w:tcBorders>
              <w:top w:val="single" w:color="auto" w:sz="4" w:space="0"/>
              <w:left w:val="single" w:color="auto" w:sz="4" w:space="0"/>
              <w:bottom w:val="single" w:color="auto" w:sz="4" w:space="0"/>
              <w:right w:val="single" w:color="auto" w:sz="4" w:space="0"/>
            </w:tcBorders>
            <w:noWrap w:val="0"/>
            <w:vAlign w:val="center"/>
          </w:tcPr>
          <w:p w14:paraId="0EF23B8F">
            <w:pPr>
              <w:jc w:val="center"/>
              <w:rPr>
                <w:rFonts w:hint="eastAsia" w:ascii="宋体" w:cs="宋体"/>
                <w:color w:val="auto"/>
                <w:szCs w:val="21"/>
              </w:rPr>
            </w:pPr>
            <w:r>
              <w:rPr>
                <w:rFonts w:hint="eastAsia" w:ascii="宋体" w:cs="宋体"/>
                <w:color w:val="auto"/>
                <w:szCs w:val="21"/>
              </w:rPr>
              <w:t>2</w:t>
            </w:r>
          </w:p>
        </w:tc>
      </w:tr>
      <w:tr w14:paraId="7BB88A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1805" w:type="dxa"/>
            <w:vMerge w:val="continue"/>
            <w:tcBorders>
              <w:top w:val="single" w:color="auto" w:sz="4" w:space="0"/>
              <w:left w:val="single" w:color="auto" w:sz="4" w:space="0"/>
              <w:bottom w:val="single" w:color="auto" w:sz="4" w:space="0"/>
              <w:right w:val="single" w:color="auto" w:sz="4" w:space="0"/>
            </w:tcBorders>
            <w:noWrap w:val="0"/>
            <w:vAlign w:val="center"/>
          </w:tcPr>
          <w:p w14:paraId="507F4ED7">
            <w:pPr>
              <w:jc w:val="center"/>
              <w:rPr>
                <w:color w:val="auto"/>
              </w:rPr>
            </w:pPr>
          </w:p>
        </w:tc>
        <w:tc>
          <w:tcPr>
            <w:tcW w:w="5500" w:type="dxa"/>
            <w:tcBorders>
              <w:top w:val="single" w:color="auto" w:sz="4" w:space="0"/>
              <w:left w:val="single" w:color="auto" w:sz="4" w:space="0"/>
              <w:bottom w:val="single" w:color="auto" w:sz="4" w:space="0"/>
              <w:right w:val="single" w:color="auto" w:sz="4" w:space="0"/>
            </w:tcBorders>
            <w:noWrap w:val="0"/>
            <w:vAlign w:val="center"/>
          </w:tcPr>
          <w:p w14:paraId="0219CF3B">
            <w:pPr>
              <w:ind w:firstLine="420" w:firstLineChars="200"/>
              <w:jc w:val="both"/>
              <w:rPr>
                <w:rFonts w:hint="eastAsia" w:ascii="宋体" w:cs="宋体"/>
                <w:color w:val="auto"/>
                <w:szCs w:val="21"/>
              </w:rPr>
            </w:pPr>
            <w:r>
              <w:rPr>
                <w:rFonts w:hint="eastAsia" w:ascii="宋体" w:cs="宋体"/>
                <w:color w:val="auto"/>
                <w:szCs w:val="21"/>
              </w:rPr>
              <w:t>阻碍或隐匿部分资料</w:t>
            </w:r>
          </w:p>
        </w:tc>
        <w:tc>
          <w:tcPr>
            <w:tcW w:w="1639" w:type="dxa"/>
            <w:tcBorders>
              <w:top w:val="single" w:color="auto" w:sz="4" w:space="0"/>
              <w:left w:val="single" w:color="auto" w:sz="4" w:space="0"/>
              <w:bottom w:val="single" w:color="auto" w:sz="4" w:space="0"/>
              <w:right w:val="single" w:color="auto" w:sz="4" w:space="0"/>
            </w:tcBorders>
            <w:noWrap w:val="0"/>
            <w:vAlign w:val="center"/>
          </w:tcPr>
          <w:p w14:paraId="5B3E3CF0">
            <w:pPr>
              <w:jc w:val="center"/>
              <w:rPr>
                <w:rFonts w:hint="eastAsia" w:ascii="宋体" w:cs="宋体"/>
                <w:color w:val="auto"/>
                <w:szCs w:val="21"/>
              </w:rPr>
            </w:pPr>
            <w:r>
              <w:rPr>
                <w:rFonts w:hint="eastAsia" w:ascii="宋体" w:cs="宋体"/>
                <w:color w:val="auto"/>
                <w:szCs w:val="21"/>
              </w:rPr>
              <w:t>3</w:t>
            </w:r>
          </w:p>
        </w:tc>
      </w:tr>
      <w:tr w14:paraId="473230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1805" w:type="dxa"/>
            <w:vMerge w:val="continue"/>
            <w:tcBorders>
              <w:top w:val="single" w:color="auto" w:sz="4" w:space="0"/>
              <w:left w:val="single" w:color="auto" w:sz="4" w:space="0"/>
              <w:bottom w:val="single" w:color="auto" w:sz="4" w:space="0"/>
              <w:right w:val="single" w:color="auto" w:sz="4" w:space="0"/>
            </w:tcBorders>
            <w:noWrap w:val="0"/>
            <w:vAlign w:val="center"/>
          </w:tcPr>
          <w:p w14:paraId="614F0AF4">
            <w:pPr>
              <w:jc w:val="center"/>
              <w:rPr>
                <w:color w:val="auto"/>
              </w:rPr>
            </w:pPr>
          </w:p>
        </w:tc>
        <w:tc>
          <w:tcPr>
            <w:tcW w:w="5500" w:type="dxa"/>
            <w:tcBorders>
              <w:top w:val="single" w:color="auto" w:sz="4" w:space="0"/>
              <w:left w:val="single" w:color="auto" w:sz="4" w:space="0"/>
              <w:bottom w:val="single" w:color="auto" w:sz="4" w:space="0"/>
              <w:right w:val="single" w:color="auto" w:sz="4" w:space="0"/>
            </w:tcBorders>
            <w:noWrap w:val="0"/>
            <w:vAlign w:val="center"/>
          </w:tcPr>
          <w:p w14:paraId="7E3C3D6E">
            <w:pPr>
              <w:ind w:firstLine="420" w:firstLineChars="200"/>
              <w:jc w:val="both"/>
              <w:rPr>
                <w:rFonts w:hint="eastAsia" w:ascii="宋体" w:cs="宋体"/>
                <w:color w:val="auto"/>
                <w:szCs w:val="21"/>
              </w:rPr>
            </w:pPr>
            <w:r>
              <w:rPr>
                <w:rFonts w:hint="eastAsia" w:ascii="宋体" w:cs="宋体"/>
                <w:color w:val="auto"/>
                <w:szCs w:val="21"/>
              </w:rPr>
              <w:t>围堵、滞留执法人员或拒绝提供资料</w:t>
            </w:r>
          </w:p>
        </w:tc>
        <w:tc>
          <w:tcPr>
            <w:tcW w:w="1639" w:type="dxa"/>
            <w:tcBorders>
              <w:top w:val="single" w:color="auto" w:sz="4" w:space="0"/>
              <w:left w:val="single" w:color="auto" w:sz="4" w:space="0"/>
              <w:bottom w:val="single" w:color="auto" w:sz="4" w:space="0"/>
              <w:right w:val="single" w:color="auto" w:sz="4" w:space="0"/>
            </w:tcBorders>
            <w:noWrap w:val="0"/>
            <w:vAlign w:val="center"/>
          </w:tcPr>
          <w:p w14:paraId="133F29EC">
            <w:pPr>
              <w:jc w:val="center"/>
              <w:rPr>
                <w:rFonts w:hint="eastAsia" w:ascii="宋体" w:cs="宋体"/>
                <w:color w:val="auto"/>
                <w:szCs w:val="21"/>
              </w:rPr>
            </w:pPr>
            <w:r>
              <w:rPr>
                <w:rFonts w:hint="eastAsia" w:ascii="宋体" w:cs="宋体"/>
                <w:color w:val="auto"/>
                <w:szCs w:val="21"/>
              </w:rPr>
              <w:t>4</w:t>
            </w:r>
          </w:p>
        </w:tc>
      </w:tr>
      <w:tr w14:paraId="4BB16E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1805" w:type="dxa"/>
            <w:vMerge w:val="continue"/>
            <w:tcBorders>
              <w:top w:val="single" w:color="auto" w:sz="4" w:space="0"/>
              <w:left w:val="single" w:color="auto" w:sz="4" w:space="0"/>
              <w:bottom w:val="single" w:color="auto" w:sz="4" w:space="0"/>
              <w:right w:val="single" w:color="auto" w:sz="4" w:space="0"/>
            </w:tcBorders>
            <w:noWrap w:val="0"/>
            <w:vAlign w:val="center"/>
          </w:tcPr>
          <w:p w14:paraId="471E89E5">
            <w:pPr>
              <w:jc w:val="center"/>
              <w:rPr>
                <w:color w:val="auto"/>
              </w:rPr>
            </w:pPr>
          </w:p>
        </w:tc>
        <w:tc>
          <w:tcPr>
            <w:tcW w:w="5500" w:type="dxa"/>
            <w:tcBorders>
              <w:top w:val="single" w:color="auto" w:sz="4" w:space="0"/>
              <w:left w:val="single" w:color="auto" w:sz="4" w:space="0"/>
              <w:bottom w:val="single" w:color="auto" w:sz="4" w:space="0"/>
              <w:right w:val="single" w:color="auto" w:sz="4" w:space="0"/>
            </w:tcBorders>
            <w:noWrap w:val="0"/>
            <w:vAlign w:val="center"/>
          </w:tcPr>
          <w:p w14:paraId="25D92AEE">
            <w:pPr>
              <w:ind w:firstLine="420" w:firstLineChars="200"/>
              <w:jc w:val="both"/>
              <w:rPr>
                <w:rFonts w:hint="eastAsia" w:ascii="宋体" w:cs="宋体"/>
                <w:color w:val="auto"/>
                <w:szCs w:val="21"/>
              </w:rPr>
            </w:pPr>
            <w:r>
              <w:rPr>
                <w:rFonts w:hint="eastAsia" w:ascii="宋体" w:cs="宋体"/>
                <w:color w:val="auto"/>
                <w:szCs w:val="21"/>
              </w:rPr>
              <w:t>暴力抗法</w:t>
            </w:r>
          </w:p>
        </w:tc>
        <w:tc>
          <w:tcPr>
            <w:tcW w:w="1639" w:type="dxa"/>
            <w:tcBorders>
              <w:top w:val="single" w:color="auto" w:sz="4" w:space="0"/>
              <w:left w:val="single" w:color="auto" w:sz="4" w:space="0"/>
              <w:bottom w:val="single" w:color="auto" w:sz="4" w:space="0"/>
              <w:right w:val="single" w:color="auto" w:sz="4" w:space="0"/>
            </w:tcBorders>
            <w:noWrap w:val="0"/>
            <w:vAlign w:val="center"/>
          </w:tcPr>
          <w:p w14:paraId="02EB7B1E">
            <w:pPr>
              <w:jc w:val="center"/>
              <w:rPr>
                <w:rFonts w:hint="eastAsia" w:ascii="宋体" w:cs="宋体"/>
                <w:color w:val="auto"/>
                <w:szCs w:val="21"/>
              </w:rPr>
            </w:pPr>
            <w:r>
              <w:rPr>
                <w:rFonts w:hint="eastAsia" w:ascii="宋体" w:cs="宋体"/>
                <w:color w:val="auto"/>
                <w:szCs w:val="21"/>
              </w:rPr>
              <w:t>5</w:t>
            </w:r>
          </w:p>
        </w:tc>
      </w:tr>
      <w:tr w14:paraId="6AC066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1805" w:type="dxa"/>
            <w:vMerge w:val="restart"/>
            <w:tcBorders>
              <w:top w:val="single" w:color="auto" w:sz="4" w:space="0"/>
              <w:left w:val="single" w:color="auto" w:sz="4" w:space="0"/>
              <w:right w:val="single" w:color="auto" w:sz="4" w:space="0"/>
            </w:tcBorders>
            <w:noWrap w:val="0"/>
            <w:vAlign w:val="center"/>
          </w:tcPr>
          <w:p w14:paraId="31ECFCF4">
            <w:pPr>
              <w:jc w:val="center"/>
              <w:rPr>
                <w:rFonts w:hint="eastAsia" w:ascii="宋体" w:cs="宋体"/>
                <w:color w:val="auto"/>
                <w:szCs w:val="21"/>
              </w:rPr>
            </w:pPr>
            <w:r>
              <w:rPr>
                <w:rFonts w:hint="eastAsia" w:ascii="宋体" w:cs="宋体"/>
                <w:color w:val="auto"/>
                <w:szCs w:val="21"/>
              </w:rPr>
              <w:t>弄虚作假情形</w:t>
            </w:r>
          </w:p>
        </w:tc>
        <w:tc>
          <w:tcPr>
            <w:tcW w:w="5500" w:type="dxa"/>
            <w:tcBorders>
              <w:top w:val="single" w:color="auto" w:sz="4" w:space="0"/>
              <w:left w:val="single" w:color="auto" w:sz="4" w:space="0"/>
              <w:bottom w:val="single" w:color="auto" w:sz="4" w:space="0"/>
              <w:right w:val="single" w:color="auto" w:sz="4" w:space="0"/>
            </w:tcBorders>
            <w:noWrap w:val="0"/>
            <w:vAlign w:val="center"/>
          </w:tcPr>
          <w:p w14:paraId="7E919934">
            <w:pPr>
              <w:ind w:firstLine="420" w:firstLineChars="200"/>
              <w:jc w:val="both"/>
              <w:rPr>
                <w:rFonts w:hint="eastAsia" w:ascii="宋体" w:cs="宋体"/>
                <w:color w:val="auto"/>
                <w:szCs w:val="21"/>
              </w:rPr>
            </w:pPr>
            <w:r>
              <w:rPr>
                <w:rFonts w:hint="eastAsia" w:ascii="宋体" w:cs="宋体"/>
                <w:color w:val="auto"/>
                <w:szCs w:val="21"/>
              </w:rPr>
              <w:t>提供非关键性假信息</w:t>
            </w:r>
          </w:p>
        </w:tc>
        <w:tc>
          <w:tcPr>
            <w:tcW w:w="1639" w:type="dxa"/>
            <w:tcBorders>
              <w:top w:val="single" w:color="auto" w:sz="4" w:space="0"/>
              <w:left w:val="single" w:color="auto" w:sz="4" w:space="0"/>
              <w:bottom w:val="single" w:color="auto" w:sz="4" w:space="0"/>
              <w:right w:val="single" w:color="auto" w:sz="4" w:space="0"/>
            </w:tcBorders>
            <w:noWrap w:val="0"/>
            <w:vAlign w:val="center"/>
          </w:tcPr>
          <w:p w14:paraId="636AC4DE">
            <w:pPr>
              <w:jc w:val="center"/>
              <w:rPr>
                <w:rFonts w:hint="eastAsia" w:ascii="宋体" w:cs="宋体"/>
                <w:color w:val="auto"/>
                <w:szCs w:val="21"/>
              </w:rPr>
            </w:pPr>
            <w:r>
              <w:rPr>
                <w:rFonts w:hint="eastAsia" w:ascii="宋体" w:cs="宋体"/>
                <w:color w:val="auto"/>
                <w:szCs w:val="21"/>
              </w:rPr>
              <w:t>1</w:t>
            </w:r>
          </w:p>
        </w:tc>
      </w:tr>
      <w:tr w14:paraId="363CD3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1805" w:type="dxa"/>
            <w:vMerge w:val="continue"/>
            <w:tcBorders>
              <w:left w:val="single" w:color="auto" w:sz="4" w:space="0"/>
              <w:right w:val="single" w:color="auto" w:sz="4" w:space="0"/>
            </w:tcBorders>
            <w:noWrap w:val="0"/>
            <w:vAlign w:val="center"/>
          </w:tcPr>
          <w:p w14:paraId="4C00DABB">
            <w:pPr>
              <w:jc w:val="center"/>
              <w:rPr>
                <w:color w:val="auto"/>
              </w:rPr>
            </w:pPr>
          </w:p>
        </w:tc>
        <w:tc>
          <w:tcPr>
            <w:tcW w:w="5500" w:type="dxa"/>
            <w:tcBorders>
              <w:top w:val="single" w:color="auto" w:sz="4" w:space="0"/>
              <w:left w:val="single" w:color="auto" w:sz="4" w:space="0"/>
              <w:bottom w:val="single" w:color="auto" w:sz="4" w:space="0"/>
              <w:right w:val="single" w:color="auto" w:sz="4" w:space="0"/>
            </w:tcBorders>
            <w:noWrap w:val="0"/>
            <w:vAlign w:val="center"/>
          </w:tcPr>
          <w:p w14:paraId="7CA30B02">
            <w:pPr>
              <w:ind w:firstLine="420" w:firstLineChars="200"/>
              <w:jc w:val="both"/>
              <w:rPr>
                <w:rFonts w:hint="eastAsia" w:ascii="宋体" w:cs="宋体"/>
                <w:color w:val="auto"/>
                <w:szCs w:val="21"/>
              </w:rPr>
            </w:pPr>
            <w:r>
              <w:rPr>
                <w:rFonts w:hint="eastAsia" w:ascii="宋体" w:cs="宋体"/>
                <w:color w:val="auto"/>
                <w:szCs w:val="21"/>
              </w:rPr>
              <w:t>提</w:t>
            </w:r>
            <w:r>
              <w:rPr>
                <w:rFonts w:hint="eastAsia" w:ascii="宋体" w:cs="宋体"/>
                <w:color w:val="auto"/>
                <w:szCs w:val="21"/>
                <w:lang w:eastAsia="zh-CN"/>
              </w:rPr>
              <w:t>供虚</w:t>
            </w:r>
            <w:r>
              <w:rPr>
                <w:rFonts w:hint="eastAsia" w:ascii="宋体" w:cs="宋体"/>
                <w:color w:val="auto"/>
                <w:szCs w:val="21"/>
              </w:rPr>
              <w:t>假信息</w:t>
            </w:r>
          </w:p>
        </w:tc>
        <w:tc>
          <w:tcPr>
            <w:tcW w:w="1639" w:type="dxa"/>
            <w:tcBorders>
              <w:top w:val="single" w:color="auto" w:sz="4" w:space="0"/>
              <w:left w:val="single" w:color="auto" w:sz="4" w:space="0"/>
              <w:bottom w:val="single" w:color="auto" w:sz="4" w:space="0"/>
              <w:right w:val="single" w:color="auto" w:sz="4" w:space="0"/>
            </w:tcBorders>
            <w:noWrap w:val="0"/>
            <w:vAlign w:val="center"/>
          </w:tcPr>
          <w:p w14:paraId="15BCF225">
            <w:pPr>
              <w:jc w:val="center"/>
              <w:rPr>
                <w:rFonts w:hint="eastAsia" w:ascii="宋体" w:cs="宋体"/>
                <w:color w:val="auto"/>
                <w:szCs w:val="21"/>
              </w:rPr>
            </w:pPr>
            <w:r>
              <w:rPr>
                <w:rFonts w:hint="eastAsia" w:ascii="宋体" w:cs="宋体"/>
                <w:color w:val="auto"/>
                <w:szCs w:val="21"/>
              </w:rPr>
              <w:t>3</w:t>
            </w:r>
          </w:p>
        </w:tc>
      </w:tr>
      <w:tr w14:paraId="0B34DC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1805" w:type="dxa"/>
            <w:vMerge w:val="continue"/>
            <w:tcBorders>
              <w:left w:val="single" w:color="auto" w:sz="4" w:space="0"/>
              <w:bottom w:val="single" w:color="auto" w:sz="4" w:space="0"/>
              <w:right w:val="single" w:color="auto" w:sz="4" w:space="0"/>
            </w:tcBorders>
            <w:noWrap w:val="0"/>
            <w:vAlign w:val="center"/>
          </w:tcPr>
          <w:p w14:paraId="4C9BAAA6">
            <w:pPr>
              <w:jc w:val="center"/>
              <w:rPr>
                <w:color w:val="auto"/>
              </w:rPr>
            </w:pPr>
          </w:p>
        </w:tc>
        <w:tc>
          <w:tcPr>
            <w:tcW w:w="5500" w:type="dxa"/>
            <w:tcBorders>
              <w:top w:val="single" w:color="auto" w:sz="4" w:space="0"/>
              <w:left w:val="single" w:color="auto" w:sz="4" w:space="0"/>
              <w:bottom w:val="single" w:color="auto" w:sz="4" w:space="0"/>
              <w:right w:val="single" w:color="auto" w:sz="4" w:space="0"/>
            </w:tcBorders>
            <w:noWrap w:val="0"/>
            <w:vAlign w:val="center"/>
          </w:tcPr>
          <w:p w14:paraId="1C87167C">
            <w:pPr>
              <w:ind w:firstLine="420" w:firstLineChars="200"/>
              <w:jc w:val="both"/>
              <w:rPr>
                <w:rFonts w:hint="eastAsia" w:ascii="宋体" w:cs="宋体"/>
                <w:color w:val="auto"/>
                <w:szCs w:val="21"/>
              </w:rPr>
            </w:pPr>
            <w:r>
              <w:rPr>
                <w:rFonts w:hint="eastAsia" w:ascii="宋体" w:cs="宋体"/>
                <w:color w:val="auto"/>
                <w:szCs w:val="21"/>
              </w:rPr>
              <w:t>伪造现场或证据</w:t>
            </w:r>
          </w:p>
        </w:tc>
        <w:tc>
          <w:tcPr>
            <w:tcW w:w="1639" w:type="dxa"/>
            <w:tcBorders>
              <w:top w:val="single" w:color="auto" w:sz="4" w:space="0"/>
              <w:left w:val="single" w:color="auto" w:sz="4" w:space="0"/>
              <w:bottom w:val="single" w:color="auto" w:sz="4" w:space="0"/>
              <w:right w:val="single" w:color="auto" w:sz="4" w:space="0"/>
            </w:tcBorders>
            <w:noWrap w:val="0"/>
            <w:vAlign w:val="center"/>
          </w:tcPr>
          <w:p w14:paraId="3F2E8751">
            <w:pPr>
              <w:jc w:val="center"/>
              <w:rPr>
                <w:rFonts w:hint="eastAsia" w:ascii="宋体" w:cs="宋体"/>
                <w:color w:val="auto"/>
                <w:szCs w:val="21"/>
              </w:rPr>
            </w:pPr>
            <w:r>
              <w:rPr>
                <w:rFonts w:hint="eastAsia" w:ascii="宋体" w:cs="宋体"/>
                <w:color w:val="auto"/>
                <w:szCs w:val="21"/>
              </w:rPr>
              <w:t>5</w:t>
            </w:r>
          </w:p>
        </w:tc>
      </w:tr>
    </w:tbl>
    <w:p w14:paraId="3B624043">
      <w:pPr>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br w:type="page"/>
      </w:r>
    </w:p>
    <w:tbl>
      <w:tblPr>
        <w:tblStyle w:val="8"/>
        <w:tblW w:w="503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3"/>
        <w:gridCol w:w="5881"/>
        <w:gridCol w:w="1321"/>
      </w:tblGrid>
      <w:tr w14:paraId="257FF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9007" w:type="dxa"/>
            <w:gridSpan w:val="3"/>
            <w:noWrap w:val="0"/>
            <w:vAlign w:val="center"/>
          </w:tcPr>
          <w:p w14:paraId="3E72412D">
            <w:pPr>
              <w:jc w:val="center"/>
              <w:rPr>
                <w:rFonts w:hint="eastAsia" w:ascii="宋体" w:cs="宋体"/>
                <w:color w:val="auto"/>
                <w:szCs w:val="21"/>
              </w:rPr>
            </w:pPr>
            <w:r>
              <w:rPr>
                <w:rFonts w:hint="eastAsia" w:ascii="宋体" w:hAnsi="宋体" w:eastAsia="宋体" w:cs="宋体"/>
                <w:color w:val="auto"/>
                <w:sz w:val="21"/>
                <w:szCs w:val="21"/>
                <w:highlight w:val="none"/>
                <w:lang w:eastAsia="zh-CN"/>
              </w:rPr>
              <w:t>（七）土壤污染防治类</w:t>
            </w:r>
          </w:p>
        </w:tc>
      </w:tr>
      <w:tr w14:paraId="3FD09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1804" w:type="dxa"/>
            <w:noWrap w:val="0"/>
            <w:vAlign w:val="center"/>
          </w:tcPr>
          <w:p w14:paraId="02416F4F">
            <w:pPr>
              <w:jc w:val="center"/>
              <w:rPr>
                <w:rFonts w:hint="eastAsia" w:ascii="宋体" w:cs="宋体"/>
                <w:color w:val="auto"/>
                <w:szCs w:val="21"/>
              </w:rPr>
            </w:pPr>
            <w:r>
              <w:rPr>
                <w:rFonts w:hint="eastAsia" w:ascii="宋体" w:cs="宋体"/>
                <w:color w:val="auto"/>
                <w:szCs w:val="21"/>
              </w:rPr>
              <w:t>序号</w:t>
            </w:r>
          </w:p>
        </w:tc>
        <w:tc>
          <w:tcPr>
            <w:tcW w:w="7203" w:type="dxa"/>
            <w:gridSpan w:val="2"/>
            <w:noWrap w:val="0"/>
            <w:vAlign w:val="center"/>
          </w:tcPr>
          <w:p w14:paraId="3B7F42A9">
            <w:pPr>
              <w:jc w:val="center"/>
              <w:rPr>
                <w:rFonts w:hint="default" w:ascii="宋体" w:eastAsia="宋体" w:cs="宋体"/>
                <w:color w:val="auto"/>
                <w:szCs w:val="21"/>
                <w:lang w:val="en-US" w:eastAsia="zh-CN"/>
              </w:rPr>
            </w:pPr>
            <w:r>
              <w:rPr>
                <w:rFonts w:hint="eastAsia" w:ascii="宋体" w:cs="宋体"/>
                <w:color w:val="auto"/>
                <w:szCs w:val="21"/>
                <w:lang w:val="en-US" w:eastAsia="zh-CN"/>
              </w:rPr>
              <w:t>30</w:t>
            </w:r>
          </w:p>
        </w:tc>
      </w:tr>
      <w:tr w14:paraId="1E53B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1804" w:type="dxa"/>
            <w:noWrap w:val="0"/>
            <w:vAlign w:val="center"/>
          </w:tcPr>
          <w:p w14:paraId="1276044F">
            <w:pPr>
              <w:jc w:val="center"/>
              <w:rPr>
                <w:rFonts w:hint="eastAsia" w:ascii="宋体" w:cs="宋体"/>
                <w:color w:val="auto"/>
                <w:szCs w:val="21"/>
              </w:rPr>
            </w:pPr>
            <w:r>
              <w:rPr>
                <w:rFonts w:hint="eastAsia" w:ascii="宋体" w:cs="宋体"/>
                <w:color w:val="auto"/>
                <w:szCs w:val="21"/>
              </w:rPr>
              <w:t>违法行为</w:t>
            </w:r>
          </w:p>
        </w:tc>
        <w:tc>
          <w:tcPr>
            <w:tcW w:w="7203" w:type="dxa"/>
            <w:gridSpan w:val="2"/>
            <w:noWrap w:val="0"/>
            <w:vAlign w:val="center"/>
          </w:tcPr>
          <w:p w14:paraId="5CCB9FED">
            <w:pPr>
              <w:ind w:firstLine="420" w:firstLineChars="200"/>
              <w:jc w:val="both"/>
              <w:rPr>
                <w:rFonts w:hint="eastAsia" w:ascii="宋体" w:cs="宋体"/>
                <w:color w:val="auto"/>
                <w:szCs w:val="21"/>
              </w:rPr>
            </w:pPr>
            <w:r>
              <w:rPr>
                <w:rFonts w:hint="eastAsia" w:ascii="宋体" w:cs="宋体"/>
                <w:color w:val="auto"/>
                <w:szCs w:val="21"/>
              </w:rPr>
              <w:t>土壤污染重点监管单位未按照要求开展土壤污染隐患排查的</w:t>
            </w:r>
          </w:p>
        </w:tc>
      </w:tr>
      <w:tr w14:paraId="6566B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6" w:hRule="atLeast"/>
          <w:jc w:val="center"/>
        </w:trPr>
        <w:tc>
          <w:tcPr>
            <w:tcW w:w="1804" w:type="dxa"/>
            <w:noWrap w:val="0"/>
            <w:vAlign w:val="center"/>
          </w:tcPr>
          <w:p w14:paraId="6C22E2EB">
            <w:pPr>
              <w:jc w:val="center"/>
              <w:rPr>
                <w:rFonts w:hint="eastAsia" w:ascii="宋体" w:cs="宋体"/>
                <w:color w:val="auto"/>
                <w:szCs w:val="21"/>
              </w:rPr>
            </w:pPr>
            <w:r>
              <w:rPr>
                <w:rFonts w:hint="eastAsia" w:ascii="宋体" w:cs="宋体"/>
                <w:color w:val="auto"/>
                <w:szCs w:val="21"/>
              </w:rPr>
              <w:t>违反条款</w:t>
            </w:r>
          </w:p>
        </w:tc>
        <w:tc>
          <w:tcPr>
            <w:tcW w:w="7203" w:type="dxa"/>
            <w:gridSpan w:val="2"/>
            <w:noWrap w:val="0"/>
            <w:vAlign w:val="center"/>
          </w:tcPr>
          <w:p w14:paraId="1FB93520">
            <w:pPr>
              <w:ind w:firstLine="420" w:firstLineChars="200"/>
              <w:jc w:val="both"/>
              <w:rPr>
                <w:rFonts w:hint="eastAsia" w:ascii="宋体" w:cs="宋体"/>
                <w:color w:val="auto"/>
                <w:szCs w:val="21"/>
              </w:rPr>
            </w:pPr>
            <w:r>
              <w:rPr>
                <w:rFonts w:hint="eastAsia" w:ascii="宋体" w:cs="宋体"/>
                <w:color w:val="auto"/>
                <w:szCs w:val="21"/>
              </w:rPr>
              <w:t>《</w:t>
            </w:r>
            <w:r>
              <w:rPr>
                <w:rFonts w:hint="eastAsia" w:ascii="宋体" w:cs="宋体"/>
                <w:color w:val="auto"/>
                <w:szCs w:val="21"/>
              </w:rPr>
              <w:fldChar w:fldCharType="begin"/>
            </w:r>
            <w:r>
              <w:rPr>
                <w:rFonts w:hint="eastAsia" w:ascii="宋体" w:cs="宋体"/>
                <w:color w:val="auto"/>
                <w:szCs w:val="21"/>
              </w:rPr>
              <w:instrText xml:space="preserve"> HYPERLINK  "https://alphalawyer.cn/ilawregu-search/api/v1/lawregu/redict/5bbd0587e515e4b758147a52ad7b65eb"</w:instrText>
            </w:r>
            <w:r>
              <w:rPr>
                <w:rFonts w:hint="eastAsia" w:ascii="宋体" w:cs="宋体"/>
                <w:color w:val="auto"/>
                <w:szCs w:val="21"/>
              </w:rPr>
              <w:fldChar w:fldCharType="separate"/>
            </w:r>
            <w:r>
              <w:rPr>
                <w:rFonts w:hint="eastAsia" w:ascii="宋体" w:cs="宋体"/>
                <w:color w:val="auto"/>
                <w:szCs w:val="21"/>
              </w:rPr>
              <w:t>福建省土壤污染防治条例</w:t>
            </w:r>
            <w:r>
              <w:rPr>
                <w:rFonts w:hint="eastAsia" w:ascii="宋体" w:cs="宋体"/>
                <w:color w:val="auto"/>
                <w:szCs w:val="21"/>
              </w:rPr>
              <w:fldChar w:fldCharType="end"/>
            </w:r>
            <w:r>
              <w:rPr>
                <w:rFonts w:hint="eastAsia" w:ascii="宋体" w:cs="宋体"/>
                <w:color w:val="auto"/>
                <w:szCs w:val="21"/>
                <w:lang w:val="zh-CN"/>
              </w:rPr>
              <w:t>》</w:t>
            </w:r>
            <w:r>
              <w:rPr>
                <w:rFonts w:hint="eastAsia" w:ascii="宋体" w:cs="宋体"/>
                <w:color w:val="auto"/>
                <w:szCs w:val="21"/>
              </w:rPr>
              <w:t>第四十一条第二款</w:t>
            </w:r>
            <w:r>
              <w:rPr>
                <w:rFonts w:hint="eastAsia" w:ascii="宋体" w:cs="宋体"/>
                <w:color w:val="auto"/>
                <w:szCs w:val="21"/>
                <w:lang w:val="en-US" w:eastAsia="zh-CN"/>
              </w:rPr>
              <w:t xml:space="preserve"> </w:t>
            </w:r>
            <w:r>
              <w:rPr>
                <w:rFonts w:hint="eastAsia" w:ascii="宋体" w:cs="宋体"/>
                <w:color w:val="auto"/>
                <w:szCs w:val="21"/>
              </w:rPr>
              <w:t>土壤污染重点监管单位应当按照相关法律、法规和标准规范的要求，开展土壤污染隐患排查，制定环境应急预案并定期演练。</w:t>
            </w:r>
          </w:p>
        </w:tc>
      </w:tr>
      <w:tr w14:paraId="514D3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2" w:hRule="atLeast"/>
          <w:jc w:val="center"/>
        </w:trPr>
        <w:tc>
          <w:tcPr>
            <w:tcW w:w="1804" w:type="dxa"/>
            <w:noWrap w:val="0"/>
            <w:vAlign w:val="center"/>
          </w:tcPr>
          <w:p w14:paraId="7F1D0CA9">
            <w:pPr>
              <w:jc w:val="center"/>
              <w:rPr>
                <w:rFonts w:hint="eastAsia" w:ascii="宋体" w:cs="宋体"/>
                <w:color w:val="auto"/>
                <w:szCs w:val="21"/>
              </w:rPr>
            </w:pPr>
            <w:r>
              <w:rPr>
                <w:rFonts w:hint="eastAsia" w:ascii="宋体" w:cs="宋体"/>
                <w:color w:val="auto"/>
                <w:szCs w:val="21"/>
              </w:rPr>
              <w:t>处罚依据</w:t>
            </w:r>
          </w:p>
        </w:tc>
        <w:tc>
          <w:tcPr>
            <w:tcW w:w="7203" w:type="dxa"/>
            <w:gridSpan w:val="2"/>
            <w:noWrap w:val="0"/>
            <w:vAlign w:val="center"/>
          </w:tcPr>
          <w:p w14:paraId="732F7AE8">
            <w:pPr>
              <w:ind w:firstLine="420" w:firstLineChars="200"/>
              <w:jc w:val="both"/>
              <w:rPr>
                <w:rFonts w:hint="eastAsia" w:ascii="宋体" w:cs="宋体"/>
                <w:color w:val="auto"/>
                <w:szCs w:val="21"/>
              </w:rPr>
            </w:pPr>
            <w:r>
              <w:rPr>
                <w:rFonts w:hint="eastAsia" w:ascii="宋体" w:cs="宋体"/>
                <w:color w:val="auto"/>
                <w:szCs w:val="21"/>
              </w:rPr>
              <w:t>《</w:t>
            </w:r>
            <w:r>
              <w:rPr>
                <w:rFonts w:hint="eastAsia" w:ascii="宋体" w:cs="宋体"/>
                <w:color w:val="auto"/>
                <w:szCs w:val="21"/>
              </w:rPr>
              <w:fldChar w:fldCharType="begin"/>
            </w:r>
            <w:r>
              <w:rPr>
                <w:rFonts w:hint="eastAsia" w:ascii="宋体" w:cs="宋体"/>
                <w:color w:val="auto"/>
                <w:szCs w:val="21"/>
              </w:rPr>
              <w:instrText xml:space="preserve"> HYPERLINK  "https://alphalawyer.cn/ilawregu-search/api/v1/lawregu/redict/5bbd0587e515e4b758147a52ad7b65eb"</w:instrText>
            </w:r>
            <w:r>
              <w:rPr>
                <w:rFonts w:hint="eastAsia" w:ascii="宋体" w:cs="宋体"/>
                <w:color w:val="auto"/>
                <w:szCs w:val="21"/>
              </w:rPr>
              <w:fldChar w:fldCharType="separate"/>
            </w:r>
            <w:r>
              <w:rPr>
                <w:rFonts w:hint="eastAsia" w:ascii="宋体" w:cs="宋体"/>
                <w:color w:val="auto"/>
                <w:szCs w:val="21"/>
              </w:rPr>
              <w:t>福建省土壤污染防治条例</w:t>
            </w:r>
            <w:r>
              <w:rPr>
                <w:rFonts w:hint="eastAsia" w:ascii="宋体" w:cs="宋体"/>
                <w:color w:val="auto"/>
                <w:szCs w:val="21"/>
              </w:rPr>
              <w:fldChar w:fldCharType="end"/>
            </w:r>
            <w:r>
              <w:rPr>
                <w:rFonts w:hint="eastAsia" w:ascii="宋体" w:cs="宋体"/>
                <w:color w:val="auto"/>
                <w:szCs w:val="21"/>
                <w:lang w:val="zh-CN"/>
              </w:rPr>
              <w:t>》</w:t>
            </w:r>
            <w:r>
              <w:rPr>
                <w:rFonts w:hint="eastAsia" w:ascii="宋体" w:cs="宋体"/>
                <w:color w:val="auto"/>
                <w:szCs w:val="21"/>
              </w:rPr>
              <w:t>第四十七条</w:t>
            </w:r>
            <w:r>
              <w:rPr>
                <w:rFonts w:hint="eastAsia" w:ascii="宋体" w:cs="宋体"/>
                <w:color w:val="auto"/>
                <w:szCs w:val="21"/>
                <w:lang w:val="en-US" w:eastAsia="zh-CN"/>
              </w:rPr>
              <w:t xml:space="preserve"> </w:t>
            </w:r>
            <w:r>
              <w:rPr>
                <w:rFonts w:hint="eastAsia" w:ascii="宋体" w:cs="宋体"/>
                <w:color w:val="auto"/>
                <w:szCs w:val="21"/>
              </w:rPr>
              <w:t>违反本条例第四十一条第二款规定，土壤污染重点监管单位未按照要求开展土壤污染隐患排查的，由省、设区的市人民政府生态环境主管部门责令改正，处二万元以上十万元以下的罚款；</w:t>
            </w:r>
            <w:r>
              <w:rPr>
                <w:rFonts w:hint="eastAsia" w:ascii="宋体" w:cs="宋体"/>
                <w:color w:val="auto"/>
                <w:szCs w:val="21"/>
                <w:lang w:eastAsia="zh-CN"/>
              </w:rPr>
              <w:t>……</w:t>
            </w:r>
            <w:r>
              <w:rPr>
                <w:rFonts w:hint="eastAsia" w:ascii="宋体" w:cs="宋体"/>
                <w:color w:val="auto"/>
                <w:szCs w:val="21"/>
              </w:rPr>
              <w:t>。</w:t>
            </w:r>
          </w:p>
        </w:tc>
      </w:tr>
      <w:tr w14:paraId="19C38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1804" w:type="dxa"/>
            <w:noWrap w:val="0"/>
            <w:vAlign w:val="center"/>
          </w:tcPr>
          <w:p w14:paraId="1049D52F">
            <w:pPr>
              <w:jc w:val="center"/>
              <w:rPr>
                <w:rFonts w:hint="eastAsia" w:ascii="宋体" w:cs="宋体"/>
                <w:color w:val="auto"/>
                <w:szCs w:val="21"/>
              </w:rPr>
            </w:pPr>
            <w:r>
              <w:rPr>
                <w:rFonts w:hint="eastAsia" w:ascii="宋体" w:cs="宋体"/>
                <w:color w:val="auto"/>
                <w:szCs w:val="21"/>
              </w:rPr>
              <w:t>裁量因素</w:t>
            </w:r>
          </w:p>
        </w:tc>
        <w:tc>
          <w:tcPr>
            <w:tcW w:w="5882" w:type="dxa"/>
            <w:noWrap w:val="0"/>
            <w:vAlign w:val="center"/>
          </w:tcPr>
          <w:p w14:paraId="13BC2065">
            <w:pPr>
              <w:jc w:val="center"/>
              <w:rPr>
                <w:rFonts w:hint="eastAsia" w:ascii="宋体" w:cs="宋体"/>
                <w:color w:val="auto"/>
                <w:szCs w:val="21"/>
              </w:rPr>
            </w:pPr>
            <w:r>
              <w:rPr>
                <w:rFonts w:hint="eastAsia" w:ascii="宋体" w:cs="宋体"/>
                <w:color w:val="auto"/>
                <w:szCs w:val="21"/>
              </w:rPr>
              <w:t>裁量因子</w:t>
            </w:r>
          </w:p>
        </w:tc>
        <w:tc>
          <w:tcPr>
            <w:tcW w:w="1321" w:type="dxa"/>
            <w:noWrap w:val="0"/>
            <w:vAlign w:val="center"/>
          </w:tcPr>
          <w:p w14:paraId="11567126">
            <w:pPr>
              <w:jc w:val="center"/>
              <w:rPr>
                <w:rFonts w:hint="eastAsia" w:ascii="宋体" w:cs="宋体"/>
                <w:color w:val="auto"/>
                <w:szCs w:val="21"/>
              </w:rPr>
            </w:pPr>
            <w:r>
              <w:rPr>
                <w:rFonts w:hint="eastAsia" w:ascii="宋体" w:cs="宋体"/>
                <w:color w:val="auto"/>
                <w:szCs w:val="21"/>
              </w:rPr>
              <w:t>裁量等级</w:t>
            </w:r>
          </w:p>
        </w:tc>
      </w:tr>
      <w:tr w14:paraId="432BD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1804" w:type="dxa"/>
            <w:vMerge w:val="restart"/>
            <w:noWrap w:val="0"/>
            <w:vAlign w:val="center"/>
          </w:tcPr>
          <w:p w14:paraId="4D4CC5B8">
            <w:pPr>
              <w:jc w:val="center"/>
              <w:rPr>
                <w:rFonts w:hint="eastAsia" w:ascii="宋体" w:cs="宋体"/>
                <w:color w:val="auto"/>
                <w:szCs w:val="21"/>
              </w:rPr>
            </w:pPr>
            <w:r>
              <w:rPr>
                <w:rFonts w:hint="eastAsia" w:ascii="宋体" w:cs="宋体"/>
                <w:color w:val="auto"/>
                <w:szCs w:val="21"/>
              </w:rPr>
              <w:t>土壤环境</w:t>
            </w:r>
          </w:p>
          <w:p w14:paraId="25787DE1">
            <w:pPr>
              <w:jc w:val="center"/>
              <w:rPr>
                <w:rFonts w:hint="eastAsia" w:ascii="宋体" w:cs="宋体"/>
                <w:color w:val="auto"/>
                <w:szCs w:val="21"/>
              </w:rPr>
            </w:pPr>
            <w:r>
              <w:rPr>
                <w:rFonts w:hint="eastAsia" w:ascii="宋体" w:cs="宋体"/>
                <w:color w:val="auto"/>
                <w:szCs w:val="21"/>
              </w:rPr>
              <w:t>敏感度</w:t>
            </w:r>
          </w:p>
        </w:tc>
        <w:tc>
          <w:tcPr>
            <w:tcW w:w="5882" w:type="dxa"/>
            <w:noWrap w:val="0"/>
            <w:vAlign w:val="center"/>
          </w:tcPr>
          <w:p w14:paraId="1166DF3E">
            <w:pPr>
              <w:ind w:firstLine="420" w:firstLineChars="200"/>
              <w:jc w:val="both"/>
              <w:rPr>
                <w:rFonts w:hint="eastAsia" w:ascii="宋体" w:cs="宋体"/>
                <w:color w:val="auto"/>
                <w:szCs w:val="21"/>
              </w:rPr>
            </w:pPr>
            <w:r>
              <w:rPr>
                <w:rFonts w:hint="eastAsia" w:ascii="宋体" w:cs="宋体"/>
                <w:color w:val="auto"/>
                <w:szCs w:val="21"/>
              </w:rPr>
              <w:t>第二类建设用地</w:t>
            </w:r>
          </w:p>
        </w:tc>
        <w:tc>
          <w:tcPr>
            <w:tcW w:w="1321" w:type="dxa"/>
            <w:noWrap w:val="0"/>
            <w:vAlign w:val="center"/>
          </w:tcPr>
          <w:p w14:paraId="5766DFC7">
            <w:pPr>
              <w:jc w:val="center"/>
              <w:rPr>
                <w:rFonts w:hint="eastAsia" w:ascii="宋体" w:cs="宋体"/>
                <w:color w:val="auto"/>
                <w:szCs w:val="21"/>
              </w:rPr>
            </w:pPr>
            <w:r>
              <w:rPr>
                <w:rFonts w:hint="eastAsia" w:ascii="宋体" w:cs="宋体"/>
                <w:color w:val="auto"/>
                <w:szCs w:val="21"/>
              </w:rPr>
              <w:t>1</w:t>
            </w:r>
          </w:p>
        </w:tc>
      </w:tr>
      <w:tr w14:paraId="6C489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1804" w:type="dxa"/>
            <w:vMerge w:val="continue"/>
            <w:noWrap w:val="0"/>
            <w:vAlign w:val="center"/>
          </w:tcPr>
          <w:p w14:paraId="489C4A1C">
            <w:pPr>
              <w:rPr>
                <w:color w:val="auto"/>
              </w:rPr>
            </w:pPr>
          </w:p>
        </w:tc>
        <w:tc>
          <w:tcPr>
            <w:tcW w:w="5882" w:type="dxa"/>
            <w:noWrap w:val="0"/>
            <w:vAlign w:val="bottom"/>
          </w:tcPr>
          <w:p w14:paraId="30A35F69">
            <w:pPr>
              <w:ind w:firstLine="420" w:firstLineChars="200"/>
              <w:jc w:val="both"/>
              <w:rPr>
                <w:rFonts w:hint="eastAsia" w:ascii="宋体" w:cs="宋体"/>
                <w:color w:val="auto"/>
                <w:szCs w:val="21"/>
              </w:rPr>
            </w:pPr>
            <w:r>
              <w:rPr>
                <w:rFonts w:hint="eastAsia" w:ascii="宋体" w:cs="宋体"/>
                <w:color w:val="auto"/>
                <w:szCs w:val="21"/>
              </w:rPr>
              <w:t>第一类建设用地</w:t>
            </w:r>
          </w:p>
        </w:tc>
        <w:tc>
          <w:tcPr>
            <w:tcW w:w="1321" w:type="dxa"/>
            <w:noWrap w:val="0"/>
            <w:vAlign w:val="bottom"/>
          </w:tcPr>
          <w:p w14:paraId="492F24C1">
            <w:pPr>
              <w:jc w:val="center"/>
              <w:rPr>
                <w:rFonts w:hint="eastAsia" w:ascii="宋体" w:cs="宋体"/>
                <w:color w:val="auto"/>
                <w:szCs w:val="21"/>
              </w:rPr>
            </w:pPr>
            <w:r>
              <w:rPr>
                <w:rFonts w:hint="eastAsia" w:ascii="宋体" w:cs="宋体"/>
                <w:color w:val="auto"/>
                <w:szCs w:val="21"/>
              </w:rPr>
              <w:t>2</w:t>
            </w:r>
          </w:p>
        </w:tc>
      </w:tr>
      <w:tr w14:paraId="2501F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1804" w:type="dxa"/>
            <w:vMerge w:val="continue"/>
            <w:noWrap w:val="0"/>
            <w:vAlign w:val="center"/>
          </w:tcPr>
          <w:p w14:paraId="275649A9">
            <w:pPr>
              <w:rPr>
                <w:color w:val="auto"/>
              </w:rPr>
            </w:pPr>
          </w:p>
        </w:tc>
        <w:tc>
          <w:tcPr>
            <w:tcW w:w="5882" w:type="dxa"/>
            <w:noWrap w:val="0"/>
            <w:vAlign w:val="bottom"/>
          </w:tcPr>
          <w:p w14:paraId="33A35291">
            <w:pPr>
              <w:ind w:firstLine="420" w:firstLineChars="200"/>
              <w:jc w:val="both"/>
              <w:rPr>
                <w:rFonts w:hint="eastAsia" w:ascii="宋体" w:cs="宋体"/>
                <w:color w:val="auto"/>
                <w:szCs w:val="21"/>
              </w:rPr>
            </w:pPr>
            <w:r>
              <w:rPr>
                <w:rFonts w:hint="eastAsia" w:ascii="宋体" w:cs="宋体"/>
                <w:color w:val="auto"/>
                <w:szCs w:val="21"/>
              </w:rPr>
              <w:t>严格管控类农用地</w:t>
            </w:r>
          </w:p>
        </w:tc>
        <w:tc>
          <w:tcPr>
            <w:tcW w:w="1321" w:type="dxa"/>
            <w:noWrap w:val="0"/>
            <w:vAlign w:val="bottom"/>
          </w:tcPr>
          <w:p w14:paraId="1187F186">
            <w:pPr>
              <w:jc w:val="center"/>
              <w:rPr>
                <w:rFonts w:hint="eastAsia" w:ascii="宋体" w:cs="宋体"/>
                <w:color w:val="auto"/>
                <w:szCs w:val="21"/>
              </w:rPr>
            </w:pPr>
            <w:r>
              <w:rPr>
                <w:rFonts w:hint="eastAsia" w:ascii="宋体" w:cs="宋体"/>
                <w:color w:val="auto"/>
                <w:szCs w:val="21"/>
              </w:rPr>
              <w:t>3</w:t>
            </w:r>
          </w:p>
        </w:tc>
      </w:tr>
      <w:tr w14:paraId="4E8E4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1804" w:type="dxa"/>
            <w:vMerge w:val="continue"/>
            <w:noWrap w:val="0"/>
            <w:vAlign w:val="center"/>
          </w:tcPr>
          <w:p w14:paraId="39D3E4F5">
            <w:pPr>
              <w:rPr>
                <w:color w:val="auto"/>
              </w:rPr>
            </w:pPr>
          </w:p>
        </w:tc>
        <w:tc>
          <w:tcPr>
            <w:tcW w:w="5882" w:type="dxa"/>
            <w:noWrap w:val="0"/>
            <w:vAlign w:val="bottom"/>
          </w:tcPr>
          <w:p w14:paraId="3CF95C28">
            <w:pPr>
              <w:ind w:firstLine="420" w:firstLineChars="200"/>
              <w:jc w:val="both"/>
              <w:rPr>
                <w:rFonts w:hint="eastAsia" w:ascii="宋体" w:cs="宋体"/>
                <w:color w:val="auto"/>
                <w:szCs w:val="21"/>
              </w:rPr>
            </w:pPr>
            <w:r>
              <w:rPr>
                <w:rFonts w:hint="eastAsia" w:ascii="宋体" w:cs="宋体"/>
                <w:color w:val="auto"/>
                <w:szCs w:val="21"/>
              </w:rPr>
              <w:t>安全利用类农用地</w:t>
            </w:r>
          </w:p>
        </w:tc>
        <w:tc>
          <w:tcPr>
            <w:tcW w:w="1321" w:type="dxa"/>
            <w:noWrap w:val="0"/>
            <w:vAlign w:val="bottom"/>
          </w:tcPr>
          <w:p w14:paraId="79E6EFC0">
            <w:pPr>
              <w:jc w:val="center"/>
              <w:rPr>
                <w:rFonts w:hint="eastAsia" w:ascii="宋体" w:cs="宋体"/>
                <w:color w:val="auto"/>
                <w:szCs w:val="21"/>
              </w:rPr>
            </w:pPr>
            <w:r>
              <w:rPr>
                <w:rFonts w:hint="eastAsia" w:ascii="宋体" w:cs="宋体"/>
                <w:color w:val="auto"/>
                <w:szCs w:val="21"/>
              </w:rPr>
              <w:t>4</w:t>
            </w:r>
          </w:p>
        </w:tc>
      </w:tr>
      <w:tr w14:paraId="7D87D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1804" w:type="dxa"/>
            <w:vMerge w:val="continue"/>
            <w:noWrap w:val="0"/>
            <w:vAlign w:val="center"/>
          </w:tcPr>
          <w:p w14:paraId="685EE3A4">
            <w:pPr>
              <w:rPr>
                <w:color w:val="auto"/>
              </w:rPr>
            </w:pPr>
          </w:p>
        </w:tc>
        <w:tc>
          <w:tcPr>
            <w:tcW w:w="5882" w:type="dxa"/>
            <w:noWrap w:val="0"/>
            <w:vAlign w:val="bottom"/>
          </w:tcPr>
          <w:p w14:paraId="18BC2FA8">
            <w:pPr>
              <w:ind w:firstLine="420" w:firstLineChars="200"/>
              <w:jc w:val="both"/>
              <w:rPr>
                <w:rFonts w:hint="eastAsia" w:ascii="宋体" w:cs="宋体"/>
                <w:color w:val="auto"/>
                <w:szCs w:val="21"/>
              </w:rPr>
            </w:pPr>
            <w:r>
              <w:rPr>
                <w:rFonts w:hint="eastAsia" w:ascii="宋体" w:cs="宋体"/>
                <w:color w:val="auto"/>
                <w:szCs w:val="21"/>
              </w:rPr>
              <w:t>优先保护类农用地</w:t>
            </w:r>
          </w:p>
        </w:tc>
        <w:tc>
          <w:tcPr>
            <w:tcW w:w="1321" w:type="dxa"/>
            <w:noWrap w:val="0"/>
            <w:vAlign w:val="bottom"/>
          </w:tcPr>
          <w:p w14:paraId="0CA6EACB">
            <w:pPr>
              <w:jc w:val="center"/>
              <w:rPr>
                <w:rFonts w:hint="eastAsia" w:ascii="宋体" w:cs="宋体"/>
                <w:color w:val="auto"/>
                <w:szCs w:val="21"/>
              </w:rPr>
            </w:pPr>
            <w:r>
              <w:rPr>
                <w:rFonts w:hint="eastAsia" w:ascii="宋体" w:cs="宋体"/>
                <w:color w:val="auto"/>
                <w:szCs w:val="21"/>
              </w:rPr>
              <w:t>5</w:t>
            </w:r>
          </w:p>
        </w:tc>
      </w:tr>
      <w:tr w14:paraId="453FC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1804" w:type="dxa"/>
            <w:vMerge w:val="restart"/>
            <w:noWrap w:val="0"/>
            <w:vAlign w:val="center"/>
          </w:tcPr>
          <w:p w14:paraId="79FDA021">
            <w:pPr>
              <w:jc w:val="center"/>
              <w:rPr>
                <w:rFonts w:hint="eastAsia" w:ascii="宋体" w:cs="宋体"/>
                <w:color w:val="auto"/>
                <w:szCs w:val="21"/>
              </w:rPr>
            </w:pPr>
            <w:r>
              <w:rPr>
                <w:rFonts w:hint="eastAsia" w:ascii="宋体" w:cs="宋体"/>
                <w:color w:val="auto"/>
                <w:szCs w:val="21"/>
              </w:rPr>
              <w:t>排污类型</w:t>
            </w:r>
          </w:p>
        </w:tc>
        <w:tc>
          <w:tcPr>
            <w:tcW w:w="5882" w:type="dxa"/>
            <w:noWrap w:val="0"/>
            <w:vAlign w:val="center"/>
          </w:tcPr>
          <w:p w14:paraId="5FA4A689">
            <w:pPr>
              <w:ind w:firstLine="420" w:firstLineChars="200"/>
              <w:jc w:val="both"/>
              <w:rPr>
                <w:rFonts w:hint="eastAsia" w:ascii="宋体" w:cs="宋体"/>
                <w:color w:val="auto"/>
                <w:szCs w:val="21"/>
              </w:rPr>
            </w:pPr>
            <w:r>
              <w:rPr>
                <w:rFonts w:hint="eastAsia" w:ascii="宋体" w:cs="宋体"/>
                <w:color w:val="auto"/>
                <w:szCs w:val="21"/>
              </w:rPr>
              <w:t>一般污染物</w:t>
            </w:r>
          </w:p>
        </w:tc>
        <w:tc>
          <w:tcPr>
            <w:tcW w:w="1321" w:type="dxa"/>
            <w:noWrap w:val="0"/>
            <w:vAlign w:val="center"/>
          </w:tcPr>
          <w:p w14:paraId="494CFA09">
            <w:pPr>
              <w:jc w:val="center"/>
              <w:rPr>
                <w:rFonts w:hint="eastAsia" w:ascii="宋体" w:cs="宋体"/>
                <w:color w:val="auto"/>
                <w:szCs w:val="21"/>
              </w:rPr>
            </w:pPr>
            <w:r>
              <w:rPr>
                <w:rFonts w:hint="eastAsia" w:ascii="宋体" w:cs="宋体"/>
                <w:color w:val="auto"/>
                <w:szCs w:val="21"/>
              </w:rPr>
              <w:t>1</w:t>
            </w:r>
          </w:p>
        </w:tc>
      </w:tr>
      <w:tr w14:paraId="7CB72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1804" w:type="dxa"/>
            <w:vMerge w:val="continue"/>
            <w:noWrap w:val="0"/>
            <w:vAlign w:val="center"/>
          </w:tcPr>
          <w:p w14:paraId="7F88FF20">
            <w:pPr>
              <w:rPr>
                <w:color w:val="auto"/>
              </w:rPr>
            </w:pPr>
          </w:p>
        </w:tc>
        <w:tc>
          <w:tcPr>
            <w:tcW w:w="5882" w:type="dxa"/>
            <w:noWrap w:val="0"/>
            <w:vAlign w:val="bottom"/>
          </w:tcPr>
          <w:p w14:paraId="4A5C9797">
            <w:pPr>
              <w:ind w:firstLine="420" w:firstLineChars="200"/>
              <w:jc w:val="both"/>
              <w:rPr>
                <w:rFonts w:hint="eastAsia" w:ascii="宋体" w:cs="宋体"/>
                <w:color w:val="auto"/>
                <w:szCs w:val="21"/>
              </w:rPr>
            </w:pPr>
            <w:r>
              <w:rPr>
                <w:rFonts w:hint="eastAsia" w:ascii="宋体" w:cs="宋体"/>
                <w:color w:val="auto"/>
                <w:szCs w:val="21"/>
              </w:rPr>
              <w:t>一类污染物</w:t>
            </w:r>
          </w:p>
        </w:tc>
        <w:tc>
          <w:tcPr>
            <w:tcW w:w="1321" w:type="dxa"/>
            <w:noWrap w:val="0"/>
            <w:vAlign w:val="bottom"/>
          </w:tcPr>
          <w:p w14:paraId="538BB207">
            <w:pPr>
              <w:jc w:val="center"/>
              <w:rPr>
                <w:rFonts w:hint="eastAsia" w:ascii="宋体" w:cs="宋体"/>
                <w:color w:val="auto"/>
                <w:szCs w:val="21"/>
              </w:rPr>
            </w:pPr>
            <w:r>
              <w:rPr>
                <w:rFonts w:hint="eastAsia" w:ascii="宋体" w:cs="宋体"/>
                <w:color w:val="auto"/>
                <w:szCs w:val="21"/>
              </w:rPr>
              <w:t>3</w:t>
            </w:r>
          </w:p>
        </w:tc>
      </w:tr>
      <w:tr w14:paraId="6DDEF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1804" w:type="dxa"/>
            <w:vMerge w:val="continue"/>
            <w:noWrap w:val="0"/>
            <w:vAlign w:val="center"/>
          </w:tcPr>
          <w:p w14:paraId="032936AF">
            <w:pPr>
              <w:rPr>
                <w:color w:val="auto"/>
              </w:rPr>
            </w:pPr>
          </w:p>
        </w:tc>
        <w:tc>
          <w:tcPr>
            <w:tcW w:w="5882" w:type="dxa"/>
            <w:noWrap w:val="0"/>
            <w:vAlign w:val="bottom"/>
          </w:tcPr>
          <w:p w14:paraId="73A73563">
            <w:pPr>
              <w:ind w:firstLine="420" w:firstLineChars="200"/>
              <w:jc w:val="both"/>
              <w:rPr>
                <w:rFonts w:hint="eastAsia" w:ascii="宋体" w:cs="宋体"/>
                <w:color w:val="auto"/>
                <w:szCs w:val="21"/>
              </w:rPr>
            </w:pPr>
            <w:r>
              <w:rPr>
                <w:rFonts w:hint="eastAsia" w:ascii="宋体" w:cs="宋体"/>
                <w:color w:val="auto"/>
                <w:szCs w:val="21"/>
              </w:rPr>
              <w:t>有毒有害物质</w:t>
            </w:r>
          </w:p>
        </w:tc>
        <w:tc>
          <w:tcPr>
            <w:tcW w:w="1321" w:type="dxa"/>
            <w:noWrap w:val="0"/>
            <w:vAlign w:val="bottom"/>
          </w:tcPr>
          <w:p w14:paraId="24C9AC29">
            <w:pPr>
              <w:jc w:val="center"/>
              <w:rPr>
                <w:rFonts w:hint="eastAsia" w:ascii="宋体" w:cs="宋体"/>
                <w:color w:val="auto"/>
                <w:szCs w:val="21"/>
              </w:rPr>
            </w:pPr>
            <w:r>
              <w:rPr>
                <w:rFonts w:hint="eastAsia" w:ascii="宋体" w:cs="宋体"/>
                <w:color w:val="auto"/>
                <w:szCs w:val="21"/>
              </w:rPr>
              <w:t>5</w:t>
            </w:r>
          </w:p>
        </w:tc>
      </w:tr>
      <w:tr w14:paraId="00176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1804" w:type="dxa"/>
            <w:vMerge w:val="restart"/>
            <w:noWrap w:val="0"/>
            <w:vAlign w:val="center"/>
          </w:tcPr>
          <w:p w14:paraId="43204A65">
            <w:pPr>
              <w:jc w:val="center"/>
              <w:rPr>
                <w:rFonts w:hint="eastAsia" w:ascii="宋体" w:cs="宋体"/>
                <w:color w:val="auto"/>
                <w:szCs w:val="21"/>
              </w:rPr>
            </w:pPr>
            <w:r>
              <w:rPr>
                <w:rFonts w:hint="eastAsia" w:ascii="宋体" w:cs="宋体"/>
                <w:color w:val="auto"/>
                <w:szCs w:val="21"/>
              </w:rPr>
              <w:t>涉及面积</w:t>
            </w:r>
          </w:p>
        </w:tc>
        <w:tc>
          <w:tcPr>
            <w:tcW w:w="5882" w:type="dxa"/>
            <w:noWrap w:val="0"/>
            <w:vAlign w:val="center"/>
          </w:tcPr>
          <w:p w14:paraId="204C12D7">
            <w:pPr>
              <w:ind w:firstLine="420" w:firstLineChars="200"/>
              <w:jc w:val="both"/>
              <w:rPr>
                <w:rFonts w:hint="eastAsia" w:ascii="宋体" w:cs="宋体"/>
                <w:color w:val="auto"/>
                <w:szCs w:val="21"/>
              </w:rPr>
            </w:pPr>
            <w:r>
              <w:rPr>
                <w:rFonts w:hint="eastAsia" w:ascii="宋体" w:cs="宋体"/>
                <w:color w:val="auto"/>
                <w:szCs w:val="21"/>
              </w:rPr>
              <w:t>不足500㎡</w:t>
            </w:r>
          </w:p>
        </w:tc>
        <w:tc>
          <w:tcPr>
            <w:tcW w:w="1321" w:type="dxa"/>
            <w:noWrap w:val="0"/>
            <w:vAlign w:val="center"/>
          </w:tcPr>
          <w:p w14:paraId="50AAC913">
            <w:pPr>
              <w:jc w:val="center"/>
              <w:rPr>
                <w:rFonts w:hint="eastAsia" w:ascii="宋体" w:cs="宋体"/>
                <w:color w:val="auto"/>
                <w:szCs w:val="21"/>
              </w:rPr>
            </w:pPr>
            <w:r>
              <w:rPr>
                <w:rFonts w:hint="eastAsia" w:ascii="宋体" w:cs="宋体"/>
                <w:color w:val="auto"/>
                <w:szCs w:val="21"/>
              </w:rPr>
              <w:t>1</w:t>
            </w:r>
          </w:p>
        </w:tc>
      </w:tr>
      <w:tr w14:paraId="36C0B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1804" w:type="dxa"/>
            <w:vMerge w:val="continue"/>
            <w:noWrap w:val="0"/>
            <w:vAlign w:val="center"/>
          </w:tcPr>
          <w:p w14:paraId="43BD8ED0">
            <w:pPr>
              <w:rPr>
                <w:color w:val="auto"/>
              </w:rPr>
            </w:pPr>
          </w:p>
        </w:tc>
        <w:tc>
          <w:tcPr>
            <w:tcW w:w="5882" w:type="dxa"/>
            <w:noWrap w:val="0"/>
            <w:vAlign w:val="center"/>
          </w:tcPr>
          <w:p w14:paraId="4EAC07E4">
            <w:pPr>
              <w:ind w:firstLine="420" w:firstLineChars="200"/>
              <w:jc w:val="both"/>
              <w:rPr>
                <w:rFonts w:hint="eastAsia" w:ascii="宋体" w:cs="宋体"/>
                <w:color w:val="auto"/>
                <w:szCs w:val="21"/>
              </w:rPr>
            </w:pPr>
            <w:r>
              <w:rPr>
                <w:rFonts w:hint="eastAsia" w:ascii="宋体" w:cs="宋体"/>
                <w:color w:val="auto"/>
                <w:szCs w:val="21"/>
              </w:rPr>
              <w:t>500㎡以上不足5000㎡</w:t>
            </w:r>
          </w:p>
        </w:tc>
        <w:tc>
          <w:tcPr>
            <w:tcW w:w="1321" w:type="dxa"/>
            <w:noWrap w:val="0"/>
            <w:vAlign w:val="center"/>
          </w:tcPr>
          <w:p w14:paraId="60BFF989">
            <w:pPr>
              <w:jc w:val="center"/>
              <w:rPr>
                <w:rFonts w:hint="eastAsia" w:ascii="宋体" w:cs="宋体"/>
                <w:color w:val="auto"/>
                <w:szCs w:val="21"/>
              </w:rPr>
            </w:pPr>
            <w:r>
              <w:rPr>
                <w:rFonts w:hint="eastAsia" w:ascii="宋体" w:cs="宋体"/>
                <w:color w:val="auto"/>
                <w:szCs w:val="21"/>
              </w:rPr>
              <w:t>2</w:t>
            </w:r>
          </w:p>
        </w:tc>
      </w:tr>
      <w:tr w14:paraId="3DA56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1804" w:type="dxa"/>
            <w:vMerge w:val="continue"/>
            <w:noWrap w:val="0"/>
            <w:vAlign w:val="center"/>
          </w:tcPr>
          <w:p w14:paraId="411FF3F7">
            <w:pPr>
              <w:rPr>
                <w:color w:val="auto"/>
              </w:rPr>
            </w:pPr>
          </w:p>
        </w:tc>
        <w:tc>
          <w:tcPr>
            <w:tcW w:w="5882" w:type="dxa"/>
            <w:noWrap w:val="0"/>
            <w:vAlign w:val="center"/>
          </w:tcPr>
          <w:p w14:paraId="07CD36C6">
            <w:pPr>
              <w:ind w:firstLine="420" w:firstLineChars="200"/>
              <w:jc w:val="both"/>
              <w:rPr>
                <w:rFonts w:hint="eastAsia" w:ascii="宋体" w:cs="宋体"/>
                <w:color w:val="auto"/>
                <w:szCs w:val="21"/>
              </w:rPr>
            </w:pPr>
            <w:r>
              <w:rPr>
                <w:rFonts w:hint="eastAsia" w:ascii="宋体" w:cs="宋体"/>
                <w:color w:val="auto"/>
                <w:szCs w:val="21"/>
              </w:rPr>
              <w:t xml:space="preserve">5000㎡ 以上不足10000㎡ </w:t>
            </w:r>
          </w:p>
        </w:tc>
        <w:tc>
          <w:tcPr>
            <w:tcW w:w="1321" w:type="dxa"/>
            <w:noWrap w:val="0"/>
            <w:vAlign w:val="center"/>
          </w:tcPr>
          <w:p w14:paraId="49BE9CF1">
            <w:pPr>
              <w:jc w:val="center"/>
              <w:rPr>
                <w:rFonts w:hint="eastAsia" w:ascii="宋体" w:cs="宋体"/>
                <w:color w:val="auto"/>
                <w:szCs w:val="21"/>
              </w:rPr>
            </w:pPr>
            <w:r>
              <w:rPr>
                <w:rFonts w:hint="eastAsia" w:ascii="宋体" w:cs="宋体"/>
                <w:color w:val="auto"/>
                <w:szCs w:val="21"/>
              </w:rPr>
              <w:t>3</w:t>
            </w:r>
          </w:p>
        </w:tc>
      </w:tr>
      <w:tr w14:paraId="5AA02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1804" w:type="dxa"/>
            <w:vMerge w:val="continue"/>
            <w:noWrap w:val="0"/>
            <w:vAlign w:val="center"/>
          </w:tcPr>
          <w:p w14:paraId="269DC50E">
            <w:pPr>
              <w:rPr>
                <w:color w:val="auto"/>
              </w:rPr>
            </w:pPr>
          </w:p>
        </w:tc>
        <w:tc>
          <w:tcPr>
            <w:tcW w:w="5882" w:type="dxa"/>
            <w:noWrap w:val="0"/>
            <w:vAlign w:val="center"/>
          </w:tcPr>
          <w:p w14:paraId="59C67422">
            <w:pPr>
              <w:ind w:firstLine="420" w:firstLineChars="200"/>
              <w:jc w:val="both"/>
              <w:rPr>
                <w:rFonts w:hint="eastAsia" w:ascii="宋体" w:cs="宋体"/>
                <w:color w:val="auto"/>
                <w:szCs w:val="21"/>
              </w:rPr>
            </w:pPr>
            <w:r>
              <w:rPr>
                <w:rFonts w:hint="eastAsia" w:ascii="宋体" w:cs="宋体"/>
                <w:color w:val="auto"/>
                <w:szCs w:val="21"/>
              </w:rPr>
              <w:t xml:space="preserve">10000㎡ 以上不足 20000㎡ </w:t>
            </w:r>
          </w:p>
        </w:tc>
        <w:tc>
          <w:tcPr>
            <w:tcW w:w="1321" w:type="dxa"/>
            <w:noWrap w:val="0"/>
            <w:vAlign w:val="center"/>
          </w:tcPr>
          <w:p w14:paraId="50952352">
            <w:pPr>
              <w:jc w:val="center"/>
              <w:rPr>
                <w:rFonts w:hint="eastAsia" w:ascii="宋体" w:cs="宋体"/>
                <w:color w:val="auto"/>
                <w:szCs w:val="21"/>
              </w:rPr>
            </w:pPr>
            <w:r>
              <w:rPr>
                <w:rFonts w:hint="eastAsia" w:ascii="宋体" w:cs="宋体"/>
                <w:color w:val="auto"/>
                <w:szCs w:val="21"/>
              </w:rPr>
              <w:t>4</w:t>
            </w:r>
          </w:p>
        </w:tc>
      </w:tr>
      <w:tr w14:paraId="62E02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1804" w:type="dxa"/>
            <w:vMerge w:val="continue"/>
            <w:noWrap w:val="0"/>
            <w:vAlign w:val="center"/>
          </w:tcPr>
          <w:p w14:paraId="1554BC53">
            <w:pPr>
              <w:rPr>
                <w:color w:val="auto"/>
              </w:rPr>
            </w:pPr>
          </w:p>
        </w:tc>
        <w:tc>
          <w:tcPr>
            <w:tcW w:w="5882" w:type="dxa"/>
            <w:noWrap w:val="0"/>
            <w:vAlign w:val="center"/>
          </w:tcPr>
          <w:p w14:paraId="1B34793E">
            <w:pPr>
              <w:ind w:firstLine="420" w:firstLineChars="200"/>
              <w:jc w:val="both"/>
              <w:rPr>
                <w:rFonts w:hint="eastAsia" w:ascii="宋体" w:cs="宋体"/>
                <w:color w:val="auto"/>
                <w:szCs w:val="21"/>
              </w:rPr>
            </w:pPr>
            <w:r>
              <w:rPr>
                <w:rFonts w:hint="eastAsia" w:ascii="宋体" w:cs="宋体"/>
                <w:color w:val="auto"/>
                <w:szCs w:val="21"/>
              </w:rPr>
              <w:t>20000㎡ 以上</w:t>
            </w:r>
          </w:p>
        </w:tc>
        <w:tc>
          <w:tcPr>
            <w:tcW w:w="1321" w:type="dxa"/>
            <w:noWrap w:val="0"/>
            <w:vAlign w:val="center"/>
          </w:tcPr>
          <w:p w14:paraId="3CEF685D">
            <w:pPr>
              <w:jc w:val="center"/>
              <w:rPr>
                <w:rFonts w:hint="eastAsia" w:ascii="宋体" w:cs="宋体"/>
                <w:color w:val="auto"/>
                <w:szCs w:val="21"/>
              </w:rPr>
            </w:pPr>
            <w:r>
              <w:rPr>
                <w:rFonts w:hint="eastAsia" w:ascii="宋体" w:cs="宋体"/>
                <w:color w:val="auto"/>
                <w:szCs w:val="21"/>
              </w:rPr>
              <w:t>5</w:t>
            </w:r>
          </w:p>
        </w:tc>
      </w:tr>
      <w:tr w14:paraId="4B08D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1804" w:type="dxa"/>
            <w:vMerge w:val="restart"/>
            <w:noWrap w:val="0"/>
            <w:vAlign w:val="center"/>
          </w:tcPr>
          <w:p w14:paraId="2CD3E39A">
            <w:pPr>
              <w:jc w:val="center"/>
              <w:rPr>
                <w:color w:val="auto"/>
              </w:rPr>
            </w:pPr>
            <w:r>
              <w:rPr>
                <w:rFonts w:hint="eastAsia" w:ascii="宋体" w:cs="宋体"/>
                <w:color w:val="auto"/>
                <w:szCs w:val="21"/>
              </w:rPr>
              <w:t>所在区域土壤污染程度</w:t>
            </w:r>
          </w:p>
        </w:tc>
        <w:tc>
          <w:tcPr>
            <w:tcW w:w="5882" w:type="dxa"/>
            <w:noWrap w:val="0"/>
            <w:vAlign w:val="center"/>
          </w:tcPr>
          <w:p w14:paraId="7E36A203">
            <w:pPr>
              <w:ind w:firstLine="420" w:firstLineChars="200"/>
              <w:jc w:val="both"/>
              <w:rPr>
                <w:rFonts w:hint="eastAsia" w:ascii="宋体" w:cs="宋体"/>
                <w:color w:val="auto"/>
                <w:szCs w:val="21"/>
              </w:rPr>
            </w:pPr>
            <w:r>
              <w:rPr>
                <w:rFonts w:hint="eastAsia" w:ascii="宋体" w:cs="宋体"/>
                <w:color w:val="auto"/>
                <w:szCs w:val="21"/>
              </w:rPr>
              <w:t>未造成土壤环境污染</w:t>
            </w:r>
          </w:p>
        </w:tc>
        <w:tc>
          <w:tcPr>
            <w:tcW w:w="1321" w:type="dxa"/>
            <w:noWrap w:val="0"/>
            <w:vAlign w:val="center"/>
          </w:tcPr>
          <w:p w14:paraId="18DC8B56">
            <w:pPr>
              <w:jc w:val="center"/>
              <w:rPr>
                <w:rFonts w:hint="eastAsia" w:ascii="宋体" w:cs="宋体"/>
                <w:color w:val="auto"/>
                <w:szCs w:val="21"/>
              </w:rPr>
            </w:pPr>
            <w:r>
              <w:rPr>
                <w:rFonts w:hint="eastAsia" w:ascii="宋体" w:cs="宋体"/>
                <w:color w:val="auto"/>
                <w:szCs w:val="21"/>
              </w:rPr>
              <w:t>1</w:t>
            </w:r>
          </w:p>
        </w:tc>
      </w:tr>
      <w:tr w14:paraId="53522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1804" w:type="dxa"/>
            <w:vMerge w:val="continue"/>
            <w:noWrap w:val="0"/>
            <w:vAlign w:val="center"/>
          </w:tcPr>
          <w:p w14:paraId="095704B6">
            <w:pPr>
              <w:rPr>
                <w:color w:val="auto"/>
              </w:rPr>
            </w:pPr>
          </w:p>
        </w:tc>
        <w:tc>
          <w:tcPr>
            <w:tcW w:w="5882" w:type="dxa"/>
            <w:noWrap w:val="0"/>
            <w:vAlign w:val="bottom"/>
          </w:tcPr>
          <w:p w14:paraId="1FC6F824">
            <w:pPr>
              <w:ind w:firstLine="420" w:firstLineChars="200"/>
              <w:jc w:val="both"/>
              <w:rPr>
                <w:rFonts w:hint="eastAsia" w:ascii="宋体" w:cs="宋体"/>
                <w:color w:val="auto"/>
                <w:szCs w:val="21"/>
              </w:rPr>
            </w:pPr>
            <w:r>
              <w:rPr>
                <w:rFonts w:hint="eastAsia" w:ascii="宋体" w:cs="宋体"/>
                <w:color w:val="auto"/>
                <w:szCs w:val="21"/>
              </w:rPr>
              <w:t>已造成土壤环境污染</w:t>
            </w:r>
          </w:p>
        </w:tc>
        <w:tc>
          <w:tcPr>
            <w:tcW w:w="1321" w:type="dxa"/>
            <w:noWrap w:val="0"/>
            <w:vAlign w:val="bottom"/>
          </w:tcPr>
          <w:p w14:paraId="514A2FC4">
            <w:pPr>
              <w:jc w:val="center"/>
              <w:rPr>
                <w:rFonts w:hint="eastAsia" w:ascii="宋体" w:cs="宋体"/>
                <w:color w:val="auto"/>
                <w:szCs w:val="21"/>
              </w:rPr>
            </w:pPr>
            <w:r>
              <w:rPr>
                <w:rFonts w:hint="eastAsia" w:ascii="宋体" w:cs="宋体"/>
                <w:color w:val="auto"/>
                <w:szCs w:val="21"/>
              </w:rPr>
              <w:t>5</w:t>
            </w:r>
          </w:p>
        </w:tc>
      </w:tr>
    </w:tbl>
    <w:p w14:paraId="53F08993">
      <w:pPr>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br w:type="page"/>
      </w:r>
    </w:p>
    <w:p w14:paraId="4F83E2B4">
      <w:pPr>
        <w:pStyle w:val="3"/>
        <w:keepNext/>
        <w:keepLines/>
        <w:pageBreakBefore w:val="0"/>
        <w:widowControl w:val="0"/>
        <w:kinsoku/>
        <w:wordWrap/>
        <w:overflowPunct/>
        <w:topLinePunct w:val="0"/>
        <w:autoSpaceDE/>
        <w:autoSpaceDN/>
        <w:bidi w:val="0"/>
        <w:adjustRightInd w:val="0"/>
        <w:snapToGrid w:val="0"/>
        <w:spacing w:after="0" w:afterLines="0" w:line="360" w:lineRule="auto"/>
        <w:textAlignment w:val="auto"/>
        <w:rPr>
          <w:rFonts w:hint="eastAsia" w:ascii="楷体_GB2312" w:hAnsi="楷体_GB2312" w:eastAsia="楷体_GB2312" w:cs="楷体_GB2312"/>
          <w:sz w:val="28"/>
          <w:szCs w:val="22"/>
          <w:highlight w:val="none"/>
          <w:lang w:val="en-US" w:eastAsia="zh-CN"/>
        </w:rPr>
      </w:pPr>
      <w:r>
        <w:rPr>
          <w:rFonts w:hint="eastAsia" w:ascii="楷体_GB2312" w:hAnsi="楷体_GB2312" w:eastAsia="楷体_GB2312" w:cs="楷体_GB2312"/>
          <w:color w:val="auto"/>
          <w:sz w:val="28"/>
          <w:szCs w:val="28"/>
          <w:highlight w:val="none"/>
          <w:lang w:val="en-US" w:eastAsia="zh-CN"/>
        </w:rPr>
        <w:t>（八）固体废物污染防治类</w:t>
      </w:r>
    </w:p>
    <w:p w14:paraId="74CF676E">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p>
    <w:p w14:paraId="3A1124C5">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1.</w:t>
      </w:r>
      <w:r>
        <w:rPr>
          <w:rFonts w:hint="eastAsia" w:ascii="宋体" w:hAnsi="Times New Roman" w:cs="Times New Roman"/>
          <w:color w:val="auto"/>
          <w:kern w:val="0"/>
          <w:sz w:val="24"/>
        </w:rPr>
        <w:t>擅自倾倒、堆放、丢弃、抛撒、遗撒、焚烧固体废物的</w:t>
      </w:r>
      <w:r>
        <w:rPr>
          <w:rFonts w:hint="eastAsia" w:ascii="宋体" w:hAnsi="Times New Roman" w:cs="Times New Roman"/>
          <w:color w:val="auto"/>
          <w:kern w:val="0"/>
          <w:sz w:val="24"/>
          <w:lang w:eastAsia="zh-CN"/>
        </w:rPr>
        <w:t>；</w:t>
      </w:r>
    </w:p>
    <w:p w14:paraId="4D4A4973">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2.擅自倾倒、堆放、丢弃、抛撒、遗撒、焚烧危险废物或者城镇污水处理设施产生的污泥和处理后的污泥的；</w:t>
      </w:r>
    </w:p>
    <w:p w14:paraId="7D477968">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3-1.未采取相应防范措施，造成工业固体废物扬散、流失、渗漏或者其他环境污染的；</w:t>
      </w:r>
    </w:p>
    <w:p w14:paraId="3CF350CA">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3-2.未采取相应防范措施，造成危险废物扬散、流失、渗漏或者其他环境污染的；</w:t>
      </w:r>
    </w:p>
    <w:p w14:paraId="65040FA6">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4.在生态保护红线区域、永久基本农田集中区域和其他需要特别保护的区域内，建设工业固体废物、危险废物集中贮存、利用、处置的设施、场所和生活垃圾填埋场的；</w:t>
      </w:r>
    </w:p>
    <w:p w14:paraId="42BAA6A2">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5.转移固体废物出省、自治区、直辖市行政区域贮存、处置未经批准的；</w:t>
      </w:r>
    </w:p>
    <w:p w14:paraId="6BB17CC1">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6.转移固体废物出省、自治区、直辖市行政区域利用，未提前报送信息的；</w:t>
      </w:r>
    </w:p>
    <w:p w14:paraId="14FB7F25">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7.产生工业固体废物的单位违法委托他人运输、利用、处置工业固体废物的；</w:t>
      </w:r>
    </w:p>
    <w:p w14:paraId="41A6AB85">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8.贮存工业固体废物未采取符合国家生态环境保护标准的防护措施的；</w:t>
      </w:r>
    </w:p>
    <w:p w14:paraId="496B64EC">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9.产生工业固体废物的单位未建立固体废物管理台账并如实记录，拒不改正的；</w:t>
      </w:r>
    </w:p>
    <w:p w14:paraId="2032C8A9">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10.尾矿、煤矸石、废石等矿业固体废物贮存设施停止使用后，未按照国家有关环境保护规定进行封场的；</w:t>
      </w:r>
    </w:p>
    <w:p w14:paraId="6382C093">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11.未按照规定设置危险废物识别标志的；</w:t>
      </w:r>
    </w:p>
    <w:p w14:paraId="25909350">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12.未制定危险废物管理计划，或者未申报危险废物有关资料的；</w:t>
      </w:r>
    </w:p>
    <w:p w14:paraId="0A163FD8">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13.未建立危险废物管理台账并如实记录的；</w:t>
      </w:r>
    </w:p>
    <w:p w14:paraId="540EEF20">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14.未按照国家规定和生态环境保护标准贮存、利用、处置危险废物，或者将危险废物混入非危险废物中贮存的；</w:t>
      </w:r>
    </w:p>
    <w:p w14:paraId="78DA87B2">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15.将危险废物提供或者委托给无许可证的单位或者其他生产经营者从事相关活动的；</w:t>
      </w:r>
    </w:p>
    <w:p w14:paraId="0970EFC0">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16.未经安全性处置，混合收集、贮存、运输、处置性质不相容的危险废物的；</w:t>
      </w:r>
    </w:p>
    <w:p w14:paraId="735F4B62">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17.未填写、运行危险废物转移联单的；</w:t>
      </w:r>
    </w:p>
    <w:p w14:paraId="4EF4CA17">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18.未经批准擅自转移危险废物的；</w:t>
      </w:r>
    </w:p>
    <w:p w14:paraId="36C27F40">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19.将危险废物与旅客在同一运输工具上载运的；</w:t>
      </w:r>
    </w:p>
    <w:p w14:paraId="69B7919C">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20.未经过消除污染处理，将收集、贮存、运输、利用、处置危险废物的场所、设施、设备和容器、包装物及其他物品转作他用的；</w:t>
      </w:r>
    </w:p>
    <w:p w14:paraId="75CA6E12">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21.未制定危险废物意外事故防范措施和应急预案的；</w:t>
      </w:r>
    </w:p>
    <w:p w14:paraId="78DABA8C">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22.危险废物产生者未按照规定处置其产生的危险废物，被责令改正后拒不改正的；</w:t>
      </w:r>
    </w:p>
    <w:p w14:paraId="15FE13A7">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23.企业事业单位无许可证从事收集、贮存、利用、处置危险废物经营活动的；</w:t>
      </w:r>
    </w:p>
    <w:p w14:paraId="15C2CD80">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24.企业事业单位未按照许可证规定从事收集、贮存、利用、处置危险废物经营活动的；</w:t>
      </w:r>
    </w:p>
    <w:p w14:paraId="6021C6DD">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25.</w:t>
      </w:r>
      <w:r>
        <w:rPr>
          <w:rFonts w:hint="default" w:ascii="宋体" w:hAnsi="Times New Roman" w:cs="Times New Roman"/>
          <w:color w:val="auto"/>
          <w:kern w:val="0"/>
          <w:sz w:val="24"/>
          <w:lang w:val="en-US" w:eastAsia="zh-CN"/>
        </w:rPr>
        <w:t>企业事业单位以外的其他生产经营者无许可证或者未按照许可证规定从事收集、贮存、利用、处置危险废物经营活动的</w:t>
      </w:r>
      <w:r>
        <w:rPr>
          <w:rFonts w:hint="eastAsia" w:ascii="宋体" w:hAnsi="Times New Roman" w:cs="Times New Roman"/>
          <w:color w:val="auto"/>
          <w:kern w:val="0"/>
          <w:sz w:val="24"/>
          <w:lang w:val="en-US" w:eastAsia="zh-CN"/>
        </w:rPr>
        <w:t>；</w:t>
      </w:r>
    </w:p>
    <w:p w14:paraId="4EB35DD8">
      <w:pPr>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br w:type="page"/>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6"/>
        <w:gridCol w:w="5642"/>
        <w:gridCol w:w="1500"/>
      </w:tblGrid>
      <w:tr w14:paraId="488FF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3"/>
            <w:noWrap w:val="0"/>
            <w:vAlign w:val="center"/>
          </w:tcPr>
          <w:p w14:paraId="1FF1AC4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八</w:t>
            </w:r>
            <w:r>
              <w:rPr>
                <w:rFonts w:hint="eastAsia" w:ascii="宋体" w:hAnsi="宋体" w:eastAsia="宋体" w:cs="宋体"/>
                <w:color w:val="auto"/>
                <w:sz w:val="21"/>
                <w:szCs w:val="21"/>
                <w:highlight w:val="none"/>
              </w:rPr>
              <w:t>）固体废物污染防治类</w:t>
            </w:r>
          </w:p>
        </w:tc>
      </w:tr>
      <w:tr w14:paraId="66F10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0" w:type="dxa"/>
            <w:noWrap w:val="0"/>
            <w:vAlign w:val="center"/>
          </w:tcPr>
          <w:p w14:paraId="5CCFDF3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802" w:type="dxa"/>
            <w:gridSpan w:val="2"/>
            <w:noWrap w:val="0"/>
            <w:vAlign w:val="center"/>
          </w:tcPr>
          <w:p w14:paraId="7F90599F">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r>
      <w:tr w14:paraId="32709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0" w:type="dxa"/>
            <w:noWrap w:val="0"/>
            <w:vAlign w:val="center"/>
          </w:tcPr>
          <w:p w14:paraId="66C6C21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6802" w:type="dxa"/>
            <w:gridSpan w:val="2"/>
            <w:noWrap w:val="0"/>
            <w:vAlign w:val="center"/>
          </w:tcPr>
          <w:p w14:paraId="3850860C">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擅自倾倒、堆放、丢弃、抛撒、遗撒、焚烧固体废物的</w:t>
            </w:r>
          </w:p>
        </w:tc>
      </w:tr>
      <w:tr w14:paraId="18FED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0" w:type="dxa"/>
            <w:noWrap w:val="0"/>
            <w:vAlign w:val="center"/>
          </w:tcPr>
          <w:p w14:paraId="2ECC692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6802" w:type="dxa"/>
            <w:gridSpan w:val="2"/>
            <w:noWrap w:val="0"/>
            <w:vAlign w:val="center"/>
          </w:tcPr>
          <w:p w14:paraId="227A9E57">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《中华人民共和国生态环境法典》第四百七十五条  产生、收集、贮存、运输、利用、处置固体废物的单位和其他生产经营者，应当采取防扬散、防流失、防渗漏或者其他防止污染环境的措施，不得擅自倾倒、堆放、丢弃、抛撒、遗撒或者焚烧固体废物。</w:t>
            </w:r>
          </w:p>
        </w:tc>
      </w:tr>
      <w:tr w14:paraId="73D6F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0" w:type="dxa"/>
            <w:noWrap w:val="0"/>
            <w:vAlign w:val="center"/>
          </w:tcPr>
          <w:p w14:paraId="58572C2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6802" w:type="dxa"/>
            <w:gridSpan w:val="2"/>
            <w:noWrap w:val="0"/>
            <w:vAlign w:val="center"/>
          </w:tcPr>
          <w:p w14:paraId="4BDC0BAC">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《中华人民共和国生态环境法典》第一千一百六十九条</w:t>
            </w:r>
            <w:r>
              <w:rPr>
                <w:rFonts w:hint="eastAsia" w:ascii="宋体" w:hAnsi="宋体" w:eastAsia="宋体" w:cs="宋体"/>
                <w:color w:val="auto"/>
                <w:sz w:val="21"/>
                <w:szCs w:val="21"/>
                <w:highlight w:val="none"/>
                <w:lang w:val="en-US" w:eastAsia="zh-CN"/>
              </w:rPr>
              <w:t>第一款</w:t>
            </w:r>
            <w:r>
              <w:rPr>
                <w:rFonts w:hint="eastAsia" w:ascii="宋体" w:hAnsi="宋体" w:eastAsia="宋体" w:cs="宋体"/>
                <w:color w:val="auto"/>
                <w:sz w:val="21"/>
                <w:szCs w:val="21"/>
                <w:highlight w:val="none"/>
              </w:rPr>
              <w:t xml:space="preserve">  违反本法规定，擅自倾倒、堆放、丢弃、抛撒、遗撒、焚烧固体废物的，由生态环境主管部门、城镇排水主管部门、环境卫生主管部门按照职责分工责令停止违法行为，采取治理措施消除污染，没收违法所得，并处十万元以上一百万元以下的罚款</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w:t>
            </w:r>
          </w:p>
        </w:tc>
      </w:tr>
      <w:tr w14:paraId="31F51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0" w:type="dxa"/>
            <w:noWrap w:val="0"/>
            <w:vAlign w:val="center"/>
          </w:tcPr>
          <w:p w14:paraId="4CC94ED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373" w:type="dxa"/>
            <w:noWrap w:val="0"/>
            <w:vAlign w:val="center"/>
          </w:tcPr>
          <w:p w14:paraId="4690786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429" w:type="dxa"/>
            <w:noWrap w:val="0"/>
            <w:vAlign w:val="center"/>
          </w:tcPr>
          <w:p w14:paraId="07627E7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4F1C2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0" w:type="dxa"/>
            <w:vMerge w:val="restart"/>
            <w:noWrap w:val="0"/>
            <w:vAlign w:val="center"/>
          </w:tcPr>
          <w:p w14:paraId="5E2A96B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工业固体废物数量</w:t>
            </w:r>
          </w:p>
        </w:tc>
        <w:tc>
          <w:tcPr>
            <w:tcW w:w="5373" w:type="dxa"/>
            <w:noWrap w:val="0"/>
            <w:vAlign w:val="center"/>
          </w:tcPr>
          <w:p w14:paraId="20B57B5B">
            <w:pPr>
              <w:keepNext w:val="0"/>
              <w:keepLines w:val="0"/>
              <w:pageBreakBefore w:val="0"/>
              <w:widowControl w:val="0"/>
              <w:kinsoku/>
              <w:wordWrap/>
              <w:overflowPunct/>
              <w:topLinePunct w:val="0"/>
              <w:bidi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不足1吨</w:t>
            </w:r>
          </w:p>
        </w:tc>
        <w:tc>
          <w:tcPr>
            <w:tcW w:w="1429" w:type="dxa"/>
            <w:noWrap w:val="0"/>
            <w:vAlign w:val="center"/>
          </w:tcPr>
          <w:p w14:paraId="40FBF63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02257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0" w:type="dxa"/>
            <w:vMerge w:val="continue"/>
            <w:noWrap w:val="0"/>
            <w:vAlign w:val="center"/>
          </w:tcPr>
          <w:p w14:paraId="7A112CFE">
            <w:pPr>
              <w:rPr>
                <w:rFonts w:hint="eastAsia" w:ascii="宋体" w:hAnsi="宋体" w:eastAsia="宋体" w:cs="宋体"/>
                <w:color w:val="auto"/>
                <w:sz w:val="21"/>
                <w:szCs w:val="21"/>
                <w:highlight w:val="none"/>
              </w:rPr>
            </w:pPr>
          </w:p>
        </w:tc>
        <w:tc>
          <w:tcPr>
            <w:tcW w:w="5373" w:type="dxa"/>
            <w:noWrap w:val="0"/>
            <w:vAlign w:val="center"/>
          </w:tcPr>
          <w:p w14:paraId="256F4AE8">
            <w:pPr>
              <w:keepNext w:val="0"/>
              <w:keepLines w:val="0"/>
              <w:pageBreakBefore w:val="0"/>
              <w:widowControl w:val="0"/>
              <w:kinsoku/>
              <w:wordWrap/>
              <w:overflowPunct/>
              <w:topLinePunct w:val="0"/>
              <w:bidi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1吨以上不足2吨</w:t>
            </w:r>
          </w:p>
        </w:tc>
        <w:tc>
          <w:tcPr>
            <w:tcW w:w="1429" w:type="dxa"/>
            <w:noWrap w:val="0"/>
            <w:vAlign w:val="center"/>
          </w:tcPr>
          <w:p w14:paraId="70347F5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r>
      <w:tr w14:paraId="35D93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0" w:type="dxa"/>
            <w:vMerge w:val="continue"/>
            <w:noWrap w:val="0"/>
            <w:vAlign w:val="center"/>
          </w:tcPr>
          <w:p w14:paraId="2FD78F06">
            <w:pPr>
              <w:rPr>
                <w:rFonts w:hint="eastAsia" w:ascii="宋体" w:hAnsi="宋体" w:eastAsia="宋体" w:cs="宋体"/>
                <w:color w:val="auto"/>
                <w:sz w:val="21"/>
                <w:szCs w:val="21"/>
                <w:highlight w:val="none"/>
              </w:rPr>
            </w:pPr>
          </w:p>
        </w:tc>
        <w:tc>
          <w:tcPr>
            <w:tcW w:w="5373" w:type="dxa"/>
            <w:noWrap w:val="0"/>
            <w:vAlign w:val="center"/>
          </w:tcPr>
          <w:p w14:paraId="5B3DCF3D">
            <w:pPr>
              <w:keepNext w:val="0"/>
              <w:keepLines w:val="0"/>
              <w:pageBreakBefore w:val="0"/>
              <w:widowControl w:val="0"/>
              <w:kinsoku/>
              <w:wordWrap/>
              <w:overflowPunct/>
              <w:topLinePunct w:val="0"/>
              <w:bidi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2吨以上不足3吨</w:t>
            </w:r>
          </w:p>
        </w:tc>
        <w:tc>
          <w:tcPr>
            <w:tcW w:w="1429" w:type="dxa"/>
            <w:noWrap w:val="0"/>
            <w:vAlign w:val="center"/>
          </w:tcPr>
          <w:p w14:paraId="6B91D3A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29AE1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0" w:type="dxa"/>
            <w:vMerge w:val="continue"/>
            <w:noWrap w:val="0"/>
            <w:vAlign w:val="center"/>
          </w:tcPr>
          <w:p w14:paraId="50638968">
            <w:pPr>
              <w:rPr>
                <w:rFonts w:hint="eastAsia" w:ascii="宋体" w:hAnsi="宋体" w:eastAsia="宋体" w:cs="宋体"/>
                <w:color w:val="auto"/>
                <w:sz w:val="21"/>
                <w:szCs w:val="21"/>
                <w:highlight w:val="none"/>
              </w:rPr>
            </w:pPr>
          </w:p>
        </w:tc>
        <w:tc>
          <w:tcPr>
            <w:tcW w:w="5373" w:type="dxa"/>
            <w:noWrap w:val="0"/>
            <w:vAlign w:val="center"/>
          </w:tcPr>
          <w:p w14:paraId="01E830AA">
            <w:pPr>
              <w:keepNext w:val="0"/>
              <w:keepLines w:val="0"/>
              <w:pageBreakBefore w:val="0"/>
              <w:widowControl w:val="0"/>
              <w:kinsoku/>
              <w:wordWrap/>
              <w:overflowPunct/>
              <w:topLinePunct w:val="0"/>
              <w:bidi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3吨以上不足5吨</w:t>
            </w:r>
          </w:p>
        </w:tc>
        <w:tc>
          <w:tcPr>
            <w:tcW w:w="1429" w:type="dxa"/>
            <w:noWrap w:val="0"/>
            <w:vAlign w:val="center"/>
          </w:tcPr>
          <w:p w14:paraId="7EF16C0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r>
      <w:tr w14:paraId="5E583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0" w:type="dxa"/>
            <w:vMerge w:val="continue"/>
            <w:noWrap w:val="0"/>
            <w:vAlign w:val="center"/>
          </w:tcPr>
          <w:p w14:paraId="7295A39A">
            <w:pPr>
              <w:rPr>
                <w:rFonts w:hint="eastAsia" w:ascii="宋体" w:hAnsi="宋体" w:eastAsia="宋体" w:cs="宋体"/>
                <w:color w:val="auto"/>
                <w:sz w:val="21"/>
                <w:szCs w:val="21"/>
                <w:highlight w:val="none"/>
              </w:rPr>
            </w:pPr>
          </w:p>
        </w:tc>
        <w:tc>
          <w:tcPr>
            <w:tcW w:w="5373" w:type="dxa"/>
            <w:noWrap w:val="0"/>
            <w:vAlign w:val="center"/>
          </w:tcPr>
          <w:p w14:paraId="771CADAD">
            <w:pPr>
              <w:keepNext w:val="0"/>
              <w:keepLines w:val="0"/>
              <w:pageBreakBefore w:val="0"/>
              <w:widowControl w:val="0"/>
              <w:kinsoku/>
              <w:wordWrap/>
              <w:overflowPunct/>
              <w:topLinePunct w:val="0"/>
              <w:bidi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5吨以上</w:t>
            </w:r>
          </w:p>
        </w:tc>
        <w:tc>
          <w:tcPr>
            <w:tcW w:w="1429" w:type="dxa"/>
            <w:noWrap w:val="0"/>
            <w:vAlign w:val="center"/>
          </w:tcPr>
          <w:p w14:paraId="6AD62E3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67C41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 w:hRule="atLeast"/>
          <w:jc w:val="center"/>
        </w:trPr>
        <w:tc>
          <w:tcPr>
            <w:tcW w:w="1720" w:type="dxa"/>
            <w:vMerge w:val="restart"/>
            <w:noWrap w:val="0"/>
            <w:vAlign w:val="center"/>
          </w:tcPr>
          <w:p w14:paraId="57C1C32A">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right="0" w:rightChars="0" w:firstLine="0"/>
              <w:jc w:val="center"/>
              <w:textAlignment w:val="baseline"/>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违法行为发生地</w:t>
            </w:r>
          </w:p>
        </w:tc>
        <w:tc>
          <w:tcPr>
            <w:tcW w:w="5373" w:type="dxa"/>
            <w:noWrap w:val="0"/>
            <w:vAlign w:val="center"/>
          </w:tcPr>
          <w:p w14:paraId="0ECCB5C2">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420" w:firstLineChars="200"/>
              <w:jc w:val="both"/>
              <w:textAlignment w:val="baseline"/>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空旷荒地、废弃空地等远离水源、人居的区域</w:t>
            </w:r>
          </w:p>
        </w:tc>
        <w:tc>
          <w:tcPr>
            <w:tcW w:w="1429" w:type="dxa"/>
            <w:noWrap w:val="0"/>
            <w:vAlign w:val="center"/>
          </w:tcPr>
          <w:p w14:paraId="5DC2605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1</w:t>
            </w:r>
          </w:p>
        </w:tc>
      </w:tr>
      <w:tr w14:paraId="2B181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0" w:type="dxa"/>
            <w:vMerge w:val="continue"/>
            <w:noWrap w:val="0"/>
            <w:vAlign w:val="center"/>
          </w:tcPr>
          <w:p w14:paraId="0EA32FA8">
            <w:pPr>
              <w:jc w:val="center"/>
              <w:rPr>
                <w:rFonts w:hint="eastAsia" w:ascii="宋体" w:hAnsi="宋体" w:eastAsia="宋体" w:cs="宋体"/>
                <w:color w:val="auto"/>
                <w:kern w:val="2"/>
                <w:sz w:val="21"/>
                <w:szCs w:val="21"/>
                <w:highlight w:val="none"/>
                <w:lang w:val="en-US" w:eastAsia="zh-CN" w:bidi="ar-SA"/>
              </w:rPr>
            </w:pPr>
          </w:p>
        </w:tc>
        <w:tc>
          <w:tcPr>
            <w:tcW w:w="5373" w:type="dxa"/>
            <w:noWrap w:val="0"/>
            <w:vAlign w:val="center"/>
          </w:tcPr>
          <w:p w14:paraId="2F711FAB">
            <w:pPr>
              <w:keepNext w:val="0"/>
              <w:keepLines w:val="0"/>
              <w:pageBreakBefore w:val="0"/>
              <w:widowControl w:val="0"/>
              <w:kinsoku/>
              <w:wordWrap/>
              <w:overflowPunct/>
              <w:topLinePunct w:val="0"/>
              <w:bidi w:val="0"/>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居民区、农用地、村庄、学校、医院、养老院等与人类生产生活紧密相关的区域</w:t>
            </w:r>
          </w:p>
        </w:tc>
        <w:tc>
          <w:tcPr>
            <w:tcW w:w="1429" w:type="dxa"/>
            <w:noWrap w:val="0"/>
            <w:vAlign w:val="center"/>
          </w:tcPr>
          <w:p w14:paraId="6989B50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p>
        </w:tc>
      </w:tr>
      <w:tr w14:paraId="05B8F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0" w:type="dxa"/>
            <w:vMerge w:val="continue"/>
            <w:noWrap w:val="0"/>
            <w:vAlign w:val="center"/>
          </w:tcPr>
          <w:p w14:paraId="58E3157D">
            <w:pPr>
              <w:jc w:val="center"/>
              <w:rPr>
                <w:rFonts w:hint="eastAsia" w:ascii="宋体" w:hAnsi="宋体" w:eastAsia="宋体" w:cs="宋体"/>
                <w:color w:val="auto"/>
                <w:kern w:val="2"/>
                <w:sz w:val="21"/>
                <w:szCs w:val="21"/>
                <w:highlight w:val="none"/>
                <w:lang w:val="en-US" w:eastAsia="zh-CN" w:bidi="ar-SA"/>
              </w:rPr>
            </w:pPr>
          </w:p>
        </w:tc>
        <w:tc>
          <w:tcPr>
            <w:tcW w:w="5373" w:type="dxa"/>
            <w:noWrap w:val="0"/>
            <w:vAlign w:val="center"/>
          </w:tcPr>
          <w:p w14:paraId="499ED882">
            <w:pPr>
              <w:keepNext w:val="0"/>
              <w:keepLines w:val="0"/>
              <w:pageBreakBefore w:val="0"/>
              <w:widowControl w:val="0"/>
              <w:kinsoku/>
              <w:wordWrap/>
              <w:overflowPunct/>
              <w:topLinePunct w:val="0"/>
              <w:bidi w:val="0"/>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河道、水库、滩地、岸坡等区域</w:t>
            </w:r>
          </w:p>
        </w:tc>
        <w:tc>
          <w:tcPr>
            <w:tcW w:w="1429" w:type="dxa"/>
            <w:noWrap w:val="0"/>
            <w:vAlign w:val="center"/>
          </w:tcPr>
          <w:p w14:paraId="5BE1AF5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p>
        </w:tc>
      </w:tr>
      <w:tr w14:paraId="49B04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0" w:type="dxa"/>
            <w:vMerge w:val="continue"/>
            <w:noWrap w:val="0"/>
            <w:vAlign w:val="center"/>
          </w:tcPr>
          <w:p w14:paraId="20A82E3C">
            <w:pPr>
              <w:jc w:val="center"/>
              <w:rPr>
                <w:rFonts w:hint="eastAsia" w:ascii="宋体" w:hAnsi="宋体" w:eastAsia="宋体" w:cs="宋体"/>
                <w:color w:val="auto"/>
                <w:kern w:val="2"/>
                <w:sz w:val="21"/>
                <w:szCs w:val="21"/>
                <w:highlight w:val="none"/>
                <w:lang w:val="en-US" w:eastAsia="zh-CN" w:bidi="ar-SA"/>
              </w:rPr>
            </w:pPr>
          </w:p>
        </w:tc>
        <w:tc>
          <w:tcPr>
            <w:tcW w:w="5373" w:type="dxa"/>
            <w:noWrap w:val="0"/>
            <w:vAlign w:val="center"/>
          </w:tcPr>
          <w:p w14:paraId="5E59CE8C">
            <w:pPr>
              <w:keepNext w:val="0"/>
              <w:keepLines w:val="0"/>
              <w:pageBreakBefore w:val="0"/>
              <w:widowControl w:val="0"/>
              <w:kinsoku/>
              <w:wordWrap/>
              <w:overflowPunct/>
              <w:topLinePunct w:val="0"/>
              <w:bidi w:val="0"/>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饮用水水源保护区、自然保护地、生态保护红线、永久基本农田等需要特殊保护的区域</w:t>
            </w:r>
          </w:p>
        </w:tc>
        <w:tc>
          <w:tcPr>
            <w:tcW w:w="1429" w:type="dxa"/>
            <w:noWrap w:val="0"/>
            <w:vAlign w:val="center"/>
          </w:tcPr>
          <w:p w14:paraId="314CE25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p>
        </w:tc>
      </w:tr>
    </w:tbl>
    <w:p w14:paraId="1171EFC5">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6"/>
        <w:gridCol w:w="5642"/>
        <w:gridCol w:w="1500"/>
      </w:tblGrid>
      <w:tr w14:paraId="2BDBF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48" w:type="dxa"/>
            <w:gridSpan w:val="3"/>
            <w:noWrap w:val="0"/>
            <w:vAlign w:val="center"/>
          </w:tcPr>
          <w:p w14:paraId="5C43DC0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（八）固体废物污染防治类</w:t>
            </w:r>
          </w:p>
        </w:tc>
      </w:tr>
      <w:tr w14:paraId="62D81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6" w:type="dxa"/>
            <w:noWrap w:val="0"/>
            <w:vAlign w:val="center"/>
          </w:tcPr>
          <w:p w14:paraId="439F2C1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7142" w:type="dxa"/>
            <w:gridSpan w:val="2"/>
            <w:noWrap w:val="0"/>
            <w:vAlign w:val="center"/>
          </w:tcPr>
          <w:p w14:paraId="67C6C29E">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r>
      <w:tr w14:paraId="4D599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6" w:type="dxa"/>
            <w:noWrap w:val="0"/>
            <w:vAlign w:val="center"/>
          </w:tcPr>
          <w:p w14:paraId="47AE8AA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7142" w:type="dxa"/>
            <w:gridSpan w:val="2"/>
            <w:noWrap w:val="0"/>
            <w:vAlign w:val="center"/>
          </w:tcPr>
          <w:p w14:paraId="3A2B070A">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擅自倾倒、堆放、丢弃、抛撒、遗撒、焚烧危险废物或者城镇污水处理设施产生的污泥和处理后的污泥的</w:t>
            </w:r>
          </w:p>
        </w:tc>
      </w:tr>
      <w:tr w14:paraId="13A74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6" w:type="dxa"/>
            <w:noWrap w:val="0"/>
            <w:vAlign w:val="center"/>
          </w:tcPr>
          <w:p w14:paraId="16D16DB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7142" w:type="dxa"/>
            <w:gridSpan w:val="2"/>
            <w:noWrap w:val="0"/>
            <w:vAlign w:val="center"/>
          </w:tcPr>
          <w:p w14:paraId="1DD6FA18">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《中华人民共和国生态环境法典》第五百二十六条第一款　禁止擅自倾倒、堆放、丢弃、抛撒、遗撒或者焚烧城镇污水处理设施产生的污泥和处理处置后的污泥。</w:t>
            </w:r>
          </w:p>
          <w:p w14:paraId="24B4B534">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《中华人民共和国生态环境法典》第五百三十三条  产生危险废物的单位，应当按照国家规定和生态环境保护标准的要求贮存、利用、处置危险废物。</w:t>
            </w:r>
          </w:p>
          <w:p w14:paraId="40889409">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任何单位和个人不得擅自倾倒、堆放、丢弃、抛撒、遗撒或者焚烧危险废物。</w:t>
            </w:r>
          </w:p>
        </w:tc>
      </w:tr>
      <w:tr w14:paraId="08FD7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6" w:type="dxa"/>
            <w:noWrap w:val="0"/>
            <w:vAlign w:val="center"/>
          </w:tcPr>
          <w:p w14:paraId="66CA4C2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7142" w:type="dxa"/>
            <w:gridSpan w:val="2"/>
            <w:noWrap w:val="0"/>
            <w:vAlign w:val="center"/>
          </w:tcPr>
          <w:p w14:paraId="07EFFB05">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《中华人民共和国生态环境法典》第一千一百六十九条</w:t>
            </w:r>
            <w:r>
              <w:rPr>
                <w:rFonts w:hint="eastAsia" w:ascii="宋体" w:hAnsi="宋体" w:cs="宋体"/>
                <w:color w:val="auto"/>
                <w:sz w:val="21"/>
                <w:szCs w:val="21"/>
                <w:highlight w:val="none"/>
                <w:lang w:val="en-US" w:eastAsia="zh-CN"/>
              </w:rPr>
              <w:t>第一款、第二款</w:t>
            </w:r>
            <w:r>
              <w:rPr>
                <w:rFonts w:hint="eastAsia" w:ascii="宋体" w:hAnsi="宋体" w:eastAsia="宋体" w:cs="宋体"/>
                <w:color w:val="auto"/>
                <w:sz w:val="21"/>
                <w:szCs w:val="21"/>
                <w:highlight w:val="none"/>
              </w:rPr>
              <w:t xml:space="preserve">  违反本法规定，擅自倾倒、堆放、丢弃、抛撒、遗撒、焚烧固体废物的，由生态环境主管部门、城镇排水主管部门、环境卫生主管部门按照职责分工责令停止违法行为，采取治理措施消除污染，没收违法所得，并处十万元以上一百万元以下的罚款</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w:t>
            </w:r>
          </w:p>
          <w:p w14:paraId="4AA0B389">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前款规定的固体废物为危险废物、城镇污水处理设施产生的污泥和处理后的污泥的，处二十万元以上二百万元以下的罚款；对直接负责的主管人员和其他直接责任人员处二万元以上十万元以下的罚款</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w:t>
            </w:r>
          </w:p>
        </w:tc>
      </w:tr>
      <w:tr w14:paraId="239F9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6" w:type="dxa"/>
            <w:noWrap w:val="0"/>
            <w:vAlign w:val="center"/>
          </w:tcPr>
          <w:p w14:paraId="19D3000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642" w:type="dxa"/>
            <w:noWrap w:val="0"/>
            <w:vAlign w:val="center"/>
          </w:tcPr>
          <w:p w14:paraId="0C29FB5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500" w:type="dxa"/>
            <w:noWrap w:val="0"/>
            <w:vAlign w:val="center"/>
          </w:tcPr>
          <w:p w14:paraId="19809F8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4D391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6" w:type="dxa"/>
            <w:vMerge w:val="restart"/>
            <w:noWrap w:val="0"/>
            <w:vAlign w:val="center"/>
          </w:tcPr>
          <w:p w14:paraId="76A3562A">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违法行为发生地</w:t>
            </w:r>
          </w:p>
        </w:tc>
        <w:tc>
          <w:tcPr>
            <w:tcW w:w="5642" w:type="dxa"/>
            <w:noWrap w:val="0"/>
            <w:vAlign w:val="center"/>
          </w:tcPr>
          <w:p w14:paraId="46D96863">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420" w:firstLineChars="20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空旷荒地、废弃空地等远离水源、人居的区域</w:t>
            </w:r>
          </w:p>
        </w:tc>
        <w:tc>
          <w:tcPr>
            <w:tcW w:w="1500" w:type="dxa"/>
            <w:noWrap w:val="0"/>
            <w:vAlign w:val="center"/>
          </w:tcPr>
          <w:p w14:paraId="31A6EBC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1</w:t>
            </w:r>
          </w:p>
        </w:tc>
      </w:tr>
      <w:tr w14:paraId="1BC03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6" w:type="dxa"/>
            <w:vMerge w:val="continue"/>
            <w:noWrap w:val="0"/>
            <w:vAlign w:val="center"/>
          </w:tcPr>
          <w:p w14:paraId="2E206584">
            <w:pPr>
              <w:jc w:val="center"/>
              <w:rPr>
                <w:rFonts w:hint="eastAsia" w:ascii="宋体" w:hAnsi="宋体" w:eastAsia="宋体" w:cs="宋体"/>
                <w:color w:val="auto"/>
                <w:sz w:val="21"/>
                <w:szCs w:val="21"/>
                <w:highlight w:val="none"/>
              </w:rPr>
            </w:pPr>
          </w:p>
        </w:tc>
        <w:tc>
          <w:tcPr>
            <w:tcW w:w="5642" w:type="dxa"/>
            <w:noWrap w:val="0"/>
            <w:vAlign w:val="center"/>
          </w:tcPr>
          <w:p w14:paraId="3691727C">
            <w:pPr>
              <w:keepNext w:val="0"/>
              <w:keepLines w:val="0"/>
              <w:pageBreakBefore w:val="0"/>
              <w:widowControl w:val="0"/>
              <w:kinsoku/>
              <w:wordWrap/>
              <w:overflowPunct/>
              <w:topLinePunct w:val="0"/>
              <w:bidi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居民区、农用地、村庄、学校、医院、养老院等与人类生产生活紧密相关的区域</w:t>
            </w:r>
          </w:p>
        </w:tc>
        <w:tc>
          <w:tcPr>
            <w:tcW w:w="1500" w:type="dxa"/>
            <w:noWrap w:val="0"/>
            <w:vAlign w:val="center"/>
          </w:tcPr>
          <w:p w14:paraId="674B3BD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p>
        </w:tc>
      </w:tr>
      <w:tr w14:paraId="0B6D9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6" w:type="dxa"/>
            <w:vMerge w:val="continue"/>
            <w:noWrap w:val="0"/>
            <w:vAlign w:val="center"/>
          </w:tcPr>
          <w:p w14:paraId="3E564721">
            <w:pPr>
              <w:jc w:val="center"/>
              <w:rPr>
                <w:rFonts w:hint="eastAsia" w:ascii="宋体" w:hAnsi="宋体" w:eastAsia="宋体" w:cs="宋体"/>
                <w:color w:val="auto"/>
                <w:sz w:val="21"/>
                <w:szCs w:val="21"/>
                <w:highlight w:val="none"/>
              </w:rPr>
            </w:pPr>
          </w:p>
        </w:tc>
        <w:tc>
          <w:tcPr>
            <w:tcW w:w="5642" w:type="dxa"/>
            <w:noWrap w:val="0"/>
            <w:vAlign w:val="center"/>
          </w:tcPr>
          <w:p w14:paraId="2C53E1B5">
            <w:pPr>
              <w:keepNext w:val="0"/>
              <w:keepLines w:val="0"/>
              <w:pageBreakBefore w:val="0"/>
              <w:widowControl w:val="0"/>
              <w:kinsoku/>
              <w:wordWrap/>
              <w:overflowPunct/>
              <w:topLinePunct w:val="0"/>
              <w:bidi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河道、水库、滩地、岸坡等区域</w:t>
            </w:r>
          </w:p>
        </w:tc>
        <w:tc>
          <w:tcPr>
            <w:tcW w:w="1500" w:type="dxa"/>
            <w:noWrap w:val="0"/>
            <w:vAlign w:val="center"/>
          </w:tcPr>
          <w:p w14:paraId="0476627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p>
        </w:tc>
      </w:tr>
      <w:tr w14:paraId="0FFB0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6" w:type="dxa"/>
            <w:vMerge w:val="continue"/>
            <w:noWrap w:val="0"/>
            <w:vAlign w:val="center"/>
          </w:tcPr>
          <w:p w14:paraId="71AC29ED">
            <w:pPr>
              <w:jc w:val="center"/>
              <w:rPr>
                <w:rFonts w:hint="eastAsia" w:ascii="宋体" w:hAnsi="宋体" w:eastAsia="宋体" w:cs="宋体"/>
                <w:color w:val="auto"/>
                <w:sz w:val="21"/>
                <w:szCs w:val="21"/>
                <w:highlight w:val="none"/>
              </w:rPr>
            </w:pPr>
          </w:p>
        </w:tc>
        <w:tc>
          <w:tcPr>
            <w:tcW w:w="5642" w:type="dxa"/>
            <w:noWrap w:val="0"/>
            <w:vAlign w:val="center"/>
          </w:tcPr>
          <w:p w14:paraId="2E3E55BB">
            <w:pPr>
              <w:keepNext w:val="0"/>
              <w:keepLines w:val="0"/>
              <w:pageBreakBefore w:val="0"/>
              <w:widowControl w:val="0"/>
              <w:kinsoku/>
              <w:wordWrap/>
              <w:overflowPunct/>
              <w:topLinePunct w:val="0"/>
              <w:bidi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饮用水水源保护区、自然保护地、生态保护红线、永久基本农田等需要特殊保护的区域</w:t>
            </w:r>
          </w:p>
        </w:tc>
        <w:tc>
          <w:tcPr>
            <w:tcW w:w="1500" w:type="dxa"/>
            <w:noWrap w:val="0"/>
            <w:vAlign w:val="center"/>
          </w:tcPr>
          <w:p w14:paraId="50828ED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p>
        </w:tc>
      </w:tr>
      <w:tr w14:paraId="72F17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6" w:type="dxa"/>
            <w:vMerge w:val="restart"/>
            <w:noWrap w:val="0"/>
            <w:vAlign w:val="center"/>
          </w:tcPr>
          <w:p w14:paraId="5FA0C596">
            <w:pPr>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危险废物或者城镇污水处理设施产生的污泥和处理后的污泥的数量</w:t>
            </w:r>
          </w:p>
        </w:tc>
        <w:tc>
          <w:tcPr>
            <w:tcW w:w="5642" w:type="dxa"/>
            <w:noWrap w:val="0"/>
            <w:vAlign w:val="center"/>
          </w:tcPr>
          <w:p w14:paraId="2AEBE0A0">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不足</w:t>
            </w:r>
            <w:r>
              <w:rPr>
                <w:rFonts w:hint="eastAsia" w:ascii="宋体" w:hAnsi="宋体" w:eastAsia="宋体" w:cs="宋体"/>
                <w:color w:val="auto"/>
                <w:sz w:val="21"/>
                <w:szCs w:val="21"/>
                <w:highlight w:val="none"/>
                <w:lang w:val="en-US" w:eastAsia="zh-CN"/>
              </w:rPr>
              <w:t>0.5</w:t>
            </w:r>
            <w:r>
              <w:rPr>
                <w:rFonts w:hint="eastAsia" w:ascii="宋体" w:hAnsi="宋体" w:eastAsia="宋体" w:cs="宋体"/>
                <w:color w:val="auto"/>
                <w:sz w:val="21"/>
                <w:szCs w:val="21"/>
                <w:highlight w:val="none"/>
              </w:rPr>
              <w:t>吨</w:t>
            </w:r>
          </w:p>
        </w:tc>
        <w:tc>
          <w:tcPr>
            <w:tcW w:w="1500" w:type="dxa"/>
            <w:noWrap w:val="0"/>
            <w:vAlign w:val="center"/>
          </w:tcPr>
          <w:p w14:paraId="5F63E6F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73446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6" w:type="dxa"/>
            <w:vMerge w:val="continue"/>
            <w:noWrap w:val="0"/>
            <w:vAlign w:val="center"/>
          </w:tcPr>
          <w:p w14:paraId="32FD8F04">
            <w:pPr>
              <w:rPr>
                <w:rFonts w:hint="eastAsia" w:ascii="宋体" w:hAnsi="宋体" w:eastAsia="宋体" w:cs="宋体"/>
                <w:color w:val="auto"/>
                <w:sz w:val="21"/>
                <w:szCs w:val="21"/>
                <w:highlight w:val="none"/>
              </w:rPr>
            </w:pPr>
          </w:p>
        </w:tc>
        <w:tc>
          <w:tcPr>
            <w:tcW w:w="5642" w:type="dxa"/>
            <w:noWrap w:val="0"/>
            <w:vAlign w:val="center"/>
          </w:tcPr>
          <w:p w14:paraId="6F2EC700">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0.5</w:t>
            </w:r>
            <w:r>
              <w:rPr>
                <w:rFonts w:hint="eastAsia" w:ascii="宋体" w:hAnsi="宋体" w:eastAsia="宋体" w:cs="宋体"/>
                <w:color w:val="auto"/>
                <w:sz w:val="21"/>
                <w:szCs w:val="21"/>
                <w:highlight w:val="none"/>
              </w:rPr>
              <w:t>吨以上不足</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吨</w:t>
            </w:r>
          </w:p>
        </w:tc>
        <w:tc>
          <w:tcPr>
            <w:tcW w:w="1500" w:type="dxa"/>
            <w:noWrap w:val="0"/>
            <w:vAlign w:val="center"/>
          </w:tcPr>
          <w:p w14:paraId="7803888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r>
      <w:tr w14:paraId="11EBC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6" w:type="dxa"/>
            <w:vMerge w:val="continue"/>
            <w:noWrap w:val="0"/>
            <w:vAlign w:val="center"/>
          </w:tcPr>
          <w:p w14:paraId="54794DAB">
            <w:pPr>
              <w:rPr>
                <w:rFonts w:hint="eastAsia" w:ascii="宋体" w:hAnsi="宋体" w:eastAsia="宋体" w:cs="宋体"/>
                <w:color w:val="auto"/>
                <w:sz w:val="21"/>
                <w:szCs w:val="21"/>
                <w:highlight w:val="none"/>
              </w:rPr>
            </w:pPr>
          </w:p>
        </w:tc>
        <w:tc>
          <w:tcPr>
            <w:tcW w:w="5642" w:type="dxa"/>
            <w:noWrap w:val="0"/>
            <w:vAlign w:val="center"/>
          </w:tcPr>
          <w:p w14:paraId="00381F74">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吨以上不足</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吨</w:t>
            </w:r>
          </w:p>
        </w:tc>
        <w:tc>
          <w:tcPr>
            <w:tcW w:w="1500" w:type="dxa"/>
            <w:noWrap w:val="0"/>
            <w:vAlign w:val="center"/>
          </w:tcPr>
          <w:p w14:paraId="21A552A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4F4C9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6" w:type="dxa"/>
            <w:vMerge w:val="continue"/>
            <w:noWrap w:val="0"/>
            <w:vAlign w:val="center"/>
          </w:tcPr>
          <w:p w14:paraId="6F189ECA">
            <w:pPr>
              <w:rPr>
                <w:rFonts w:hint="eastAsia" w:ascii="宋体" w:hAnsi="宋体" w:eastAsia="宋体" w:cs="宋体"/>
                <w:color w:val="auto"/>
                <w:sz w:val="21"/>
                <w:szCs w:val="21"/>
                <w:highlight w:val="none"/>
              </w:rPr>
            </w:pPr>
          </w:p>
        </w:tc>
        <w:tc>
          <w:tcPr>
            <w:tcW w:w="5642" w:type="dxa"/>
            <w:noWrap w:val="0"/>
            <w:vAlign w:val="center"/>
          </w:tcPr>
          <w:p w14:paraId="2FFDCF34">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吨以上不足</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吨</w:t>
            </w:r>
          </w:p>
        </w:tc>
        <w:tc>
          <w:tcPr>
            <w:tcW w:w="1500" w:type="dxa"/>
            <w:noWrap w:val="0"/>
            <w:vAlign w:val="center"/>
          </w:tcPr>
          <w:p w14:paraId="2E71F87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r>
      <w:tr w14:paraId="5B970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6" w:type="dxa"/>
            <w:vMerge w:val="continue"/>
            <w:noWrap w:val="0"/>
            <w:vAlign w:val="center"/>
          </w:tcPr>
          <w:p w14:paraId="34FFD6C9">
            <w:pPr>
              <w:rPr>
                <w:rFonts w:hint="eastAsia" w:ascii="宋体" w:hAnsi="宋体" w:eastAsia="宋体" w:cs="宋体"/>
                <w:color w:val="auto"/>
                <w:sz w:val="21"/>
                <w:szCs w:val="21"/>
                <w:highlight w:val="none"/>
              </w:rPr>
            </w:pPr>
          </w:p>
        </w:tc>
        <w:tc>
          <w:tcPr>
            <w:tcW w:w="5642" w:type="dxa"/>
            <w:noWrap w:val="0"/>
            <w:vAlign w:val="center"/>
          </w:tcPr>
          <w:p w14:paraId="2CDA38AB">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吨以上</w:t>
            </w:r>
          </w:p>
        </w:tc>
        <w:tc>
          <w:tcPr>
            <w:tcW w:w="1500" w:type="dxa"/>
            <w:noWrap w:val="0"/>
            <w:vAlign w:val="center"/>
          </w:tcPr>
          <w:p w14:paraId="36CB178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45CFE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6" w:type="dxa"/>
            <w:noWrap w:val="0"/>
            <w:vAlign w:val="center"/>
          </w:tcPr>
          <w:p w14:paraId="2AFCFE10">
            <w:pPr>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备注</w:t>
            </w:r>
          </w:p>
        </w:tc>
        <w:tc>
          <w:tcPr>
            <w:tcW w:w="7142" w:type="dxa"/>
            <w:gridSpan w:val="2"/>
            <w:noWrap w:val="0"/>
            <w:vAlign w:val="center"/>
          </w:tcPr>
          <w:p w14:paraId="30C0EF30">
            <w:pPr>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拟对直接负责的主管人员和其他直接责任人员实施罚款处罚的，应当分别套用计算公式确定罚款数额。</w:t>
            </w:r>
          </w:p>
        </w:tc>
      </w:tr>
    </w:tbl>
    <w:p w14:paraId="7830ED1C">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6"/>
        <w:gridCol w:w="5642"/>
        <w:gridCol w:w="1500"/>
      </w:tblGrid>
      <w:tr w14:paraId="355E9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522" w:type="dxa"/>
            <w:gridSpan w:val="3"/>
            <w:noWrap w:val="0"/>
            <w:vAlign w:val="center"/>
          </w:tcPr>
          <w:p w14:paraId="465E8730">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（八）固体废物污染防治类</w:t>
            </w:r>
          </w:p>
        </w:tc>
      </w:tr>
      <w:tr w14:paraId="1F0A8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0" w:type="dxa"/>
            <w:noWrap w:val="0"/>
            <w:vAlign w:val="center"/>
          </w:tcPr>
          <w:p w14:paraId="5ABC9C9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802" w:type="dxa"/>
            <w:gridSpan w:val="2"/>
            <w:noWrap w:val="0"/>
            <w:vAlign w:val="center"/>
          </w:tcPr>
          <w:p w14:paraId="6924033D">
            <w:pPr>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r>
              <w:rPr>
                <w:rFonts w:hint="eastAsia" w:ascii="宋体" w:hAnsi="宋体" w:cs="宋体"/>
                <w:color w:val="auto"/>
                <w:sz w:val="21"/>
                <w:szCs w:val="21"/>
                <w:highlight w:val="none"/>
                <w:lang w:val="en-US" w:eastAsia="zh-CN"/>
              </w:rPr>
              <w:t>-1</w:t>
            </w:r>
          </w:p>
        </w:tc>
      </w:tr>
      <w:tr w14:paraId="2B57C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0" w:type="dxa"/>
            <w:noWrap w:val="0"/>
            <w:vAlign w:val="center"/>
          </w:tcPr>
          <w:p w14:paraId="40351EE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6802" w:type="dxa"/>
            <w:gridSpan w:val="2"/>
            <w:noWrap w:val="0"/>
            <w:vAlign w:val="center"/>
          </w:tcPr>
          <w:p w14:paraId="13B62489">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未采取相应防范措施，造成工业固体废物扬散、流失、渗漏或者其他环境污染的</w:t>
            </w:r>
          </w:p>
        </w:tc>
      </w:tr>
      <w:tr w14:paraId="47AC2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0" w:type="dxa"/>
            <w:noWrap w:val="0"/>
            <w:vAlign w:val="center"/>
          </w:tcPr>
          <w:p w14:paraId="6516E94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6802" w:type="dxa"/>
            <w:gridSpan w:val="2"/>
            <w:noWrap w:val="0"/>
            <w:vAlign w:val="center"/>
          </w:tcPr>
          <w:p w14:paraId="0FC43A29">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《中华人民共和国生态环境法典》第四百七十五条　产生、收集、贮存、运输、利用、处置固体废物的单位和其他生产经营者，应当采取防扬散、防流失、防渗漏或者其他防止污染环境的措施，不得擅自倾倒、堆放、丢弃、抛撒、遗撒或者焚烧固体废物。</w:t>
            </w:r>
          </w:p>
        </w:tc>
      </w:tr>
      <w:tr w14:paraId="2A11D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0" w:type="dxa"/>
            <w:noWrap w:val="0"/>
            <w:vAlign w:val="center"/>
          </w:tcPr>
          <w:p w14:paraId="15BB4BC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6802" w:type="dxa"/>
            <w:gridSpan w:val="2"/>
            <w:noWrap w:val="0"/>
            <w:vAlign w:val="center"/>
          </w:tcPr>
          <w:p w14:paraId="097DCC2A">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《中华人民共和国生态环境法典》第一千一百七十条  违反本法规定，未采取防范措施，造成工业固体废物扬散、流失、渗漏或者其他环境污染的，由生态环境主管部门责令改正，处十万元以上一百万元以下的罚款</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w:t>
            </w:r>
          </w:p>
        </w:tc>
      </w:tr>
      <w:tr w14:paraId="111F7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0" w:type="dxa"/>
            <w:noWrap w:val="0"/>
            <w:vAlign w:val="center"/>
          </w:tcPr>
          <w:p w14:paraId="6075B33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373" w:type="dxa"/>
            <w:noWrap w:val="0"/>
            <w:vAlign w:val="center"/>
          </w:tcPr>
          <w:p w14:paraId="4B1E400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429" w:type="dxa"/>
            <w:noWrap w:val="0"/>
            <w:vAlign w:val="center"/>
          </w:tcPr>
          <w:p w14:paraId="27FA616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55DF1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0" w:type="dxa"/>
            <w:vMerge w:val="restart"/>
            <w:noWrap w:val="0"/>
            <w:vAlign w:val="center"/>
          </w:tcPr>
          <w:p w14:paraId="5A3121B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工业固体废物</w:t>
            </w:r>
            <w:r>
              <w:rPr>
                <w:rFonts w:hint="eastAsia" w:ascii="宋体" w:hAnsi="宋体" w:eastAsia="宋体" w:cs="宋体"/>
                <w:color w:val="auto"/>
                <w:sz w:val="21"/>
                <w:szCs w:val="21"/>
                <w:highlight w:val="none"/>
              </w:rPr>
              <w:t>类别</w:t>
            </w:r>
          </w:p>
        </w:tc>
        <w:tc>
          <w:tcPr>
            <w:tcW w:w="5373" w:type="dxa"/>
            <w:noWrap w:val="0"/>
            <w:vAlign w:val="top"/>
          </w:tcPr>
          <w:p w14:paraId="2F1DAD3A">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第I类一般工业固体废物</w:t>
            </w:r>
          </w:p>
        </w:tc>
        <w:tc>
          <w:tcPr>
            <w:tcW w:w="1429" w:type="dxa"/>
            <w:noWrap w:val="0"/>
            <w:vAlign w:val="top"/>
          </w:tcPr>
          <w:p w14:paraId="7C65A1D4">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w:t>
            </w:r>
          </w:p>
        </w:tc>
      </w:tr>
      <w:tr w14:paraId="25B85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0" w:type="dxa"/>
            <w:vMerge w:val="continue"/>
            <w:noWrap w:val="0"/>
            <w:vAlign w:val="top"/>
          </w:tcPr>
          <w:p w14:paraId="55BE583E">
            <w:pPr>
              <w:rPr>
                <w:rFonts w:hint="eastAsia" w:ascii="宋体" w:hAnsi="宋体" w:eastAsia="宋体" w:cs="宋体"/>
                <w:color w:val="auto"/>
                <w:sz w:val="21"/>
                <w:szCs w:val="21"/>
                <w:highlight w:val="none"/>
              </w:rPr>
            </w:pPr>
          </w:p>
        </w:tc>
        <w:tc>
          <w:tcPr>
            <w:tcW w:w="5373" w:type="dxa"/>
            <w:noWrap w:val="0"/>
            <w:vAlign w:val="top"/>
          </w:tcPr>
          <w:p w14:paraId="2E96EE47">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w:t>
            </w:r>
            <w:r>
              <w:rPr>
                <w:rFonts w:hint="eastAsia" w:ascii="宋体" w:hAnsi="宋体" w:cs="宋体"/>
                <w:color w:val="auto"/>
                <w:sz w:val="21"/>
                <w:szCs w:val="21"/>
                <w:highlight w:val="none"/>
                <w:lang w:eastAsia="zh-CN"/>
              </w:rPr>
              <w:t>Ⅱ类</w:t>
            </w:r>
            <w:r>
              <w:rPr>
                <w:rFonts w:hint="eastAsia" w:ascii="宋体" w:hAnsi="宋体" w:eastAsia="宋体" w:cs="宋体"/>
                <w:color w:val="auto"/>
                <w:sz w:val="21"/>
                <w:szCs w:val="21"/>
                <w:highlight w:val="none"/>
              </w:rPr>
              <w:t>一般工业固体废物</w:t>
            </w:r>
          </w:p>
        </w:tc>
        <w:tc>
          <w:tcPr>
            <w:tcW w:w="1429" w:type="dxa"/>
            <w:noWrap w:val="0"/>
            <w:vAlign w:val="top"/>
          </w:tcPr>
          <w:p w14:paraId="06A0DD8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p>
        </w:tc>
      </w:tr>
      <w:tr w14:paraId="0E322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0" w:type="dxa"/>
            <w:vMerge w:val="restart"/>
            <w:noWrap w:val="0"/>
            <w:vAlign w:val="center"/>
          </w:tcPr>
          <w:p w14:paraId="287A011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工业固体废物数量</w:t>
            </w:r>
          </w:p>
        </w:tc>
        <w:tc>
          <w:tcPr>
            <w:tcW w:w="5373" w:type="dxa"/>
            <w:noWrap w:val="0"/>
            <w:vAlign w:val="center"/>
          </w:tcPr>
          <w:p w14:paraId="0A1260EA">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不足</w:t>
            </w:r>
            <w:r>
              <w:rPr>
                <w:rFonts w:hint="eastAsia" w:ascii="宋体" w:hAnsi="宋体" w:eastAsia="宋体" w:cs="宋体"/>
                <w:color w:val="auto"/>
                <w:sz w:val="21"/>
                <w:szCs w:val="21"/>
                <w:highlight w:val="none"/>
                <w:lang w:val="en-US" w:eastAsia="zh-CN"/>
              </w:rPr>
              <w:t>0.1</w:t>
            </w:r>
            <w:r>
              <w:rPr>
                <w:rFonts w:hint="eastAsia" w:ascii="宋体" w:hAnsi="宋体" w:eastAsia="宋体" w:cs="宋体"/>
                <w:color w:val="auto"/>
                <w:sz w:val="21"/>
                <w:szCs w:val="21"/>
                <w:highlight w:val="none"/>
              </w:rPr>
              <w:t>吨</w:t>
            </w:r>
          </w:p>
        </w:tc>
        <w:tc>
          <w:tcPr>
            <w:tcW w:w="1429" w:type="dxa"/>
            <w:noWrap w:val="0"/>
            <w:vAlign w:val="center"/>
          </w:tcPr>
          <w:p w14:paraId="4E62C18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1E722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0" w:type="dxa"/>
            <w:vMerge w:val="continue"/>
            <w:noWrap w:val="0"/>
            <w:vAlign w:val="center"/>
          </w:tcPr>
          <w:p w14:paraId="6D4DC63E">
            <w:pPr>
              <w:rPr>
                <w:rFonts w:hint="eastAsia" w:ascii="宋体" w:hAnsi="宋体" w:eastAsia="宋体" w:cs="宋体"/>
                <w:color w:val="auto"/>
                <w:sz w:val="21"/>
                <w:szCs w:val="21"/>
                <w:highlight w:val="none"/>
              </w:rPr>
            </w:pPr>
          </w:p>
        </w:tc>
        <w:tc>
          <w:tcPr>
            <w:tcW w:w="5373" w:type="dxa"/>
            <w:noWrap w:val="0"/>
            <w:vAlign w:val="center"/>
          </w:tcPr>
          <w:p w14:paraId="1DC41BB6">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0.1</w:t>
            </w:r>
            <w:r>
              <w:rPr>
                <w:rFonts w:hint="eastAsia" w:ascii="宋体" w:hAnsi="宋体" w:eastAsia="宋体" w:cs="宋体"/>
                <w:color w:val="auto"/>
                <w:sz w:val="21"/>
                <w:szCs w:val="21"/>
                <w:highlight w:val="none"/>
              </w:rPr>
              <w:t>吨以上不足</w:t>
            </w:r>
            <w:r>
              <w:rPr>
                <w:rFonts w:hint="eastAsia" w:ascii="宋体" w:hAnsi="宋体" w:eastAsia="宋体" w:cs="宋体"/>
                <w:color w:val="auto"/>
                <w:sz w:val="21"/>
                <w:szCs w:val="21"/>
                <w:highlight w:val="none"/>
                <w:lang w:val="en-US" w:eastAsia="zh-CN"/>
              </w:rPr>
              <w:t>0.5</w:t>
            </w:r>
            <w:r>
              <w:rPr>
                <w:rFonts w:hint="eastAsia" w:ascii="宋体" w:hAnsi="宋体" w:eastAsia="宋体" w:cs="宋体"/>
                <w:color w:val="auto"/>
                <w:sz w:val="21"/>
                <w:szCs w:val="21"/>
                <w:highlight w:val="none"/>
              </w:rPr>
              <w:t>吨</w:t>
            </w:r>
          </w:p>
        </w:tc>
        <w:tc>
          <w:tcPr>
            <w:tcW w:w="1429" w:type="dxa"/>
            <w:noWrap w:val="0"/>
            <w:vAlign w:val="center"/>
          </w:tcPr>
          <w:p w14:paraId="6FD374C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r>
      <w:tr w14:paraId="69849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0" w:type="dxa"/>
            <w:vMerge w:val="continue"/>
            <w:noWrap w:val="0"/>
            <w:vAlign w:val="center"/>
          </w:tcPr>
          <w:p w14:paraId="2C4E2912">
            <w:pPr>
              <w:rPr>
                <w:rFonts w:hint="eastAsia" w:ascii="宋体" w:hAnsi="宋体" w:eastAsia="宋体" w:cs="宋体"/>
                <w:color w:val="auto"/>
                <w:sz w:val="21"/>
                <w:szCs w:val="21"/>
                <w:highlight w:val="none"/>
              </w:rPr>
            </w:pPr>
          </w:p>
        </w:tc>
        <w:tc>
          <w:tcPr>
            <w:tcW w:w="5373" w:type="dxa"/>
            <w:noWrap w:val="0"/>
            <w:vAlign w:val="center"/>
          </w:tcPr>
          <w:p w14:paraId="38C93AA0">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0.5</w:t>
            </w:r>
            <w:r>
              <w:rPr>
                <w:rFonts w:hint="eastAsia" w:ascii="宋体" w:hAnsi="宋体" w:eastAsia="宋体" w:cs="宋体"/>
                <w:color w:val="auto"/>
                <w:sz w:val="21"/>
                <w:szCs w:val="21"/>
                <w:highlight w:val="none"/>
              </w:rPr>
              <w:t>吨以上不足</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吨</w:t>
            </w:r>
          </w:p>
        </w:tc>
        <w:tc>
          <w:tcPr>
            <w:tcW w:w="1429" w:type="dxa"/>
            <w:noWrap w:val="0"/>
            <w:vAlign w:val="center"/>
          </w:tcPr>
          <w:p w14:paraId="7DD7649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1E9FC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0" w:type="dxa"/>
            <w:vMerge w:val="continue"/>
            <w:noWrap w:val="0"/>
            <w:vAlign w:val="center"/>
          </w:tcPr>
          <w:p w14:paraId="560245CC">
            <w:pPr>
              <w:rPr>
                <w:rFonts w:hint="eastAsia" w:ascii="宋体" w:hAnsi="宋体" w:eastAsia="宋体" w:cs="宋体"/>
                <w:color w:val="auto"/>
                <w:sz w:val="21"/>
                <w:szCs w:val="21"/>
                <w:highlight w:val="none"/>
              </w:rPr>
            </w:pPr>
          </w:p>
        </w:tc>
        <w:tc>
          <w:tcPr>
            <w:tcW w:w="5373" w:type="dxa"/>
            <w:noWrap w:val="0"/>
            <w:vAlign w:val="center"/>
          </w:tcPr>
          <w:p w14:paraId="1D8C9C17">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吨以上不足</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吨</w:t>
            </w:r>
          </w:p>
        </w:tc>
        <w:tc>
          <w:tcPr>
            <w:tcW w:w="1429" w:type="dxa"/>
            <w:noWrap w:val="0"/>
            <w:vAlign w:val="center"/>
          </w:tcPr>
          <w:p w14:paraId="7BF559D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r>
      <w:tr w14:paraId="7031D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0" w:type="dxa"/>
            <w:vMerge w:val="continue"/>
            <w:noWrap w:val="0"/>
            <w:vAlign w:val="center"/>
          </w:tcPr>
          <w:p w14:paraId="5B5DA0B0">
            <w:pPr>
              <w:rPr>
                <w:rFonts w:hint="eastAsia" w:ascii="宋体" w:hAnsi="宋体" w:eastAsia="宋体" w:cs="宋体"/>
                <w:color w:val="auto"/>
                <w:sz w:val="21"/>
                <w:szCs w:val="21"/>
                <w:highlight w:val="none"/>
              </w:rPr>
            </w:pPr>
          </w:p>
        </w:tc>
        <w:tc>
          <w:tcPr>
            <w:tcW w:w="5373" w:type="dxa"/>
            <w:noWrap w:val="0"/>
            <w:vAlign w:val="center"/>
          </w:tcPr>
          <w:p w14:paraId="58D52064">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吨以上</w:t>
            </w:r>
          </w:p>
        </w:tc>
        <w:tc>
          <w:tcPr>
            <w:tcW w:w="1429" w:type="dxa"/>
            <w:noWrap w:val="0"/>
            <w:vAlign w:val="center"/>
          </w:tcPr>
          <w:p w14:paraId="15F0826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347D4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0" w:type="dxa"/>
            <w:vMerge w:val="restart"/>
            <w:noWrap w:val="0"/>
            <w:vAlign w:val="center"/>
          </w:tcPr>
          <w:p w14:paraId="42CF16CF">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违法行为发生地</w:t>
            </w:r>
          </w:p>
        </w:tc>
        <w:tc>
          <w:tcPr>
            <w:tcW w:w="5373" w:type="dxa"/>
            <w:noWrap w:val="0"/>
            <w:vAlign w:val="center"/>
          </w:tcPr>
          <w:p w14:paraId="3E7394B0">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420" w:firstLineChars="20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空旷荒地、废弃空地等远离水源、人居的区域</w:t>
            </w:r>
          </w:p>
        </w:tc>
        <w:tc>
          <w:tcPr>
            <w:tcW w:w="1429" w:type="dxa"/>
            <w:noWrap w:val="0"/>
            <w:vAlign w:val="center"/>
          </w:tcPr>
          <w:p w14:paraId="2774745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1</w:t>
            </w:r>
          </w:p>
        </w:tc>
      </w:tr>
      <w:tr w14:paraId="219E3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0" w:type="dxa"/>
            <w:vMerge w:val="continue"/>
            <w:noWrap w:val="0"/>
            <w:vAlign w:val="center"/>
          </w:tcPr>
          <w:p w14:paraId="6DD45E0D">
            <w:pPr>
              <w:jc w:val="center"/>
              <w:rPr>
                <w:rFonts w:hint="eastAsia" w:ascii="宋体" w:hAnsi="宋体" w:eastAsia="宋体" w:cs="宋体"/>
                <w:color w:val="auto"/>
                <w:sz w:val="21"/>
                <w:szCs w:val="21"/>
                <w:highlight w:val="none"/>
              </w:rPr>
            </w:pPr>
          </w:p>
        </w:tc>
        <w:tc>
          <w:tcPr>
            <w:tcW w:w="5373" w:type="dxa"/>
            <w:noWrap w:val="0"/>
            <w:vAlign w:val="center"/>
          </w:tcPr>
          <w:p w14:paraId="0D62C93A">
            <w:pPr>
              <w:keepNext w:val="0"/>
              <w:keepLines w:val="0"/>
              <w:pageBreakBefore w:val="0"/>
              <w:widowControl w:val="0"/>
              <w:kinsoku/>
              <w:wordWrap/>
              <w:overflowPunct/>
              <w:topLinePunct w:val="0"/>
              <w:bidi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居民区、农用地、村庄、学校、医院、养老院等与人类生产生活紧密相关的区域</w:t>
            </w:r>
          </w:p>
        </w:tc>
        <w:tc>
          <w:tcPr>
            <w:tcW w:w="1429" w:type="dxa"/>
            <w:noWrap w:val="0"/>
            <w:vAlign w:val="center"/>
          </w:tcPr>
          <w:p w14:paraId="4FD643A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p>
        </w:tc>
      </w:tr>
      <w:tr w14:paraId="17E82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0" w:type="dxa"/>
            <w:vMerge w:val="continue"/>
            <w:noWrap w:val="0"/>
            <w:vAlign w:val="center"/>
          </w:tcPr>
          <w:p w14:paraId="4A2726D1">
            <w:pPr>
              <w:jc w:val="center"/>
              <w:rPr>
                <w:rFonts w:hint="eastAsia" w:ascii="宋体" w:hAnsi="宋体" w:eastAsia="宋体" w:cs="宋体"/>
                <w:color w:val="auto"/>
                <w:sz w:val="21"/>
                <w:szCs w:val="21"/>
                <w:highlight w:val="none"/>
              </w:rPr>
            </w:pPr>
          </w:p>
        </w:tc>
        <w:tc>
          <w:tcPr>
            <w:tcW w:w="5373" w:type="dxa"/>
            <w:noWrap w:val="0"/>
            <w:vAlign w:val="center"/>
          </w:tcPr>
          <w:p w14:paraId="6D3A26C0">
            <w:pPr>
              <w:keepNext w:val="0"/>
              <w:keepLines w:val="0"/>
              <w:pageBreakBefore w:val="0"/>
              <w:widowControl w:val="0"/>
              <w:kinsoku/>
              <w:wordWrap/>
              <w:overflowPunct/>
              <w:topLinePunct w:val="0"/>
              <w:bidi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河道、水库、滩地、岸坡等区域</w:t>
            </w:r>
          </w:p>
        </w:tc>
        <w:tc>
          <w:tcPr>
            <w:tcW w:w="1429" w:type="dxa"/>
            <w:noWrap w:val="0"/>
            <w:vAlign w:val="center"/>
          </w:tcPr>
          <w:p w14:paraId="6C69B0C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p>
        </w:tc>
      </w:tr>
      <w:tr w14:paraId="491C7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0" w:type="dxa"/>
            <w:vMerge w:val="continue"/>
            <w:noWrap w:val="0"/>
            <w:vAlign w:val="center"/>
          </w:tcPr>
          <w:p w14:paraId="024056C0">
            <w:pPr>
              <w:jc w:val="center"/>
              <w:rPr>
                <w:rFonts w:hint="eastAsia" w:ascii="宋体" w:hAnsi="宋体" w:eastAsia="宋体" w:cs="宋体"/>
                <w:color w:val="auto"/>
                <w:sz w:val="21"/>
                <w:szCs w:val="21"/>
                <w:highlight w:val="none"/>
              </w:rPr>
            </w:pPr>
          </w:p>
        </w:tc>
        <w:tc>
          <w:tcPr>
            <w:tcW w:w="5373" w:type="dxa"/>
            <w:noWrap w:val="0"/>
            <w:vAlign w:val="center"/>
          </w:tcPr>
          <w:p w14:paraId="0523FB4A">
            <w:pPr>
              <w:keepNext w:val="0"/>
              <w:keepLines w:val="0"/>
              <w:pageBreakBefore w:val="0"/>
              <w:widowControl w:val="0"/>
              <w:kinsoku/>
              <w:wordWrap/>
              <w:overflowPunct/>
              <w:topLinePunct w:val="0"/>
              <w:bidi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饮用水水源保护区、自然保护地、生态保护红线、永久基本农田等需要特殊保护的区域</w:t>
            </w:r>
          </w:p>
        </w:tc>
        <w:tc>
          <w:tcPr>
            <w:tcW w:w="1429" w:type="dxa"/>
            <w:noWrap w:val="0"/>
            <w:vAlign w:val="center"/>
          </w:tcPr>
          <w:p w14:paraId="212E1DE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p>
        </w:tc>
      </w:tr>
    </w:tbl>
    <w:p w14:paraId="6C287C34">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6"/>
        <w:gridCol w:w="5642"/>
        <w:gridCol w:w="1500"/>
      </w:tblGrid>
      <w:tr w14:paraId="3A95C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3"/>
            <w:noWrap w:val="0"/>
            <w:vAlign w:val="center"/>
          </w:tcPr>
          <w:p w14:paraId="6B5A9C94">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（八）固体废物污染防治类</w:t>
            </w:r>
          </w:p>
        </w:tc>
      </w:tr>
      <w:tr w14:paraId="5B020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0" w:type="dxa"/>
            <w:noWrap w:val="0"/>
            <w:vAlign w:val="center"/>
          </w:tcPr>
          <w:p w14:paraId="0E71124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802" w:type="dxa"/>
            <w:gridSpan w:val="2"/>
            <w:noWrap w:val="0"/>
            <w:vAlign w:val="center"/>
          </w:tcPr>
          <w:p w14:paraId="3A6ACF64">
            <w:pPr>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3-2</w:t>
            </w:r>
          </w:p>
        </w:tc>
      </w:tr>
      <w:tr w14:paraId="06D53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0" w:type="dxa"/>
            <w:noWrap w:val="0"/>
            <w:vAlign w:val="center"/>
          </w:tcPr>
          <w:p w14:paraId="7325D84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6802" w:type="dxa"/>
            <w:gridSpan w:val="2"/>
            <w:noWrap w:val="0"/>
            <w:vAlign w:val="center"/>
          </w:tcPr>
          <w:p w14:paraId="49A89578">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未采取相应防范措施，造成危险废物扬散、流失、渗漏或者其他环境污染的</w:t>
            </w:r>
          </w:p>
        </w:tc>
      </w:tr>
      <w:tr w14:paraId="04AEA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0" w:type="dxa"/>
            <w:noWrap w:val="0"/>
            <w:vAlign w:val="center"/>
          </w:tcPr>
          <w:p w14:paraId="5F21607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6802" w:type="dxa"/>
            <w:gridSpan w:val="2"/>
            <w:noWrap w:val="0"/>
            <w:vAlign w:val="center"/>
          </w:tcPr>
          <w:p w14:paraId="18F462E2">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《中华人民共和国生态环境法典》第四百七十五条　产生、收集、贮存、运输、利用、处置固体废物的单位和其他生产经营者，应当采取防扬散、防流失、防渗漏或者其他防止污染环境的措施，不得擅自倾倒、堆放、丢弃、抛撒、遗撒或者焚烧固体废物。</w:t>
            </w:r>
          </w:p>
        </w:tc>
      </w:tr>
      <w:tr w14:paraId="30E1E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0" w:type="dxa"/>
            <w:noWrap w:val="0"/>
            <w:vAlign w:val="center"/>
          </w:tcPr>
          <w:p w14:paraId="2F03575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6802" w:type="dxa"/>
            <w:gridSpan w:val="2"/>
            <w:noWrap w:val="0"/>
            <w:vAlign w:val="center"/>
          </w:tcPr>
          <w:p w14:paraId="5A1B79F6">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《中华人民共和国生态环境法典》第一千一百七十条  违反本法规定，未采取防范措施，造成工业固体废物扬散、流失、渗漏或者其他环境污染的，由生态环境主管部门责令改正，处十万元以上一百万元以下的罚款</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。工业固体废物为危险废物的，罚款数额为二十万元以上二百万元以下。</w:t>
            </w:r>
          </w:p>
        </w:tc>
      </w:tr>
      <w:tr w14:paraId="31F65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0" w:type="dxa"/>
            <w:noWrap w:val="0"/>
            <w:vAlign w:val="center"/>
          </w:tcPr>
          <w:p w14:paraId="2DDC9C8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373" w:type="dxa"/>
            <w:noWrap w:val="0"/>
            <w:vAlign w:val="center"/>
          </w:tcPr>
          <w:p w14:paraId="46FBAAA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429" w:type="dxa"/>
            <w:noWrap w:val="0"/>
            <w:vAlign w:val="center"/>
          </w:tcPr>
          <w:p w14:paraId="4B5D466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54B8E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0" w:type="dxa"/>
            <w:vMerge w:val="restart"/>
            <w:noWrap w:val="0"/>
            <w:vAlign w:val="center"/>
          </w:tcPr>
          <w:p w14:paraId="39091C4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危险</w:t>
            </w:r>
            <w:r>
              <w:rPr>
                <w:rFonts w:hint="eastAsia" w:ascii="宋体" w:hAnsi="宋体" w:eastAsia="宋体" w:cs="宋体"/>
                <w:color w:val="auto"/>
                <w:sz w:val="21"/>
                <w:szCs w:val="21"/>
                <w:highlight w:val="none"/>
              </w:rPr>
              <w:t>废物数量</w:t>
            </w:r>
          </w:p>
        </w:tc>
        <w:tc>
          <w:tcPr>
            <w:tcW w:w="5373" w:type="dxa"/>
            <w:noWrap w:val="0"/>
            <w:vAlign w:val="center"/>
          </w:tcPr>
          <w:p w14:paraId="585CEDF4">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不足</w:t>
            </w:r>
            <w:r>
              <w:rPr>
                <w:rFonts w:hint="eastAsia" w:ascii="宋体" w:hAnsi="宋体" w:eastAsia="宋体" w:cs="宋体"/>
                <w:color w:val="auto"/>
                <w:sz w:val="21"/>
                <w:szCs w:val="21"/>
                <w:highlight w:val="none"/>
                <w:lang w:val="en-US" w:eastAsia="zh-CN"/>
              </w:rPr>
              <w:t>0.1</w:t>
            </w:r>
            <w:r>
              <w:rPr>
                <w:rFonts w:hint="eastAsia" w:ascii="宋体" w:hAnsi="宋体" w:eastAsia="宋体" w:cs="宋体"/>
                <w:color w:val="auto"/>
                <w:sz w:val="21"/>
                <w:szCs w:val="21"/>
                <w:highlight w:val="none"/>
              </w:rPr>
              <w:t>吨</w:t>
            </w:r>
          </w:p>
        </w:tc>
        <w:tc>
          <w:tcPr>
            <w:tcW w:w="1429" w:type="dxa"/>
            <w:noWrap w:val="0"/>
            <w:vAlign w:val="center"/>
          </w:tcPr>
          <w:p w14:paraId="0D0E1B0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15BCB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0" w:type="dxa"/>
            <w:vMerge w:val="continue"/>
            <w:noWrap w:val="0"/>
            <w:vAlign w:val="center"/>
          </w:tcPr>
          <w:p w14:paraId="5C7176D7">
            <w:pPr>
              <w:rPr>
                <w:rFonts w:hint="eastAsia" w:ascii="宋体" w:hAnsi="宋体" w:eastAsia="宋体" w:cs="宋体"/>
                <w:color w:val="auto"/>
                <w:sz w:val="21"/>
                <w:szCs w:val="21"/>
                <w:highlight w:val="none"/>
              </w:rPr>
            </w:pPr>
          </w:p>
        </w:tc>
        <w:tc>
          <w:tcPr>
            <w:tcW w:w="5373" w:type="dxa"/>
            <w:noWrap w:val="0"/>
            <w:vAlign w:val="center"/>
          </w:tcPr>
          <w:p w14:paraId="6A5DCC84">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0.1</w:t>
            </w:r>
            <w:r>
              <w:rPr>
                <w:rFonts w:hint="eastAsia" w:ascii="宋体" w:hAnsi="宋体" w:eastAsia="宋体" w:cs="宋体"/>
                <w:color w:val="auto"/>
                <w:sz w:val="21"/>
                <w:szCs w:val="21"/>
                <w:highlight w:val="none"/>
              </w:rPr>
              <w:t>吨以上不足</w:t>
            </w:r>
            <w:r>
              <w:rPr>
                <w:rFonts w:hint="eastAsia" w:ascii="宋体" w:hAnsi="宋体" w:eastAsia="宋体" w:cs="宋体"/>
                <w:color w:val="auto"/>
                <w:sz w:val="21"/>
                <w:szCs w:val="21"/>
                <w:highlight w:val="none"/>
                <w:lang w:val="en-US" w:eastAsia="zh-CN"/>
              </w:rPr>
              <w:t>0.5</w:t>
            </w:r>
            <w:r>
              <w:rPr>
                <w:rFonts w:hint="eastAsia" w:ascii="宋体" w:hAnsi="宋体" w:eastAsia="宋体" w:cs="宋体"/>
                <w:color w:val="auto"/>
                <w:sz w:val="21"/>
                <w:szCs w:val="21"/>
                <w:highlight w:val="none"/>
              </w:rPr>
              <w:t>吨</w:t>
            </w:r>
          </w:p>
        </w:tc>
        <w:tc>
          <w:tcPr>
            <w:tcW w:w="1429" w:type="dxa"/>
            <w:noWrap w:val="0"/>
            <w:vAlign w:val="center"/>
          </w:tcPr>
          <w:p w14:paraId="18BEF0C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r>
      <w:tr w14:paraId="43AD5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0" w:type="dxa"/>
            <w:vMerge w:val="continue"/>
            <w:noWrap w:val="0"/>
            <w:vAlign w:val="center"/>
          </w:tcPr>
          <w:p w14:paraId="28E12E96">
            <w:pPr>
              <w:rPr>
                <w:rFonts w:hint="eastAsia" w:ascii="宋体" w:hAnsi="宋体" w:eastAsia="宋体" w:cs="宋体"/>
                <w:color w:val="auto"/>
                <w:sz w:val="21"/>
                <w:szCs w:val="21"/>
                <w:highlight w:val="none"/>
              </w:rPr>
            </w:pPr>
          </w:p>
        </w:tc>
        <w:tc>
          <w:tcPr>
            <w:tcW w:w="5373" w:type="dxa"/>
            <w:noWrap w:val="0"/>
            <w:vAlign w:val="center"/>
          </w:tcPr>
          <w:p w14:paraId="46C3C391">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0.5</w:t>
            </w:r>
            <w:r>
              <w:rPr>
                <w:rFonts w:hint="eastAsia" w:ascii="宋体" w:hAnsi="宋体" w:eastAsia="宋体" w:cs="宋体"/>
                <w:color w:val="auto"/>
                <w:sz w:val="21"/>
                <w:szCs w:val="21"/>
                <w:highlight w:val="none"/>
              </w:rPr>
              <w:t>吨以上不足</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吨</w:t>
            </w:r>
          </w:p>
        </w:tc>
        <w:tc>
          <w:tcPr>
            <w:tcW w:w="1429" w:type="dxa"/>
            <w:noWrap w:val="0"/>
            <w:vAlign w:val="center"/>
          </w:tcPr>
          <w:p w14:paraId="7523519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2FB92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0" w:type="dxa"/>
            <w:vMerge w:val="continue"/>
            <w:noWrap w:val="0"/>
            <w:vAlign w:val="center"/>
          </w:tcPr>
          <w:p w14:paraId="170F6E06">
            <w:pPr>
              <w:rPr>
                <w:rFonts w:hint="eastAsia" w:ascii="宋体" w:hAnsi="宋体" w:eastAsia="宋体" w:cs="宋体"/>
                <w:color w:val="auto"/>
                <w:sz w:val="21"/>
                <w:szCs w:val="21"/>
                <w:highlight w:val="none"/>
              </w:rPr>
            </w:pPr>
          </w:p>
        </w:tc>
        <w:tc>
          <w:tcPr>
            <w:tcW w:w="5373" w:type="dxa"/>
            <w:noWrap w:val="0"/>
            <w:vAlign w:val="center"/>
          </w:tcPr>
          <w:p w14:paraId="0FE6ACE3">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吨以上不足</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吨</w:t>
            </w:r>
          </w:p>
        </w:tc>
        <w:tc>
          <w:tcPr>
            <w:tcW w:w="1429" w:type="dxa"/>
            <w:noWrap w:val="0"/>
            <w:vAlign w:val="center"/>
          </w:tcPr>
          <w:p w14:paraId="3A922F4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r>
      <w:tr w14:paraId="467F8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0" w:type="dxa"/>
            <w:vMerge w:val="continue"/>
            <w:noWrap w:val="0"/>
            <w:vAlign w:val="center"/>
          </w:tcPr>
          <w:p w14:paraId="70EA0390">
            <w:pPr>
              <w:rPr>
                <w:rFonts w:hint="eastAsia" w:ascii="宋体" w:hAnsi="宋体" w:eastAsia="宋体" w:cs="宋体"/>
                <w:color w:val="auto"/>
                <w:sz w:val="21"/>
                <w:szCs w:val="21"/>
                <w:highlight w:val="none"/>
              </w:rPr>
            </w:pPr>
          </w:p>
        </w:tc>
        <w:tc>
          <w:tcPr>
            <w:tcW w:w="5373" w:type="dxa"/>
            <w:noWrap w:val="0"/>
            <w:vAlign w:val="center"/>
          </w:tcPr>
          <w:p w14:paraId="22E558F7">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吨以上</w:t>
            </w:r>
          </w:p>
        </w:tc>
        <w:tc>
          <w:tcPr>
            <w:tcW w:w="1429" w:type="dxa"/>
            <w:noWrap w:val="0"/>
            <w:vAlign w:val="center"/>
          </w:tcPr>
          <w:p w14:paraId="47492F9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7E08E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0" w:type="dxa"/>
            <w:vMerge w:val="restart"/>
            <w:noWrap w:val="0"/>
            <w:vAlign w:val="center"/>
          </w:tcPr>
          <w:p w14:paraId="427AD8A7">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违法行为发生地</w:t>
            </w:r>
          </w:p>
        </w:tc>
        <w:tc>
          <w:tcPr>
            <w:tcW w:w="5373" w:type="dxa"/>
            <w:noWrap w:val="0"/>
            <w:vAlign w:val="center"/>
          </w:tcPr>
          <w:p w14:paraId="72EAF256">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420" w:firstLineChars="20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空旷荒地、废弃空地等远离水源、人居的区域</w:t>
            </w:r>
          </w:p>
        </w:tc>
        <w:tc>
          <w:tcPr>
            <w:tcW w:w="1429" w:type="dxa"/>
            <w:noWrap w:val="0"/>
            <w:vAlign w:val="center"/>
          </w:tcPr>
          <w:p w14:paraId="5A334C6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1</w:t>
            </w:r>
          </w:p>
        </w:tc>
      </w:tr>
      <w:tr w14:paraId="12245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0" w:type="dxa"/>
            <w:vMerge w:val="continue"/>
            <w:noWrap w:val="0"/>
            <w:vAlign w:val="center"/>
          </w:tcPr>
          <w:p w14:paraId="0F4FF08D">
            <w:pPr>
              <w:jc w:val="center"/>
              <w:rPr>
                <w:rFonts w:hint="eastAsia" w:ascii="宋体" w:hAnsi="宋体" w:eastAsia="宋体" w:cs="宋体"/>
                <w:color w:val="auto"/>
                <w:sz w:val="21"/>
                <w:szCs w:val="21"/>
                <w:highlight w:val="none"/>
              </w:rPr>
            </w:pPr>
          </w:p>
        </w:tc>
        <w:tc>
          <w:tcPr>
            <w:tcW w:w="5373" w:type="dxa"/>
            <w:noWrap w:val="0"/>
            <w:vAlign w:val="center"/>
          </w:tcPr>
          <w:p w14:paraId="62D63B32">
            <w:pPr>
              <w:keepNext w:val="0"/>
              <w:keepLines w:val="0"/>
              <w:pageBreakBefore w:val="0"/>
              <w:widowControl w:val="0"/>
              <w:kinsoku/>
              <w:wordWrap/>
              <w:overflowPunct/>
              <w:topLinePunct w:val="0"/>
              <w:bidi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居民区、农用地、村庄、学校、医院、养老院等与人类生产生活紧密相关的区域</w:t>
            </w:r>
          </w:p>
        </w:tc>
        <w:tc>
          <w:tcPr>
            <w:tcW w:w="1429" w:type="dxa"/>
            <w:noWrap w:val="0"/>
            <w:vAlign w:val="center"/>
          </w:tcPr>
          <w:p w14:paraId="1616E2B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p>
        </w:tc>
      </w:tr>
      <w:tr w14:paraId="1FBCF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0" w:type="dxa"/>
            <w:vMerge w:val="continue"/>
            <w:noWrap w:val="0"/>
            <w:vAlign w:val="center"/>
          </w:tcPr>
          <w:p w14:paraId="3AE95DD4">
            <w:pPr>
              <w:jc w:val="center"/>
              <w:rPr>
                <w:rFonts w:hint="eastAsia" w:ascii="宋体" w:hAnsi="宋体" w:eastAsia="宋体" w:cs="宋体"/>
                <w:color w:val="auto"/>
                <w:sz w:val="21"/>
                <w:szCs w:val="21"/>
                <w:highlight w:val="none"/>
              </w:rPr>
            </w:pPr>
          </w:p>
        </w:tc>
        <w:tc>
          <w:tcPr>
            <w:tcW w:w="5373" w:type="dxa"/>
            <w:noWrap w:val="0"/>
            <w:vAlign w:val="center"/>
          </w:tcPr>
          <w:p w14:paraId="14A8CB8C">
            <w:pPr>
              <w:keepNext w:val="0"/>
              <w:keepLines w:val="0"/>
              <w:pageBreakBefore w:val="0"/>
              <w:widowControl w:val="0"/>
              <w:kinsoku/>
              <w:wordWrap/>
              <w:overflowPunct/>
              <w:topLinePunct w:val="0"/>
              <w:bidi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河道、水库、滩地、岸坡等区域</w:t>
            </w:r>
          </w:p>
        </w:tc>
        <w:tc>
          <w:tcPr>
            <w:tcW w:w="1429" w:type="dxa"/>
            <w:noWrap w:val="0"/>
            <w:vAlign w:val="center"/>
          </w:tcPr>
          <w:p w14:paraId="7941D0F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p>
        </w:tc>
      </w:tr>
      <w:tr w14:paraId="5483B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0" w:type="dxa"/>
            <w:vMerge w:val="continue"/>
            <w:noWrap w:val="0"/>
            <w:vAlign w:val="center"/>
          </w:tcPr>
          <w:p w14:paraId="1A0D6051">
            <w:pPr>
              <w:jc w:val="center"/>
              <w:rPr>
                <w:rFonts w:hint="eastAsia" w:ascii="宋体" w:hAnsi="宋体" w:eastAsia="宋体" w:cs="宋体"/>
                <w:color w:val="auto"/>
                <w:sz w:val="21"/>
                <w:szCs w:val="21"/>
                <w:highlight w:val="none"/>
              </w:rPr>
            </w:pPr>
          </w:p>
        </w:tc>
        <w:tc>
          <w:tcPr>
            <w:tcW w:w="5373" w:type="dxa"/>
            <w:noWrap w:val="0"/>
            <w:vAlign w:val="center"/>
          </w:tcPr>
          <w:p w14:paraId="2CACD476">
            <w:pPr>
              <w:keepNext w:val="0"/>
              <w:keepLines w:val="0"/>
              <w:pageBreakBefore w:val="0"/>
              <w:widowControl w:val="0"/>
              <w:kinsoku/>
              <w:wordWrap/>
              <w:overflowPunct/>
              <w:topLinePunct w:val="0"/>
              <w:bidi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饮用水水源保护区、自然保护地、生态保护红线、永久基本农田等需要特殊保护的区域</w:t>
            </w:r>
          </w:p>
        </w:tc>
        <w:tc>
          <w:tcPr>
            <w:tcW w:w="1429" w:type="dxa"/>
            <w:noWrap w:val="0"/>
            <w:vAlign w:val="center"/>
          </w:tcPr>
          <w:p w14:paraId="6D73C77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p>
        </w:tc>
      </w:tr>
    </w:tbl>
    <w:p w14:paraId="03D411C9">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516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63"/>
        <w:gridCol w:w="5984"/>
        <w:gridCol w:w="1389"/>
      </w:tblGrid>
      <w:tr w14:paraId="204FD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798" w:type="dxa"/>
            <w:gridSpan w:val="3"/>
            <w:noWrap w:val="0"/>
            <w:vAlign w:val="top"/>
          </w:tcPr>
          <w:p w14:paraId="787680BB">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（八）固体废物污染防治类</w:t>
            </w:r>
          </w:p>
        </w:tc>
      </w:tr>
      <w:tr w14:paraId="765AA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1775" w:type="dxa"/>
            <w:noWrap w:val="0"/>
            <w:vAlign w:val="top"/>
          </w:tcPr>
          <w:p w14:paraId="4A07B3F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7023" w:type="dxa"/>
            <w:gridSpan w:val="2"/>
            <w:noWrap w:val="0"/>
            <w:vAlign w:val="top"/>
          </w:tcPr>
          <w:p w14:paraId="5495BA9A">
            <w:pPr>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4</w:t>
            </w:r>
          </w:p>
        </w:tc>
      </w:tr>
      <w:tr w14:paraId="24B49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2" w:hRule="atLeast"/>
          <w:jc w:val="center"/>
        </w:trPr>
        <w:tc>
          <w:tcPr>
            <w:tcW w:w="1775" w:type="dxa"/>
            <w:noWrap w:val="0"/>
            <w:vAlign w:val="center"/>
          </w:tcPr>
          <w:p w14:paraId="428D082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7023" w:type="dxa"/>
            <w:gridSpan w:val="2"/>
            <w:noWrap w:val="0"/>
            <w:vAlign w:val="center"/>
          </w:tcPr>
          <w:p w14:paraId="04B77AA9">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在生态保护红线区域、永久基本农田集中区域和其他需要特别保护的区域内，建设工业固体废物、危险废物集中贮存、利用、处置的设施、场所和生活垃圾填埋场的</w:t>
            </w:r>
          </w:p>
        </w:tc>
      </w:tr>
      <w:tr w14:paraId="77088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6" w:hRule="atLeast"/>
          <w:jc w:val="center"/>
        </w:trPr>
        <w:tc>
          <w:tcPr>
            <w:tcW w:w="1775" w:type="dxa"/>
            <w:noWrap w:val="0"/>
            <w:vAlign w:val="center"/>
          </w:tcPr>
          <w:p w14:paraId="0925FDD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7023" w:type="dxa"/>
            <w:gridSpan w:val="2"/>
            <w:noWrap w:val="0"/>
            <w:vAlign w:val="center"/>
          </w:tcPr>
          <w:p w14:paraId="1DDA2410">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《中华人民共和国生态环境法典》第四百八十一条  在生态保护红线区域、永久基本农田集中区域和其他需要特别保护的区域，禁止建设工业固体废物、建筑垃圾、危险废物集中贮存、利用、处置的设施、场所和生活垃圾填埋场。</w:t>
            </w:r>
          </w:p>
        </w:tc>
      </w:tr>
      <w:tr w14:paraId="64880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1775" w:type="dxa"/>
            <w:noWrap w:val="0"/>
            <w:vAlign w:val="center"/>
          </w:tcPr>
          <w:p w14:paraId="3181C08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7023" w:type="dxa"/>
            <w:gridSpan w:val="2"/>
            <w:noWrap w:val="0"/>
            <w:vAlign w:val="center"/>
          </w:tcPr>
          <w:p w14:paraId="32E9467B">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《中华人民共和国生态环境法典》第一千一百七十一条</w:t>
            </w:r>
            <w:r>
              <w:rPr>
                <w:rFonts w:hint="eastAsia" w:ascii="宋体" w:hAnsi="宋体" w:eastAsia="宋体" w:cs="宋体"/>
                <w:color w:val="auto"/>
                <w:sz w:val="21"/>
                <w:szCs w:val="21"/>
                <w:highlight w:val="none"/>
                <w:lang w:eastAsia="zh-CN"/>
              </w:rPr>
              <w:t>第一款第一项、第二款</w:t>
            </w:r>
            <w:r>
              <w:rPr>
                <w:rFonts w:hint="eastAsia" w:ascii="宋体" w:hAnsi="宋体" w:eastAsia="宋体" w:cs="宋体"/>
                <w:color w:val="auto"/>
                <w:sz w:val="21"/>
                <w:szCs w:val="21"/>
                <w:highlight w:val="none"/>
              </w:rPr>
              <w:t xml:space="preserve">  违反本法规定，有下列情形之一的，由生态环境主管部门责令改正，没收违法所得，并处以罚款</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w:t>
            </w:r>
          </w:p>
          <w:p w14:paraId="66493AC2">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（一）在生态保护红线区域、永久基本农田集中区域和其他需要特别保护的区域内，建设工业固体废物、建筑垃圾、危险废物集中贮存、利用、处置的设施、场所和生活垃圾填埋场；</w:t>
            </w:r>
          </w:p>
          <w:p w14:paraId="077855D1">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有前款第三项情形的，处五万元以上五十万元以下的罚款；有前款除第三项以外情形之一的，处十万元以上一百万元以下的罚款。对前款第六项情形的处罚，有关法律、行政法规另有规定的，依照其规定。</w:t>
            </w:r>
          </w:p>
        </w:tc>
      </w:tr>
      <w:tr w14:paraId="7AAD4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1775" w:type="dxa"/>
            <w:noWrap w:val="0"/>
            <w:vAlign w:val="center"/>
          </w:tcPr>
          <w:p w14:paraId="42093DB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700" w:type="dxa"/>
            <w:noWrap w:val="0"/>
            <w:vAlign w:val="top"/>
          </w:tcPr>
          <w:p w14:paraId="5E52A8E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323" w:type="dxa"/>
            <w:noWrap w:val="0"/>
            <w:vAlign w:val="top"/>
          </w:tcPr>
          <w:p w14:paraId="4BB6D63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6D2F2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1775" w:type="dxa"/>
            <w:vMerge w:val="restart"/>
            <w:noWrap w:val="0"/>
            <w:vAlign w:val="center"/>
          </w:tcPr>
          <w:p w14:paraId="4F21196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违法事实</w:t>
            </w:r>
          </w:p>
        </w:tc>
        <w:tc>
          <w:tcPr>
            <w:tcW w:w="5700" w:type="dxa"/>
            <w:noWrap w:val="0"/>
            <w:vAlign w:val="top"/>
          </w:tcPr>
          <w:p w14:paraId="1A560727">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项目未建成的</w:t>
            </w:r>
          </w:p>
        </w:tc>
        <w:tc>
          <w:tcPr>
            <w:tcW w:w="1323" w:type="dxa"/>
            <w:noWrap w:val="0"/>
            <w:vAlign w:val="top"/>
          </w:tcPr>
          <w:p w14:paraId="3739500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4906F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1775" w:type="dxa"/>
            <w:vMerge w:val="continue"/>
            <w:noWrap w:val="0"/>
            <w:vAlign w:val="center"/>
          </w:tcPr>
          <w:p w14:paraId="6781EB61">
            <w:pPr>
              <w:jc w:val="center"/>
              <w:rPr>
                <w:rFonts w:hint="eastAsia" w:ascii="宋体" w:hAnsi="宋体" w:eastAsia="宋体" w:cs="宋体"/>
                <w:color w:val="auto"/>
                <w:sz w:val="21"/>
                <w:szCs w:val="21"/>
                <w:highlight w:val="none"/>
              </w:rPr>
            </w:pPr>
          </w:p>
        </w:tc>
        <w:tc>
          <w:tcPr>
            <w:tcW w:w="5700" w:type="dxa"/>
            <w:noWrap w:val="0"/>
            <w:vAlign w:val="top"/>
          </w:tcPr>
          <w:p w14:paraId="018F35E8">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项目已建成未投入使用</w:t>
            </w:r>
          </w:p>
        </w:tc>
        <w:tc>
          <w:tcPr>
            <w:tcW w:w="1323" w:type="dxa"/>
            <w:noWrap w:val="0"/>
            <w:vAlign w:val="top"/>
          </w:tcPr>
          <w:p w14:paraId="6A6830E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3258E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1775" w:type="dxa"/>
            <w:vMerge w:val="continue"/>
            <w:noWrap w:val="0"/>
            <w:vAlign w:val="center"/>
          </w:tcPr>
          <w:p w14:paraId="06B1DA39">
            <w:pPr>
              <w:jc w:val="center"/>
              <w:rPr>
                <w:rFonts w:hint="eastAsia" w:ascii="宋体" w:hAnsi="宋体" w:eastAsia="宋体" w:cs="宋体"/>
                <w:color w:val="auto"/>
                <w:sz w:val="21"/>
                <w:szCs w:val="21"/>
                <w:highlight w:val="none"/>
              </w:rPr>
            </w:pPr>
          </w:p>
        </w:tc>
        <w:tc>
          <w:tcPr>
            <w:tcW w:w="5700" w:type="dxa"/>
            <w:noWrap w:val="0"/>
            <w:vAlign w:val="top"/>
          </w:tcPr>
          <w:p w14:paraId="414E8DBE">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项目已建成</w:t>
            </w:r>
            <w:r>
              <w:rPr>
                <w:rFonts w:hint="eastAsia" w:ascii="宋体" w:hAnsi="宋体" w:cs="宋体"/>
                <w:color w:val="auto"/>
                <w:sz w:val="21"/>
                <w:szCs w:val="21"/>
                <w:highlight w:val="none"/>
                <w:lang w:val="en-US" w:eastAsia="zh-CN"/>
              </w:rPr>
              <w:t>并</w:t>
            </w:r>
            <w:r>
              <w:rPr>
                <w:rFonts w:hint="eastAsia" w:ascii="宋体" w:hAnsi="宋体" w:eastAsia="宋体" w:cs="宋体"/>
                <w:color w:val="auto"/>
                <w:sz w:val="21"/>
                <w:szCs w:val="21"/>
                <w:highlight w:val="none"/>
              </w:rPr>
              <w:t>投入使用</w:t>
            </w:r>
          </w:p>
        </w:tc>
        <w:tc>
          <w:tcPr>
            <w:tcW w:w="1323" w:type="dxa"/>
            <w:noWrap w:val="0"/>
            <w:vAlign w:val="top"/>
          </w:tcPr>
          <w:p w14:paraId="16D61C8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0A7F9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1775" w:type="dxa"/>
            <w:vMerge w:val="restart"/>
            <w:noWrap w:val="0"/>
            <w:vAlign w:val="center"/>
          </w:tcPr>
          <w:p w14:paraId="0EE4980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配套建设污染防治设施</w:t>
            </w:r>
            <w:r>
              <w:rPr>
                <w:rFonts w:hint="eastAsia" w:ascii="宋体" w:hAnsi="宋体" w:cs="宋体"/>
                <w:color w:val="auto"/>
                <w:szCs w:val="21"/>
                <w:highlight w:val="none"/>
              </w:rPr>
              <w:t>（仅适用于项目已建成并投入使用情形）</w:t>
            </w:r>
          </w:p>
        </w:tc>
        <w:tc>
          <w:tcPr>
            <w:tcW w:w="5700" w:type="dxa"/>
            <w:noWrap w:val="0"/>
            <w:vAlign w:val="top"/>
          </w:tcPr>
          <w:p w14:paraId="4B3E34FE">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配套建设污染防治设施并投入使用的</w:t>
            </w:r>
          </w:p>
        </w:tc>
        <w:tc>
          <w:tcPr>
            <w:tcW w:w="1323" w:type="dxa"/>
            <w:noWrap w:val="0"/>
            <w:vAlign w:val="top"/>
          </w:tcPr>
          <w:p w14:paraId="0C11144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07485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1775" w:type="dxa"/>
            <w:vMerge w:val="continue"/>
            <w:noWrap w:val="0"/>
            <w:vAlign w:val="top"/>
          </w:tcPr>
          <w:p w14:paraId="0DDAD80E">
            <w:pPr>
              <w:rPr>
                <w:rFonts w:hint="eastAsia" w:ascii="宋体" w:hAnsi="宋体" w:eastAsia="宋体" w:cs="宋体"/>
                <w:color w:val="auto"/>
                <w:sz w:val="21"/>
                <w:szCs w:val="21"/>
                <w:highlight w:val="none"/>
              </w:rPr>
            </w:pPr>
          </w:p>
        </w:tc>
        <w:tc>
          <w:tcPr>
            <w:tcW w:w="5700" w:type="dxa"/>
            <w:noWrap w:val="0"/>
            <w:vAlign w:val="top"/>
          </w:tcPr>
          <w:p w14:paraId="6253E953">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配套建设部分污染防治设施并投入使用的</w:t>
            </w:r>
          </w:p>
        </w:tc>
        <w:tc>
          <w:tcPr>
            <w:tcW w:w="1323" w:type="dxa"/>
            <w:noWrap w:val="0"/>
            <w:vAlign w:val="top"/>
          </w:tcPr>
          <w:p w14:paraId="4385804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3616F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1775" w:type="dxa"/>
            <w:vMerge w:val="continue"/>
            <w:noWrap w:val="0"/>
            <w:vAlign w:val="top"/>
          </w:tcPr>
          <w:p w14:paraId="584A8D05">
            <w:pPr>
              <w:rPr>
                <w:rFonts w:hint="eastAsia" w:ascii="宋体" w:hAnsi="宋体" w:eastAsia="宋体" w:cs="宋体"/>
                <w:color w:val="auto"/>
                <w:sz w:val="21"/>
                <w:szCs w:val="21"/>
                <w:highlight w:val="none"/>
              </w:rPr>
            </w:pPr>
          </w:p>
        </w:tc>
        <w:tc>
          <w:tcPr>
            <w:tcW w:w="5700" w:type="dxa"/>
            <w:noWrap w:val="0"/>
            <w:vAlign w:val="top"/>
          </w:tcPr>
          <w:p w14:paraId="1B7FBFCE">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未配套建设污染防治设施的或设施未投入使用的</w:t>
            </w:r>
          </w:p>
        </w:tc>
        <w:tc>
          <w:tcPr>
            <w:tcW w:w="1323" w:type="dxa"/>
            <w:noWrap w:val="0"/>
            <w:vAlign w:val="top"/>
          </w:tcPr>
          <w:p w14:paraId="0123245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bl>
    <w:p w14:paraId="3A7896F8">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24"/>
        <w:gridCol w:w="5792"/>
        <w:gridCol w:w="1332"/>
      </w:tblGrid>
      <w:tr w14:paraId="3F512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3"/>
            <w:noWrap w:val="0"/>
            <w:vAlign w:val="top"/>
          </w:tcPr>
          <w:p w14:paraId="604B7FBE">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（八）固体废物污染防治类</w:t>
            </w:r>
          </w:p>
        </w:tc>
      </w:tr>
      <w:tr w14:paraId="5D7B3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7" w:type="dxa"/>
            <w:noWrap w:val="0"/>
            <w:vAlign w:val="top"/>
          </w:tcPr>
          <w:p w14:paraId="291B3E3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785" w:type="dxa"/>
            <w:gridSpan w:val="2"/>
            <w:noWrap w:val="0"/>
            <w:vAlign w:val="top"/>
          </w:tcPr>
          <w:p w14:paraId="36EC255E">
            <w:pPr>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5</w:t>
            </w:r>
          </w:p>
        </w:tc>
      </w:tr>
      <w:tr w14:paraId="65740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7" w:type="dxa"/>
            <w:noWrap w:val="0"/>
            <w:vAlign w:val="center"/>
          </w:tcPr>
          <w:p w14:paraId="1819FE9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6785" w:type="dxa"/>
            <w:gridSpan w:val="2"/>
            <w:noWrap w:val="0"/>
            <w:vAlign w:val="center"/>
          </w:tcPr>
          <w:p w14:paraId="11224BC2">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转移固体废物出省、自治区、直辖市行政区域贮存、处置未经批准的</w:t>
            </w:r>
          </w:p>
        </w:tc>
      </w:tr>
      <w:tr w14:paraId="75280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737" w:type="dxa"/>
            <w:noWrap w:val="0"/>
            <w:vAlign w:val="center"/>
          </w:tcPr>
          <w:p w14:paraId="0DA369C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6785" w:type="dxa"/>
            <w:gridSpan w:val="2"/>
            <w:noWrap w:val="0"/>
            <w:vAlign w:val="center"/>
          </w:tcPr>
          <w:p w14:paraId="3D2E5CE4">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《中华人民共和国生态环境法典》第四百七十六条</w:t>
            </w:r>
            <w:r>
              <w:rPr>
                <w:rFonts w:hint="eastAsia" w:ascii="宋体" w:hAnsi="宋体" w:eastAsia="宋体" w:cs="宋体"/>
                <w:color w:val="auto"/>
                <w:sz w:val="21"/>
                <w:szCs w:val="21"/>
                <w:highlight w:val="none"/>
                <w:lang w:val="en-US" w:eastAsia="zh-CN"/>
              </w:rPr>
              <w:t>第一款</w:t>
            </w:r>
            <w:r>
              <w:rPr>
                <w:rFonts w:hint="eastAsia" w:ascii="宋体" w:hAnsi="宋体" w:eastAsia="宋体" w:cs="宋体"/>
                <w:color w:val="auto"/>
                <w:sz w:val="21"/>
                <w:szCs w:val="21"/>
                <w:highlight w:val="none"/>
              </w:rPr>
              <w:t xml:space="preserve">  转移固体废物出省、自治区、直辖市行政区域贮存、处置的，应当向固体废物移出地省级人民政府生态环境主管部门提出申请。移出地省级人民政府生态环境主管部门应当及时商经接受地省级人民政府生态环境主管部门同意后，在规定期限内批准转移该固体废物出省、自治区、直辖市行政区域。未经批准的，不得转移。</w:t>
            </w:r>
          </w:p>
        </w:tc>
      </w:tr>
      <w:tr w14:paraId="32D90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1737" w:type="dxa"/>
            <w:noWrap w:val="0"/>
            <w:vAlign w:val="center"/>
          </w:tcPr>
          <w:p w14:paraId="407B9B5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6785" w:type="dxa"/>
            <w:gridSpan w:val="2"/>
            <w:noWrap w:val="0"/>
            <w:vAlign w:val="center"/>
          </w:tcPr>
          <w:p w14:paraId="2BC867E1">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《中华人民共和国生态环境法典》第一千一百七十一条</w:t>
            </w:r>
            <w:r>
              <w:rPr>
                <w:rFonts w:hint="eastAsia" w:ascii="宋体" w:hAnsi="宋体" w:eastAsia="宋体" w:cs="宋体"/>
                <w:color w:val="auto"/>
                <w:sz w:val="21"/>
                <w:szCs w:val="21"/>
                <w:highlight w:val="none"/>
                <w:lang w:eastAsia="zh-CN"/>
              </w:rPr>
              <w:t>第一款第二项、第二款</w:t>
            </w:r>
            <w:r>
              <w:rPr>
                <w:rFonts w:hint="eastAsia" w:ascii="宋体" w:hAnsi="宋体" w:eastAsia="宋体" w:cs="宋体"/>
                <w:color w:val="auto"/>
                <w:sz w:val="21"/>
                <w:szCs w:val="21"/>
                <w:highlight w:val="none"/>
              </w:rPr>
              <w:t xml:space="preserve">  违反本法规定，有下列情形之一的，由生态环境主管部门责令改正，没收违法所得，并处以罚款</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w:t>
            </w:r>
          </w:p>
          <w:p w14:paraId="120C0762">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（二）转移固体废物出省、自治区、直辖市行政区域贮存、处置未经批准；</w:t>
            </w:r>
          </w:p>
          <w:p w14:paraId="6B8B407E">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有前款第三项情形的，处五万元以上五十万元以下的罚款；有前款除第三项以外情形之一的，处十万元以上一百万元以下的罚款。对前款第六项情形的处罚，有关法律、行政法规另有规定的，依照其规定。</w:t>
            </w:r>
          </w:p>
        </w:tc>
      </w:tr>
      <w:tr w14:paraId="288CF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7" w:type="dxa"/>
            <w:noWrap w:val="0"/>
            <w:vAlign w:val="center"/>
          </w:tcPr>
          <w:p w14:paraId="5FC4B3F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516" w:type="dxa"/>
            <w:noWrap w:val="0"/>
            <w:vAlign w:val="top"/>
          </w:tcPr>
          <w:p w14:paraId="2917F92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269" w:type="dxa"/>
            <w:noWrap w:val="0"/>
            <w:vAlign w:val="top"/>
          </w:tcPr>
          <w:p w14:paraId="08AF509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620AE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7" w:type="dxa"/>
            <w:vMerge w:val="restart"/>
            <w:noWrap w:val="0"/>
            <w:vAlign w:val="center"/>
          </w:tcPr>
          <w:p w14:paraId="18A29860">
            <w:pPr>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固体废物</w:t>
            </w:r>
            <w:r>
              <w:rPr>
                <w:rFonts w:hint="eastAsia" w:ascii="宋体" w:hAnsi="宋体" w:eastAsia="宋体" w:cs="宋体"/>
                <w:color w:val="auto"/>
                <w:sz w:val="21"/>
                <w:szCs w:val="21"/>
                <w:highlight w:val="none"/>
              </w:rPr>
              <w:t>转移量</w:t>
            </w:r>
          </w:p>
        </w:tc>
        <w:tc>
          <w:tcPr>
            <w:tcW w:w="5516" w:type="dxa"/>
            <w:noWrap w:val="0"/>
            <w:vAlign w:val="top"/>
          </w:tcPr>
          <w:p w14:paraId="621FBFEC">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不足2吨</w:t>
            </w:r>
          </w:p>
        </w:tc>
        <w:tc>
          <w:tcPr>
            <w:tcW w:w="1269" w:type="dxa"/>
            <w:noWrap w:val="0"/>
            <w:vAlign w:val="top"/>
          </w:tcPr>
          <w:p w14:paraId="46DD2A8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5159A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7" w:type="dxa"/>
            <w:vMerge w:val="continue"/>
            <w:noWrap w:val="0"/>
            <w:vAlign w:val="center"/>
          </w:tcPr>
          <w:p w14:paraId="7E1B788B">
            <w:pPr>
              <w:jc w:val="center"/>
              <w:rPr>
                <w:rFonts w:hint="eastAsia" w:ascii="宋体" w:hAnsi="宋体" w:eastAsia="宋体" w:cs="宋体"/>
                <w:color w:val="auto"/>
                <w:sz w:val="21"/>
                <w:szCs w:val="21"/>
                <w:highlight w:val="none"/>
              </w:rPr>
            </w:pPr>
          </w:p>
        </w:tc>
        <w:tc>
          <w:tcPr>
            <w:tcW w:w="5516" w:type="dxa"/>
            <w:noWrap w:val="0"/>
            <w:vAlign w:val="top"/>
          </w:tcPr>
          <w:p w14:paraId="764FF9D1">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2吨以上不足5吨</w:t>
            </w:r>
          </w:p>
        </w:tc>
        <w:tc>
          <w:tcPr>
            <w:tcW w:w="1269" w:type="dxa"/>
            <w:noWrap w:val="0"/>
            <w:vAlign w:val="top"/>
          </w:tcPr>
          <w:p w14:paraId="638A29B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r>
      <w:tr w14:paraId="34EB9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7" w:type="dxa"/>
            <w:vMerge w:val="continue"/>
            <w:noWrap w:val="0"/>
            <w:vAlign w:val="center"/>
          </w:tcPr>
          <w:p w14:paraId="023417BB">
            <w:pPr>
              <w:jc w:val="center"/>
              <w:rPr>
                <w:rFonts w:hint="eastAsia" w:ascii="宋体" w:hAnsi="宋体" w:eastAsia="宋体" w:cs="宋体"/>
                <w:color w:val="auto"/>
                <w:sz w:val="21"/>
                <w:szCs w:val="21"/>
                <w:highlight w:val="none"/>
              </w:rPr>
            </w:pPr>
          </w:p>
        </w:tc>
        <w:tc>
          <w:tcPr>
            <w:tcW w:w="5516" w:type="dxa"/>
            <w:noWrap w:val="0"/>
            <w:vAlign w:val="top"/>
          </w:tcPr>
          <w:p w14:paraId="78C9DEA9">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5吨以上不足10吨</w:t>
            </w:r>
          </w:p>
        </w:tc>
        <w:tc>
          <w:tcPr>
            <w:tcW w:w="1269" w:type="dxa"/>
            <w:noWrap w:val="0"/>
            <w:vAlign w:val="top"/>
          </w:tcPr>
          <w:p w14:paraId="2AC81BA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3F90B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7" w:type="dxa"/>
            <w:vMerge w:val="continue"/>
            <w:noWrap w:val="0"/>
            <w:vAlign w:val="center"/>
          </w:tcPr>
          <w:p w14:paraId="506859BE">
            <w:pPr>
              <w:jc w:val="center"/>
              <w:rPr>
                <w:rFonts w:hint="eastAsia" w:ascii="宋体" w:hAnsi="宋体" w:eastAsia="宋体" w:cs="宋体"/>
                <w:color w:val="auto"/>
                <w:sz w:val="21"/>
                <w:szCs w:val="21"/>
                <w:highlight w:val="none"/>
              </w:rPr>
            </w:pPr>
          </w:p>
        </w:tc>
        <w:tc>
          <w:tcPr>
            <w:tcW w:w="5516" w:type="dxa"/>
            <w:noWrap w:val="0"/>
            <w:vAlign w:val="top"/>
          </w:tcPr>
          <w:p w14:paraId="4873854E">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10吨以上不足20吨</w:t>
            </w:r>
          </w:p>
        </w:tc>
        <w:tc>
          <w:tcPr>
            <w:tcW w:w="1269" w:type="dxa"/>
            <w:noWrap w:val="0"/>
            <w:vAlign w:val="top"/>
          </w:tcPr>
          <w:p w14:paraId="5ED83FA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r>
      <w:tr w14:paraId="4F589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7" w:type="dxa"/>
            <w:vMerge w:val="continue"/>
            <w:noWrap w:val="0"/>
            <w:vAlign w:val="center"/>
          </w:tcPr>
          <w:p w14:paraId="0B2EF127">
            <w:pPr>
              <w:jc w:val="center"/>
              <w:rPr>
                <w:rFonts w:hint="eastAsia" w:ascii="宋体" w:hAnsi="宋体" w:eastAsia="宋体" w:cs="宋体"/>
                <w:color w:val="auto"/>
                <w:sz w:val="21"/>
                <w:szCs w:val="21"/>
                <w:highlight w:val="none"/>
              </w:rPr>
            </w:pPr>
          </w:p>
        </w:tc>
        <w:tc>
          <w:tcPr>
            <w:tcW w:w="5516" w:type="dxa"/>
            <w:noWrap w:val="0"/>
            <w:vAlign w:val="top"/>
          </w:tcPr>
          <w:p w14:paraId="049F083D">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20吨以上</w:t>
            </w:r>
          </w:p>
        </w:tc>
        <w:tc>
          <w:tcPr>
            <w:tcW w:w="1269" w:type="dxa"/>
            <w:noWrap w:val="0"/>
            <w:vAlign w:val="top"/>
          </w:tcPr>
          <w:p w14:paraId="78B8AC7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bl>
    <w:p w14:paraId="5BF412E2">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24"/>
        <w:gridCol w:w="5792"/>
        <w:gridCol w:w="1332"/>
      </w:tblGrid>
      <w:tr w14:paraId="2E458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3"/>
            <w:noWrap w:val="0"/>
            <w:vAlign w:val="top"/>
          </w:tcPr>
          <w:p w14:paraId="68B95E5F">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（八）固体废物污染防治类</w:t>
            </w:r>
          </w:p>
        </w:tc>
      </w:tr>
      <w:tr w14:paraId="3EB14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7" w:type="dxa"/>
            <w:noWrap w:val="0"/>
            <w:vAlign w:val="top"/>
          </w:tcPr>
          <w:p w14:paraId="765799D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785" w:type="dxa"/>
            <w:gridSpan w:val="2"/>
            <w:noWrap w:val="0"/>
            <w:vAlign w:val="top"/>
          </w:tcPr>
          <w:p w14:paraId="0BD0C151">
            <w:pPr>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6</w:t>
            </w:r>
          </w:p>
        </w:tc>
      </w:tr>
      <w:tr w14:paraId="5960F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7" w:type="dxa"/>
            <w:noWrap w:val="0"/>
            <w:vAlign w:val="center"/>
          </w:tcPr>
          <w:p w14:paraId="675D27F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6785" w:type="dxa"/>
            <w:gridSpan w:val="2"/>
            <w:noWrap w:val="0"/>
            <w:vAlign w:val="center"/>
          </w:tcPr>
          <w:p w14:paraId="0BE931D0">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转移固体废物出省、自治区、直辖市行政区域利用，未提前报送信息的</w:t>
            </w:r>
          </w:p>
        </w:tc>
      </w:tr>
      <w:tr w14:paraId="34971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737" w:type="dxa"/>
            <w:noWrap w:val="0"/>
            <w:vAlign w:val="center"/>
          </w:tcPr>
          <w:p w14:paraId="66B6614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6785" w:type="dxa"/>
            <w:gridSpan w:val="2"/>
            <w:noWrap w:val="0"/>
            <w:vAlign w:val="center"/>
          </w:tcPr>
          <w:p w14:paraId="2ED83713">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《中华人民共和国生态环境法典》第四百七十六条</w:t>
            </w:r>
            <w:r>
              <w:rPr>
                <w:rFonts w:hint="eastAsia" w:ascii="宋体" w:hAnsi="宋体" w:eastAsia="宋体" w:cs="宋体"/>
                <w:color w:val="auto"/>
                <w:sz w:val="21"/>
                <w:szCs w:val="21"/>
                <w:highlight w:val="none"/>
                <w:lang w:val="en-US" w:eastAsia="zh-CN"/>
              </w:rPr>
              <w:t>第二款</w:t>
            </w:r>
            <w:r>
              <w:rPr>
                <w:rFonts w:hint="eastAsia" w:ascii="宋体" w:hAnsi="宋体" w:eastAsia="宋体" w:cs="宋体"/>
                <w:color w:val="auto"/>
                <w:sz w:val="21"/>
                <w:szCs w:val="21"/>
                <w:highlight w:val="none"/>
              </w:rPr>
              <w:t xml:space="preserve">  转移固体废物出省、自治区、直辖市行政区域利用的，应当通过固体废物污染防治信息平台等提前将有关信息报送固体废物移出地和接受地省级人民政府生态环境主管部门。</w:t>
            </w:r>
          </w:p>
        </w:tc>
      </w:tr>
      <w:tr w14:paraId="235DA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4" w:hRule="atLeast"/>
          <w:jc w:val="center"/>
        </w:trPr>
        <w:tc>
          <w:tcPr>
            <w:tcW w:w="1737" w:type="dxa"/>
            <w:noWrap w:val="0"/>
            <w:vAlign w:val="center"/>
          </w:tcPr>
          <w:p w14:paraId="35B3B83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6785" w:type="dxa"/>
            <w:gridSpan w:val="2"/>
            <w:noWrap w:val="0"/>
            <w:vAlign w:val="center"/>
          </w:tcPr>
          <w:p w14:paraId="74635FF3">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《中华人民共和国生态环境法典》第一千一百七十一条</w:t>
            </w:r>
            <w:r>
              <w:rPr>
                <w:rFonts w:hint="eastAsia" w:ascii="宋体" w:hAnsi="宋体" w:eastAsia="宋体" w:cs="宋体"/>
                <w:color w:val="auto"/>
                <w:sz w:val="21"/>
                <w:szCs w:val="21"/>
                <w:highlight w:val="none"/>
                <w:lang w:eastAsia="zh-CN"/>
              </w:rPr>
              <w:t>第一款第</w:t>
            </w:r>
            <w:r>
              <w:rPr>
                <w:rFonts w:hint="eastAsia" w:ascii="宋体" w:hAnsi="宋体" w:eastAsia="宋体" w:cs="宋体"/>
                <w:color w:val="auto"/>
                <w:sz w:val="21"/>
                <w:szCs w:val="21"/>
                <w:highlight w:val="none"/>
                <w:lang w:val="en-US" w:eastAsia="zh-CN"/>
              </w:rPr>
              <w:t>三</w:t>
            </w:r>
            <w:r>
              <w:rPr>
                <w:rFonts w:hint="eastAsia" w:ascii="宋体" w:hAnsi="宋体" w:eastAsia="宋体" w:cs="宋体"/>
                <w:color w:val="auto"/>
                <w:sz w:val="21"/>
                <w:szCs w:val="21"/>
                <w:highlight w:val="none"/>
                <w:lang w:eastAsia="zh-CN"/>
              </w:rPr>
              <w:t>项、第二款</w:t>
            </w:r>
            <w:r>
              <w:rPr>
                <w:rFonts w:hint="eastAsia" w:ascii="宋体" w:hAnsi="宋体" w:eastAsia="宋体" w:cs="宋体"/>
                <w:color w:val="auto"/>
                <w:sz w:val="21"/>
                <w:szCs w:val="21"/>
                <w:highlight w:val="none"/>
              </w:rPr>
              <w:t xml:space="preserve">  违反本法规定，有下列情形之一的，由生态环境主管部门责令改正，没收违法所得，并处以罚款</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w:t>
            </w:r>
          </w:p>
          <w:p w14:paraId="0755B838">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（三）转移固体废物出省、自治区、直辖市行政区域利用，未提前报送信息；</w:t>
            </w:r>
          </w:p>
          <w:p w14:paraId="2B5A395E">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有前款第三项情形的，处五万元以上五十万元以下的罚款；有前款除第三项以外情形之一的，处十万元以上一百万元以下的罚款。对前款第六项情形的处罚，有关法律、行政法规另有规定的，依照其规定。</w:t>
            </w:r>
          </w:p>
        </w:tc>
      </w:tr>
      <w:tr w14:paraId="383C2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7" w:type="dxa"/>
            <w:noWrap w:val="0"/>
            <w:vAlign w:val="center"/>
          </w:tcPr>
          <w:p w14:paraId="0569BE8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516" w:type="dxa"/>
            <w:noWrap w:val="0"/>
            <w:vAlign w:val="top"/>
          </w:tcPr>
          <w:p w14:paraId="2DB96C9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269" w:type="dxa"/>
            <w:noWrap w:val="0"/>
            <w:vAlign w:val="top"/>
          </w:tcPr>
          <w:p w14:paraId="0916D72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4105F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7" w:type="dxa"/>
            <w:vMerge w:val="restart"/>
            <w:noWrap w:val="0"/>
            <w:vAlign w:val="center"/>
          </w:tcPr>
          <w:p w14:paraId="051EAF7B">
            <w:pPr>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固体废物</w:t>
            </w:r>
            <w:r>
              <w:rPr>
                <w:rFonts w:hint="eastAsia" w:ascii="宋体" w:hAnsi="宋体" w:eastAsia="宋体" w:cs="宋体"/>
                <w:color w:val="auto"/>
                <w:sz w:val="21"/>
                <w:szCs w:val="21"/>
                <w:highlight w:val="none"/>
              </w:rPr>
              <w:t>转移量</w:t>
            </w:r>
          </w:p>
        </w:tc>
        <w:tc>
          <w:tcPr>
            <w:tcW w:w="5516" w:type="dxa"/>
            <w:noWrap w:val="0"/>
            <w:vAlign w:val="top"/>
          </w:tcPr>
          <w:p w14:paraId="54110B5A">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不足2吨</w:t>
            </w:r>
          </w:p>
        </w:tc>
        <w:tc>
          <w:tcPr>
            <w:tcW w:w="1269" w:type="dxa"/>
            <w:noWrap w:val="0"/>
            <w:vAlign w:val="top"/>
          </w:tcPr>
          <w:p w14:paraId="5960180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6FEAA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7" w:type="dxa"/>
            <w:vMerge w:val="continue"/>
            <w:noWrap w:val="0"/>
            <w:vAlign w:val="center"/>
          </w:tcPr>
          <w:p w14:paraId="67A3C4AD">
            <w:pPr>
              <w:jc w:val="center"/>
              <w:rPr>
                <w:rFonts w:hint="eastAsia" w:ascii="宋体" w:hAnsi="宋体" w:eastAsia="宋体" w:cs="宋体"/>
                <w:color w:val="auto"/>
                <w:sz w:val="21"/>
                <w:szCs w:val="21"/>
                <w:highlight w:val="none"/>
              </w:rPr>
            </w:pPr>
          </w:p>
        </w:tc>
        <w:tc>
          <w:tcPr>
            <w:tcW w:w="5516" w:type="dxa"/>
            <w:noWrap w:val="0"/>
            <w:vAlign w:val="top"/>
          </w:tcPr>
          <w:p w14:paraId="15E27D0C">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2吨以上不足5吨</w:t>
            </w:r>
          </w:p>
        </w:tc>
        <w:tc>
          <w:tcPr>
            <w:tcW w:w="1269" w:type="dxa"/>
            <w:noWrap w:val="0"/>
            <w:vAlign w:val="top"/>
          </w:tcPr>
          <w:p w14:paraId="1DD6B3E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r>
      <w:tr w14:paraId="4CF16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7" w:type="dxa"/>
            <w:vMerge w:val="continue"/>
            <w:noWrap w:val="0"/>
            <w:vAlign w:val="center"/>
          </w:tcPr>
          <w:p w14:paraId="5F3F0595">
            <w:pPr>
              <w:jc w:val="center"/>
              <w:rPr>
                <w:rFonts w:hint="eastAsia" w:ascii="宋体" w:hAnsi="宋体" w:eastAsia="宋体" w:cs="宋体"/>
                <w:color w:val="auto"/>
                <w:sz w:val="21"/>
                <w:szCs w:val="21"/>
                <w:highlight w:val="none"/>
              </w:rPr>
            </w:pPr>
          </w:p>
        </w:tc>
        <w:tc>
          <w:tcPr>
            <w:tcW w:w="5516" w:type="dxa"/>
            <w:noWrap w:val="0"/>
            <w:vAlign w:val="top"/>
          </w:tcPr>
          <w:p w14:paraId="2F5E5336">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5吨以上不足10吨</w:t>
            </w:r>
          </w:p>
        </w:tc>
        <w:tc>
          <w:tcPr>
            <w:tcW w:w="1269" w:type="dxa"/>
            <w:noWrap w:val="0"/>
            <w:vAlign w:val="top"/>
          </w:tcPr>
          <w:p w14:paraId="0BAA6BB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1FB39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7" w:type="dxa"/>
            <w:vMerge w:val="continue"/>
            <w:noWrap w:val="0"/>
            <w:vAlign w:val="center"/>
          </w:tcPr>
          <w:p w14:paraId="5E1B7A88">
            <w:pPr>
              <w:jc w:val="center"/>
              <w:rPr>
                <w:rFonts w:hint="eastAsia" w:ascii="宋体" w:hAnsi="宋体" w:eastAsia="宋体" w:cs="宋体"/>
                <w:color w:val="auto"/>
                <w:sz w:val="21"/>
                <w:szCs w:val="21"/>
                <w:highlight w:val="none"/>
              </w:rPr>
            </w:pPr>
          </w:p>
        </w:tc>
        <w:tc>
          <w:tcPr>
            <w:tcW w:w="5516" w:type="dxa"/>
            <w:noWrap w:val="0"/>
            <w:vAlign w:val="top"/>
          </w:tcPr>
          <w:p w14:paraId="1589BF50">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10吨以上不足20吨</w:t>
            </w:r>
          </w:p>
        </w:tc>
        <w:tc>
          <w:tcPr>
            <w:tcW w:w="1269" w:type="dxa"/>
            <w:noWrap w:val="0"/>
            <w:vAlign w:val="top"/>
          </w:tcPr>
          <w:p w14:paraId="60D6D31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r>
      <w:tr w14:paraId="038C9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7" w:type="dxa"/>
            <w:vMerge w:val="continue"/>
            <w:noWrap w:val="0"/>
            <w:vAlign w:val="center"/>
          </w:tcPr>
          <w:p w14:paraId="277628EA">
            <w:pPr>
              <w:jc w:val="center"/>
              <w:rPr>
                <w:rFonts w:hint="eastAsia" w:ascii="宋体" w:hAnsi="宋体" w:eastAsia="宋体" w:cs="宋体"/>
                <w:color w:val="auto"/>
                <w:sz w:val="21"/>
                <w:szCs w:val="21"/>
                <w:highlight w:val="none"/>
              </w:rPr>
            </w:pPr>
          </w:p>
        </w:tc>
        <w:tc>
          <w:tcPr>
            <w:tcW w:w="5516" w:type="dxa"/>
            <w:noWrap w:val="0"/>
            <w:vAlign w:val="top"/>
          </w:tcPr>
          <w:p w14:paraId="721A879C">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20吨以上</w:t>
            </w:r>
          </w:p>
        </w:tc>
        <w:tc>
          <w:tcPr>
            <w:tcW w:w="1269" w:type="dxa"/>
            <w:noWrap w:val="0"/>
            <w:vAlign w:val="top"/>
          </w:tcPr>
          <w:p w14:paraId="4028763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bl>
    <w:p w14:paraId="6F958782">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2"/>
        <w:gridCol w:w="5653"/>
        <w:gridCol w:w="1493"/>
      </w:tblGrid>
      <w:tr w14:paraId="4B135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3"/>
            <w:noWrap w:val="0"/>
            <w:vAlign w:val="center"/>
          </w:tcPr>
          <w:p w14:paraId="0F6665AB">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（八）固体废物污染防治类</w:t>
            </w:r>
          </w:p>
        </w:tc>
      </w:tr>
      <w:tr w14:paraId="7EC80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6" w:type="dxa"/>
            <w:noWrap w:val="0"/>
            <w:vAlign w:val="center"/>
          </w:tcPr>
          <w:p w14:paraId="0F0106A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806" w:type="dxa"/>
            <w:gridSpan w:val="2"/>
            <w:noWrap w:val="0"/>
            <w:vAlign w:val="center"/>
          </w:tcPr>
          <w:p w14:paraId="160DF105">
            <w:pPr>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7</w:t>
            </w:r>
          </w:p>
        </w:tc>
      </w:tr>
      <w:tr w14:paraId="2BD57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716" w:type="dxa"/>
            <w:noWrap w:val="0"/>
            <w:vAlign w:val="center"/>
          </w:tcPr>
          <w:p w14:paraId="0F67DBA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6806" w:type="dxa"/>
            <w:gridSpan w:val="2"/>
            <w:noWrap w:val="0"/>
            <w:vAlign w:val="center"/>
          </w:tcPr>
          <w:p w14:paraId="5A9C0FA2">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产生工业固体废物的单位违法委托他人运输、利用、处置工业固体废物的</w:t>
            </w:r>
          </w:p>
        </w:tc>
      </w:tr>
      <w:tr w14:paraId="0B51D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6" w:type="dxa"/>
            <w:noWrap w:val="0"/>
            <w:vAlign w:val="center"/>
          </w:tcPr>
          <w:p w14:paraId="75A1914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6806" w:type="dxa"/>
            <w:gridSpan w:val="2"/>
            <w:noWrap w:val="0"/>
            <w:vAlign w:val="center"/>
          </w:tcPr>
          <w:p w14:paraId="4AEB3F22">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《中华人民共和国生态环境法典》第四百九十条  产生工业固体废物的单位委托他人运输、利用、处置工业固体废物的，应当对受托方的主体资格和技术能力进行核实，依法签订书面合同，在合同中约定污染防治要求。</w:t>
            </w:r>
          </w:p>
          <w:p w14:paraId="3D0129C6">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受托方运输、利用、处置工业固体废物，应当依照法律法规规定和合同约定履行污染防治要求，并将运输、利用、处置情况告知产生工业固体废物的单位。</w:t>
            </w:r>
          </w:p>
        </w:tc>
      </w:tr>
      <w:tr w14:paraId="76F21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6" w:type="dxa"/>
            <w:noWrap w:val="0"/>
            <w:vAlign w:val="center"/>
          </w:tcPr>
          <w:p w14:paraId="527994B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6806" w:type="dxa"/>
            <w:gridSpan w:val="2"/>
            <w:noWrap w:val="0"/>
            <w:vAlign w:val="center"/>
          </w:tcPr>
          <w:p w14:paraId="2BADFA0B">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《中华人民共和国生态环境法典》第一千一百七十一条</w:t>
            </w:r>
            <w:r>
              <w:rPr>
                <w:rFonts w:hint="eastAsia" w:ascii="宋体" w:hAnsi="宋体" w:eastAsia="宋体" w:cs="宋体"/>
                <w:color w:val="auto"/>
                <w:sz w:val="21"/>
                <w:szCs w:val="21"/>
                <w:highlight w:val="none"/>
                <w:lang w:eastAsia="zh-CN"/>
              </w:rPr>
              <w:t>第一款第</w:t>
            </w:r>
            <w:r>
              <w:rPr>
                <w:rFonts w:hint="eastAsia" w:ascii="宋体" w:hAnsi="宋体" w:eastAsia="宋体" w:cs="宋体"/>
                <w:color w:val="auto"/>
                <w:sz w:val="21"/>
                <w:szCs w:val="21"/>
                <w:highlight w:val="none"/>
                <w:lang w:val="en-US" w:eastAsia="zh-CN"/>
              </w:rPr>
              <w:t>四</w:t>
            </w:r>
            <w:r>
              <w:rPr>
                <w:rFonts w:hint="eastAsia" w:ascii="宋体" w:hAnsi="宋体" w:eastAsia="宋体" w:cs="宋体"/>
                <w:color w:val="auto"/>
                <w:sz w:val="21"/>
                <w:szCs w:val="21"/>
                <w:highlight w:val="none"/>
                <w:lang w:eastAsia="zh-CN"/>
              </w:rPr>
              <w:t>项、第二款</w:t>
            </w:r>
            <w:r>
              <w:rPr>
                <w:rFonts w:hint="eastAsia" w:ascii="宋体" w:hAnsi="宋体" w:eastAsia="宋体" w:cs="宋体"/>
                <w:color w:val="auto"/>
                <w:sz w:val="21"/>
                <w:szCs w:val="21"/>
                <w:highlight w:val="none"/>
              </w:rPr>
              <w:t xml:space="preserve">  违反本法规定，有下列情形之一的，由生态环境主管部门责令改正，没收违法所得，并处以罚款</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w:t>
            </w:r>
          </w:p>
          <w:p w14:paraId="4BA195CC">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（四）产生工业固体废物的单位违反本法规定委托他人运输、利用、处置工业固体废物；</w:t>
            </w:r>
          </w:p>
          <w:p w14:paraId="16CF1829">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有前款第三项情形的，处五万元以上五十万元以下的罚款；有前款除第三项以外情形之一的，处十万元以上一百万元以下的罚款。对前款第六项情形的处罚，有关法律、行政法规另有规定的，依照其规定。</w:t>
            </w:r>
          </w:p>
        </w:tc>
      </w:tr>
      <w:tr w14:paraId="55632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6" w:type="dxa"/>
            <w:noWrap w:val="0"/>
            <w:vAlign w:val="center"/>
          </w:tcPr>
          <w:p w14:paraId="0AA0D46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384" w:type="dxa"/>
            <w:noWrap w:val="0"/>
            <w:vAlign w:val="center"/>
          </w:tcPr>
          <w:p w14:paraId="2912229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422" w:type="dxa"/>
            <w:noWrap w:val="0"/>
            <w:vAlign w:val="center"/>
          </w:tcPr>
          <w:p w14:paraId="4F9FF73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2A102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6" w:type="dxa"/>
            <w:vMerge w:val="restart"/>
            <w:noWrap w:val="0"/>
            <w:vAlign w:val="center"/>
          </w:tcPr>
          <w:p w14:paraId="75EA458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违法事实</w:t>
            </w:r>
          </w:p>
        </w:tc>
        <w:tc>
          <w:tcPr>
            <w:tcW w:w="5384" w:type="dxa"/>
            <w:noWrap w:val="0"/>
            <w:vAlign w:val="center"/>
          </w:tcPr>
          <w:p w14:paraId="1495A3A4">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未对受托方的主体资格和技术能力进行核实，未依法签订书面合同，未在合同中约定污染防治要求，存在其中 1 种情形的</w:t>
            </w:r>
          </w:p>
        </w:tc>
        <w:tc>
          <w:tcPr>
            <w:tcW w:w="1422" w:type="dxa"/>
            <w:noWrap w:val="0"/>
            <w:vAlign w:val="center"/>
          </w:tcPr>
          <w:p w14:paraId="1009B19B">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r>
      <w:tr w14:paraId="65479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6" w:type="dxa"/>
            <w:vMerge w:val="continue"/>
            <w:noWrap w:val="0"/>
            <w:vAlign w:val="center"/>
          </w:tcPr>
          <w:p w14:paraId="779F7EB1">
            <w:pPr>
              <w:jc w:val="center"/>
              <w:rPr>
                <w:rFonts w:hint="eastAsia" w:ascii="宋体" w:hAnsi="宋体" w:eastAsia="宋体" w:cs="宋体"/>
                <w:color w:val="auto"/>
                <w:sz w:val="21"/>
                <w:szCs w:val="21"/>
                <w:highlight w:val="none"/>
              </w:rPr>
            </w:pPr>
          </w:p>
        </w:tc>
        <w:tc>
          <w:tcPr>
            <w:tcW w:w="5384" w:type="dxa"/>
            <w:noWrap w:val="0"/>
            <w:vAlign w:val="center"/>
          </w:tcPr>
          <w:p w14:paraId="597AACA4">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未对受托方的主体资格和技术能力进行核实，未依法签订书面合同，未在合同中约定污染防治要求，存在其中 </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 xml:space="preserve"> 种情形的</w:t>
            </w:r>
          </w:p>
        </w:tc>
        <w:tc>
          <w:tcPr>
            <w:tcW w:w="1422" w:type="dxa"/>
            <w:noWrap w:val="0"/>
            <w:vAlign w:val="center"/>
          </w:tcPr>
          <w:p w14:paraId="7046CCEA">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r>
      <w:tr w14:paraId="7BCC3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6" w:type="dxa"/>
            <w:vMerge w:val="continue"/>
            <w:noWrap w:val="0"/>
            <w:vAlign w:val="center"/>
          </w:tcPr>
          <w:p w14:paraId="37286387">
            <w:pPr>
              <w:jc w:val="center"/>
              <w:rPr>
                <w:rFonts w:hint="eastAsia" w:ascii="宋体" w:hAnsi="宋体" w:eastAsia="宋体" w:cs="宋体"/>
                <w:color w:val="auto"/>
                <w:sz w:val="21"/>
                <w:szCs w:val="21"/>
                <w:highlight w:val="none"/>
              </w:rPr>
            </w:pPr>
          </w:p>
        </w:tc>
        <w:tc>
          <w:tcPr>
            <w:tcW w:w="5384" w:type="dxa"/>
            <w:noWrap w:val="0"/>
            <w:vAlign w:val="center"/>
          </w:tcPr>
          <w:p w14:paraId="6BB16A52">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未对受托方的主体资格和技术能力进行核实，未依法签订书面合同，未在合同中约定污染防治要求，存在其中 </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 xml:space="preserve"> 种情形的</w:t>
            </w:r>
          </w:p>
        </w:tc>
        <w:tc>
          <w:tcPr>
            <w:tcW w:w="1422" w:type="dxa"/>
            <w:noWrap w:val="0"/>
            <w:vAlign w:val="center"/>
          </w:tcPr>
          <w:p w14:paraId="6E20C70B">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r>
      <w:tr w14:paraId="45D45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716" w:type="dxa"/>
            <w:vMerge w:val="restart"/>
            <w:noWrap w:val="0"/>
            <w:vAlign w:val="center"/>
          </w:tcPr>
          <w:p w14:paraId="3463D58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工业固体废物数量</w:t>
            </w:r>
          </w:p>
        </w:tc>
        <w:tc>
          <w:tcPr>
            <w:tcW w:w="5384" w:type="dxa"/>
            <w:noWrap w:val="0"/>
            <w:vAlign w:val="center"/>
          </w:tcPr>
          <w:p w14:paraId="281A4E19">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不足1吨</w:t>
            </w:r>
          </w:p>
        </w:tc>
        <w:tc>
          <w:tcPr>
            <w:tcW w:w="1422" w:type="dxa"/>
            <w:noWrap w:val="0"/>
            <w:vAlign w:val="center"/>
          </w:tcPr>
          <w:p w14:paraId="51DBAA0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72F71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6" w:type="dxa"/>
            <w:vMerge w:val="continue"/>
            <w:noWrap w:val="0"/>
            <w:vAlign w:val="center"/>
          </w:tcPr>
          <w:p w14:paraId="6E50E89E">
            <w:pPr>
              <w:rPr>
                <w:rFonts w:hint="eastAsia" w:ascii="宋体" w:hAnsi="宋体" w:eastAsia="宋体" w:cs="宋体"/>
                <w:color w:val="auto"/>
                <w:sz w:val="21"/>
                <w:szCs w:val="21"/>
                <w:highlight w:val="none"/>
              </w:rPr>
            </w:pPr>
          </w:p>
        </w:tc>
        <w:tc>
          <w:tcPr>
            <w:tcW w:w="5384" w:type="dxa"/>
            <w:noWrap w:val="0"/>
            <w:vAlign w:val="center"/>
          </w:tcPr>
          <w:p w14:paraId="2C7034C0">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1吨以上不足2吨</w:t>
            </w:r>
          </w:p>
        </w:tc>
        <w:tc>
          <w:tcPr>
            <w:tcW w:w="1422" w:type="dxa"/>
            <w:noWrap w:val="0"/>
            <w:vAlign w:val="center"/>
          </w:tcPr>
          <w:p w14:paraId="6436A95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r>
      <w:tr w14:paraId="7AF61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6" w:type="dxa"/>
            <w:vMerge w:val="continue"/>
            <w:noWrap w:val="0"/>
            <w:vAlign w:val="center"/>
          </w:tcPr>
          <w:p w14:paraId="7CF9C26A">
            <w:pPr>
              <w:rPr>
                <w:rFonts w:hint="eastAsia" w:ascii="宋体" w:hAnsi="宋体" w:eastAsia="宋体" w:cs="宋体"/>
                <w:color w:val="auto"/>
                <w:sz w:val="21"/>
                <w:szCs w:val="21"/>
                <w:highlight w:val="none"/>
              </w:rPr>
            </w:pPr>
          </w:p>
        </w:tc>
        <w:tc>
          <w:tcPr>
            <w:tcW w:w="5384" w:type="dxa"/>
            <w:noWrap w:val="0"/>
            <w:vAlign w:val="center"/>
          </w:tcPr>
          <w:p w14:paraId="08AE817E">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2吨以上不足3吨</w:t>
            </w:r>
          </w:p>
        </w:tc>
        <w:tc>
          <w:tcPr>
            <w:tcW w:w="1422" w:type="dxa"/>
            <w:noWrap w:val="0"/>
            <w:vAlign w:val="center"/>
          </w:tcPr>
          <w:p w14:paraId="25F1483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25562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6" w:type="dxa"/>
            <w:vMerge w:val="continue"/>
            <w:noWrap w:val="0"/>
            <w:vAlign w:val="center"/>
          </w:tcPr>
          <w:p w14:paraId="262C5456">
            <w:pPr>
              <w:rPr>
                <w:rFonts w:hint="eastAsia" w:ascii="宋体" w:hAnsi="宋体" w:eastAsia="宋体" w:cs="宋体"/>
                <w:color w:val="auto"/>
                <w:sz w:val="21"/>
                <w:szCs w:val="21"/>
                <w:highlight w:val="none"/>
              </w:rPr>
            </w:pPr>
          </w:p>
        </w:tc>
        <w:tc>
          <w:tcPr>
            <w:tcW w:w="5384" w:type="dxa"/>
            <w:noWrap w:val="0"/>
            <w:vAlign w:val="center"/>
          </w:tcPr>
          <w:p w14:paraId="067452A0">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3吨以上不足5吨</w:t>
            </w:r>
          </w:p>
        </w:tc>
        <w:tc>
          <w:tcPr>
            <w:tcW w:w="1422" w:type="dxa"/>
            <w:noWrap w:val="0"/>
            <w:vAlign w:val="center"/>
          </w:tcPr>
          <w:p w14:paraId="24266CA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r>
      <w:tr w14:paraId="5D7BF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6" w:type="dxa"/>
            <w:vMerge w:val="continue"/>
            <w:noWrap w:val="0"/>
            <w:vAlign w:val="center"/>
          </w:tcPr>
          <w:p w14:paraId="60E63FAC">
            <w:pPr>
              <w:rPr>
                <w:rFonts w:hint="eastAsia" w:ascii="宋体" w:hAnsi="宋体" w:eastAsia="宋体" w:cs="宋体"/>
                <w:color w:val="auto"/>
                <w:sz w:val="21"/>
                <w:szCs w:val="21"/>
                <w:highlight w:val="none"/>
              </w:rPr>
            </w:pPr>
          </w:p>
        </w:tc>
        <w:tc>
          <w:tcPr>
            <w:tcW w:w="5384" w:type="dxa"/>
            <w:noWrap w:val="0"/>
            <w:vAlign w:val="center"/>
          </w:tcPr>
          <w:p w14:paraId="2ECF929C">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5吨以上</w:t>
            </w:r>
          </w:p>
        </w:tc>
        <w:tc>
          <w:tcPr>
            <w:tcW w:w="1422" w:type="dxa"/>
            <w:noWrap w:val="0"/>
            <w:vAlign w:val="center"/>
          </w:tcPr>
          <w:p w14:paraId="679BC7B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bl>
    <w:p w14:paraId="0385665B">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5"/>
        <w:gridCol w:w="5658"/>
        <w:gridCol w:w="1485"/>
      </w:tblGrid>
      <w:tr w14:paraId="4D421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3"/>
            <w:noWrap w:val="0"/>
            <w:vAlign w:val="center"/>
          </w:tcPr>
          <w:p w14:paraId="26D2C834">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（八）固体废物污染防治类</w:t>
            </w:r>
          </w:p>
        </w:tc>
      </w:tr>
      <w:tr w14:paraId="6C376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9" w:type="dxa"/>
            <w:noWrap w:val="0"/>
            <w:vAlign w:val="center"/>
          </w:tcPr>
          <w:p w14:paraId="3104B4E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803" w:type="dxa"/>
            <w:gridSpan w:val="2"/>
            <w:noWrap w:val="0"/>
            <w:vAlign w:val="center"/>
          </w:tcPr>
          <w:p w14:paraId="3598A2CA">
            <w:pPr>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8</w:t>
            </w:r>
          </w:p>
        </w:tc>
      </w:tr>
      <w:tr w14:paraId="1EBED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9" w:type="dxa"/>
            <w:noWrap w:val="0"/>
            <w:vAlign w:val="center"/>
          </w:tcPr>
          <w:p w14:paraId="5149DA9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6803" w:type="dxa"/>
            <w:gridSpan w:val="2"/>
            <w:noWrap w:val="0"/>
            <w:vAlign w:val="center"/>
          </w:tcPr>
          <w:p w14:paraId="6578E672">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贮存工业固体废物未采取符合国家生态环境保护标准的防护措施的</w:t>
            </w:r>
          </w:p>
        </w:tc>
      </w:tr>
      <w:tr w14:paraId="5B9AA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9" w:type="dxa"/>
            <w:noWrap w:val="0"/>
            <w:vAlign w:val="center"/>
          </w:tcPr>
          <w:p w14:paraId="1FC85A0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6803" w:type="dxa"/>
            <w:gridSpan w:val="2"/>
            <w:noWrap w:val="0"/>
            <w:vAlign w:val="center"/>
          </w:tcPr>
          <w:p w14:paraId="0751C76B">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《中华人民共和国生态环境法典》第四百九十四条  产生工业固体废物的单位应当根据经济、技术条件对工业固体废物加以利用；对暂时不利用或者不能利用的，应当按照国务院生态环境等有关部门的规定建设贮存设施、场所，安全分类存放，或者采取无害化处置措施。贮存工业固体废物应当采取符合国家生态环境保护标准的防护措施。</w:t>
            </w:r>
          </w:p>
          <w:p w14:paraId="3256CA47">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建设工业固体废物贮存、处置的设施、场所，应当符合国家生态环境保护标准。</w:t>
            </w:r>
          </w:p>
        </w:tc>
      </w:tr>
      <w:tr w14:paraId="258EA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9" w:type="dxa"/>
            <w:noWrap w:val="0"/>
            <w:vAlign w:val="center"/>
          </w:tcPr>
          <w:p w14:paraId="7A3047E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6803" w:type="dxa"/>
            <w:gridSpan w:val="2"/>
            <w:noWrap w:val="0"/>
            <w:vAlign w:val="center"/>
          </w:tcPr>
          <w:p w14:paraId="153CF0D7">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《中华人民共和国生态环境法典》第一千一百七十一条</w:t>
            </w:r>
            <w:r>
              <w:rPr>
                <w:rFonts w:hint="eastAsia" w:ascii="宋体" w:hAnsi="宋体" w:eastAsia="宋体" w:cs="宋体"/>
                <w:color w:val="auto"/>
                <w:sz w:val="21"/>
                <w:szCs w:val="21"/>
                <w:highlight w:val="none"/>
                <w:lang w:eastAsia="zh-CN"/>
              </w:rPr>
              <w:t>第一款第五项、第二款</w:t>
            </w:r>
            <w:r>
              <w:rPr>
                <w:rFonts w:hint="eastAsia" w:ascii="宋体" w:hAnsi="宋体" w:eastAsia="宋体" w:cs="宋体"/>
                <w:color w:val="auto"/>
                <w:sz w:val="21"/>
                <w:szCs w:val="21"/>
                <w:highlight w:val="none"/>
              </w:rPr>
              <w:t xml:space="preserve">  违反本法规定，有下列情形之一的，由生态环境主管部门责令改正，没收违法所得，并处以罚款</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w:t>
            </w:r>
          </w:p>
          <w:p w14:paraId="009128C7">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（五）贮存工业固体废物未采取符合国家生态环境保护标准的防护措施；</w:t>
            </w:r>
          </w:p>
          <w:p w14:paraId="53B69162">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有前款第三项情形的，处五万元以上五十万元以下的罚款；有前款除第三项以外情形之一的，处十万元以上一百万元以下的罚款。对前款第六项情形的处罚，有关法律、行政法规另有规定的，依照其规定。</w:t>
            </w:r>
          </w:p>
        </w:tc>
      </w:tr>
      <w:tr w14:paraId="3976A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9" w:type="dxa"/>
            <w:noWrap w:val="0"/>
            <w:vAlign w:val="center"/>
          </w:tcPr>
          <w:p w14:paraId="290C55F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389" w:type="dxa"/>
            <w:noWrap w:val="0"/>
            <w:vAlign w:val="center"/>
          </w:tcPr>
          <w:p w14:paraId="40B40DE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414" w:type="dxa"/>
            <w:noWrap w:val="0"/>
            <w:vAlign w:val="center"/>
          </w:tcPr>
          <w:p w14:paraId="65AA3B0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76DA1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9" w:type="dxa"/>
            <w:vMerge w:val="restart"/>
            <w:noWrap w:val="0"/>
            <w:vAlign w:val="center"/>
          </w:tcPr>
          <w:p w14:paraId="3D3DB64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工业固体废物数量</w:t>
            </w:r>
          </w:p>
        </w:tc>
        <w:tc>
          <w:tcPr>
            <w:tcW w:w="5389" w:type="dxa"/>
            <w:noWrap w:val="0"/>
            <w:vAlign w:val="center"/>
          </w:tcPr>
          <w:p w14:paraId="2AC6C513">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不足1吨</w:t>
            </w:r>
          </w:p>
        </w:tc>
        <w:tc>
          <w:tcPr>
            <w:tcW w:w="1414" w:type="dxa"/>
            <w:noWrap w:val="0"/>
            <w:vAlign w:val="center"/>
          </w:tcPr>
          <w:p w14:paraId="7E8ED06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6BA3B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9" w:type="dxa"/>
            <w:vMerge w:val="continue"/>
            <w:noWrap w:val="0"/>
            <w:vAlign w:val="center"/>
          </w:tcPr>
          <w:p w14:paraId="096C5090">
            <w:pPr>
              <w:rPr>
                <w:rFonts w:hint="eastAsia" w:ascii="宋体" w:hAnsi="宋体" w:eastAsia="宋体" w:cs="宋体"/>
                <w:color w:val="auto"/>
                <w:sz w:val="21"/>
                <w:szCs w:val="21"/>
                <w:highlight w:val="none"/>
              </w:rPr>
            </w:pPr>
          </w:p>
        </w:tc>
        <w:tc>
          <w:tcPr>
            <w:tcW w:w="5389" w:type="dxa"/>
            <w:noWrap w:val="0"/>
            <w:vAlign w:val="center"/>
          </w:tcPr>
          <w:p w14:paraId="73FD69F5">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1吨以上不足2吨</w:t>
            </w:r>
          </w:p>
        </w:tc>
        <w:tc>
          <w:tcPr>
            <w:tcW w:w="1414" w:type="dxa"/>
            <w:noWrap w:val="0"/>
            <w:vAlign w:val="center"/>
          </w:tcPr>
          <w:p w14:paraId="261DC2F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r>
      <w:tr w14:paraId="2586E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9" w:type="dxa"/>
            <w:vMerge w:val="continue"/>
            <w:noWrap w:val="0"/>
            <w:vAlign w:val="center"/>
          </w:tcPr>
          <w:p w14:paraId="110D21A9">
            <w:pPr>
              <w:rPr>
                <w:rFonts w:hint="eastAsia" w:ascii="宋体" w:hAnsi="宋体" w:eastAsia="宋体" w:cs="宋体"/>
                <w:color w:val="auto"/>
                <w:sz w:val="21"/>
                <w:szCs w:val="21"/>
                <w:highlight w:val="none"/>
              </w:rPr>
            </w:pPr>
          </w:p>
        </w:tc>
        <w:tc>
          <w:tcPr>
            <w:tcW w:w="5389" w:type="dxa"/>
            <w:noWrap w:val="0"/>
            <w:vAlign w:val="center"/>
          </w:tcPr>
          <w:p w14:paraId="04E2053F">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2吨以上不足3吨</w:t>
            </w:r>
          </w:p>
        </w:tc>
        <w:tc>
          <w:tcPr>
            <w:tcW w:w="1414" w:type="dxa"/>
            <w:noWrap w:val="0"/>
            <w:vAlign w:val="center"/>
          </w:tcPr>
          <w:p w14:paraId="6E1FB58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06D35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9" w:type="dxa"/>
            <w:vMerge w:val="continue"/>
            <w:noWrap w:val="0"/>
            <w:vAlign w:val="center"/>
          </w:tcPr>
          <w:p w14:paraId="5E3A928A">
            <w:pPr>
              <w:rPr>
                <w:rFonts w:hint="eastAsia" w:ascii="宋体" w:hAnsi="宋体" w:eastAsia="宋体" w:cs="宋体"/>
                <w:color w:val="auto"/>
                <w:sz w:val="21"/>
                <w:szCs w:val="21"/>
                <w:highlight w:val="none"/>
              </w:rPr>
            </w:pPr>
          </w:p>
        </w:tc>
        <w:tc>
          <w:tcPr>
            <w:tcW w:w="5389" w:type="dxa"/>
            <w:noWrap w:val="0"/>
            <w:vAlign w:val="center"/>
          </w:tcPr>
          <w:p w14:paraId="6963900D">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3吨以上不足5吨</w:t>
            </w:r>
          </w:p>
        </w:tc>
        <w:tc>
          <w:tcPr>
            <w:tcW w:w="1414" w:type="dxa"/>
            <w:noWrap w:val="0"/>
            <w:vAlign w:val="center"/>
          </w:tcPr>
          <w:p w14:paraId="7498416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r>
      <w:tr w14:paraId="25ED4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 w:hRule="atLeast"/>
          <w:jc w:val="center"/>
        </w:trPr>
        <w:tc>
          <w:tcPr>
            <w:tcW w:w="1719" w:type="dxa"/>
            <w:vMerge w:val="continue"/>
            <w:noWrap w:val="0"/>
            <w:vAlign w:val="center"/>
          </w:tcPr>
          <w:p w14:paraId="26F4C567">
            <w:pPr>
              <w:rPr>
                <w:rFonts w:hint="eastAsia" w:ascii="宋体" w:hAnsi="宋体" w:eastAsia="宋体" w:cs="宋体"/>
                <w:color w:val="auto"/>
                <w:sz w:val="21"/>
                <w:szCs w:val="21"/>
                <w:highlight w:val="none"/>
              </w:rPr>
            </w:pPr>
          </w:p>
        </w:tc>
        <w:tc>
          <w:tcPr>
            <w:tcW w:w="5389" w:type="dxa"/>
            <w:noWrap w:val="0"/>
            <w:vAlign w:val="center"/>
          </w:tcPr>
          <w:p w14:paraId="07A16FED">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5吨以上</w:t>
            </w:r>
          </w:p>
        </w:tc>
        <w:tc>
          <w:tcPr>
            <w:tcW w:w="1414" w:type="dxa"/>
            <w:noWrap w:val="0"/>
            <w:vAlign w:val="center"/>
          </w:tcPr>
          <w:p w14:paraId="34F6951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bl>
    <w:p w14:paraId="53D2D892">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p w14:paraId="3C09F6E5">
      <w:pPr>
        <w:rPr>
          <w:rFonts w:hint="eastAsia" w:ascii="宋体" w:hAnsi="宋体" w:eastAsia="宋体" w:cs="宋体"/>
          <w:sz w:val="21"/>
          <w:szCs w:val="21"/>
          <w:highlight w:val="none"/>
        </w:rPr>
      </w:pP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2"/>
        <w:gridCol w:w="5657"/>
        <w:gridCol w:w="1489"/>
      </w:tblGrid>
      <w:tr w14:paraId="4E854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48" w:type="dxa"/>
            <w:gridSpan w:val="3"/>
            <w:noWrap w:val="0"/>
            <w:vAlign w:val="center"/>
          </w:tcPr>
          <w:p w14:paraId="2A1BA5A6">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（八）固体废物污染防治类</w:t>
            </w:r>
          </w:p>
        </w:tc>
      </w:tr>
      <w:tr w14:paraId="4FBAE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2" w:type="dxa"/>
            <w:noWrap w:val="0"/>
            <w:vAlign w:val="center"/>
          </w:tcPr>
          <w:p w14:paraId="7600D16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7146" w:type="dxa"/>
            <w:gridSpan w:val="2"/>
            <w:noWrap w:val="0"/>
            <w:vAlign w:val="center"/>
          </w:tcPr>
          <w:p w14:paraId="4B6D8F5B">
            <w:pPr>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9</w:t>
            </w:r>
          </w:p>
        </w:tc>
      </w:tr>
      <w:tr w14:paraId="43F53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2" w:type="dxa"/>
            <w:noWrap w:val="0"/>
            <w:vAlign w:val="center"/>
          </w:tcPr>
          <w:p w14:paraId="314468E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7146" w:type="dxa"/>
            <w:gridSpan w:val="2"/>
            <w:noWrap w:val="0"/>
            <w:vAlign w:val="center"/>
          </w:tcPr>
          <w:p w14:paraId="6A88775C">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产生工业固体废物的单位未建立固体废物管理台账并如实记录，拒不改正的</w:t>
            </w:r>
          </w:p>
        </w:tc>
      </w:tr>
      <w:tr w14:paraId="29650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2" w:type="dxa"/>
            <w:noWrap w:val="0"/>
            <w:vAlign w:val="center"/>
          </w:tcPr>
          <w:p w14:paraId="02F69DE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7146" w:type="dxa"/>
            <w:gridSpan w:val="2"/>
            <w:noWrap w:val="0"/>
            <w:vAlign w:val="center"/>
          </w:tcPr>
          <w:p w14:paraId="3F7DB326">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《中华人民共和国生态环境法典》第四百八十九条</w:t>
            </w:r>
            <w:r>
              <w:rPr>
                <w:rFonts w:hint="eastAsia" w:ascii="宋体" w:hAnsi="宋体" w:eastAsia="宋体" w:cs="宋体"/>
                <w:color w:val="auto"/>
                <w:sz w:val="21"/>
                <w:szCs w:val="21"/>
                <w:highlight w:val="none"/>
                <w:lang w:val="en-US" w:eastAsia="zh-CN"/>
              </w:rPr>
              <w:t>第一款</w:t>
            </w:r>
            <w:r>
              <w:rPr>
                <w:rFonts w:hint="eastAsia" w:ascii="宋体" w:hAnsi="宋体" w:eastAsia="宋体" w:cs="宋体"/>
                <w:color w:val="auto"/>
                <w:sz w:val="21"/>
                <w:szCs w:val="21"/>
                <w:highlight w:val="none"/>
              </w:rPr>
              <w:t xml:space="preserve">  产生工业固体废物的单位应当建立健全工业固体废物产生、收集、贮存、运输、利用、处置全过程的污染防治责任制度，建立工业固体废物管理台账，如实记录产生工业固体废物的种类、数量、流向、贮存、利用、处置等信息，实现工业固体废物可追溯、可查询，并采取防治工业固体废物污染的措施。</w:t>
            </w:r>
          </w:p>
        </w:tc>
      </w:tr>
      <w:tr w14:paraId="7BD22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2" w:type="dxa"/>
            <w:noWrap w:val="0"/>
            <w:vAlign w:val="center"/>
          </w:tcPr>
          <w:p w14:paraId="22A17CE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7146" w:type="dxa"/>
            <w:gridSpan w:val="2"/>
            <w:noWrap w:val="0"/>
            <w:vAlign w:val="center"/>
          </w:tcPr>
          <w:p w14:paraId="23238C46">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《中华人民共和国生态环境法典》第一千一百七十一条第三款 违反本法规定，产生工业固体废物的单位未建立工业固体废物管理台账并如实记录的，由生态环境主管部门责令改正；拒不改正的，处五万元以上二十万元以下的罚款。</w:t>
            </w:r>
          </w:p>
        </w:tc>
      </w:tr>
      <w:tr w14:paraId="1F0BD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2" w:type="dxa"/>
            <w:noWrap w:val="0"/>
            <w:vAlign w:val="center"/>
          </w:tcPr>
          <w:p w14:paraId="4DF6B80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657" w:type="dxa"/>
            <w:noWrap w:val="0"/>
            <w:vAlign w:val="center"/>
          </w:tcPr>
          <w:p w14:paraId="2E0FE18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489" w:type="dxa"/>
            <w:noWrap w:val="0"/>
            <w:vAlign w:val="center"/>
          </w:tcPr>
          <w:p w14:paraId="48F9A35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070A5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2" w:type="dxa"/>
            <w:vMerge w:val="restart"/>
            <w:noWrap w:val="0"/>
            <w:vAlign w:val="center"/>
          </w:tcPr>
          <w:p w14:paraId="68665B6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w:t>
            </w:r>
            <w:r>
              <w:rPr>
                <w:rFonts w:hint="eastAsia" w:ascii="宋体" w:hAnsi="宋体" w:cs="宋体"/>
                <w:color w:val="auto"/>
                <w:sz w:val="21"/>
                <w:szCs w:val="21"/>
                <w:highlight w:val="none"/>
                <w:lang w:val="en-US" w:eastAsia="zh-CN"/>
              </w:rPr>
              <w:t>事实</w:t>
            </w:r>
          </w:p>
        </w:tc>
        <w:tc>
          <w:tcPr>
            <w:tcW w:w="5657" w:type="dxa"/>
            <w:noWrap w:val="0"/>
            <w:vAlign w:val="top"/>
          </w:tcPr>
          <w:p w14:paraId="2C6D4F55">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虽建立固体废物管理台账，但记录不完整的</w:t>
            </w:r>
          </w:p>
        </w:tc>
        <w:tc>
          <w:tcPr>
            <w:tcW w:w="1489" w:type="dxa"/>
            <w:noWrap w:val="0"/>
            <w:vAlign w:val="top"/>
          </w:tcPr>
          <w:p w14:paraId="30CBE33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588FD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2" w:type="dxa"/>
            <w:vMerge w:val="continue"/>
            <w:noWrap w:val="0"/>
            <w:vAlign w:val="center"/>
          </w:tcPr>
          <w:p w14:paraId="6F5093D8">
            <w:pPr>
              <w:jc w:val="center"/>
              <w:rPr>
                <w:rFonts w:hint="eastAsia" w:ascii="宋体" w:hAnsi="宋体" w:eastAsia="宋体" w:cs="宋体"/>
                <w:color w:val="auto"/>
                <w:sz w:val="21"/>
                <w:szCs w:val="21"/>
                <w:highlight w:val="none"/>
              </w:rPr>
            </w:pPr>
          </w:p>
        </w:tc>
        <w:tc>
          <w:tcPr>
            <w:tcW w:w="5657" w:type="dxa"/>
            <w:noWrap w:val="0"/>
            <w:vAlign w:val="top"/>
          </w:tcPr>
          <w:p w14:paraId="3135ED6C">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未建立固体废物管理台账的</w:t>
            </w:r>
          </w:p>
        </w:tc>
        <w:tc>
          <w:tcPr>
            <w:tcW w:w="1489" w:type="dxa"/>
            <w:noWrap w:val="0"/>
            <w:vAlign w:val="top"/>
          </w:tcPr>
          <w:p w14:paraId="48D48E0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p>
        </w:tc>
      </w:tr>
      <w:tr w14:paraId="2E7EF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2" w:type="dxa"/>
            <w:vMerge w:val="continue"/>
            <w:noWrap w:val="0"/>
            <w:vAlign w:val="center"/>
          </w:tcPr>
          <w:p w14:paraId="2672EA78">
            <w:pPr>
              <w:jc w:val="center"/>
              <w:rPr>
                <w:rFonts w:hint="eastAsia" w:ascii="宋体" w:hAnsi="宋体" w:eastAsia="宋体" w:cs="宋体"/>
                <w:color w:val="auto"/>
                <w:sz w:val="21"/>
                <w:szCs w:val="21"/>
                <w:highlight w:val="none"/>
              </w:rPr>
            </w:pPr>
          </w:p>
        </w:tc>
        <w:tc>
          <w:tcPr>
            <w:tcW w:w="5657" w:type="dxa"/>
            <w:noWrap w:val="0"/>
            <w:vAlign w:val="top"/>
          </w:tcPr>
          <w:p w14:paraId="5AC5DEFE">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虽建立固体废物管理台账，台账造假的</w:t>
            </w:r>
          </w:p>
        </w:tc>
        <w:tc>
          <w:tcPr>
            <w:tcW w:w="1489" w:type="dxa"/>
            <w:noWrap w:val="0"/>
            <w:vAlign w:val="top"/>
          </w:tcPr>
          <w:p w14:paraId="21E551C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68945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2" w:type="dxa"/>
            <w:vMerge w:val="restart"/>
            <w:noWrap w:val="0"/>
            <w:vAlign w:val="center"/>
          </w:tcPr>
          <w:p w14:paraId="275217C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涉及固体废</w:t>
            </w:r>
          </w:p>
          <w:p w14:paraId="75C2FE7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物种类数量</w:t>
            </w:r>
          </w:p>
        </w:tc>
        <w:tc>
          <w:tcPr>
            <w:tcW w:w="5657" w:type="dxa"/>
            <w:noWrap w:val="0"/>
            <w:vAlign w:val="center"/>
          </w:tcPr>
          <w:p w14:paraId="7D19234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1种</w:t>
            </w:r>
          </w:p>
        </w:tc>
        <w:tc>
          <w:tcPr>
            <w:tcW w:w="1489" w:type="dxa"/>
            <w:noWrap w:val="0"/>
            <w:vAlign w:val="center"/>
          </w:tcPr>
          <w:p w14:paraId="1F4EE94E">
            <w:pPr>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w:t>
            </w:r>
          </w:p>
        </w:tc>
      </w:tr>
      <w:tr w14:paraId="01EF0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2" w:type="dxa"/>
            <w:vMerge w:val="continue"/>
            <w:noWrap w:val="0"/>
            <w:vAlign w:val="center"/>
          </w:tcPr>
          <w:p w14:paraId="049BC527">
            <w:pPr>
              <w:jc w:val="center"/>
              <w:rPr>
                <w:rFonts w:hint="eastAsia" w:ascii="宋体" w:hAnsi="宋体" w:eastAsia="宋体" w:cs="宋体"/>
                <w:color w:val="auto"/>
                <w:sz w:val="21"/>
                <w:szCs w:val="21"/>
                <w:highlight w:val="none"/>
              </w:rPr>
            </w:pPr>
          </w:p>
        </w:tc>
        <w:tc>
          <w:tcPr>
            <w:tcW w:w="5657" w:type="dxa"/>
            <w:noWrap w:val="0"/>
            <w:vAlign w:val="center"/>
          </w:tcPr>
          <w:p w14:paraId="6996B92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种</w:t>
            </w:r>
          </w:p>
        </w:tc>
        <w:tc>
          <w:tcPr>
            <w:tcW w:w="1489" w:type="dxa"/>
            <w:noWrap w:val="0"/>
            <w:vAlign w:val="center"/>
          </w:tcPr>
          <w:p w14:paraId="4B75CCAF">
            <w:pPr>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2</w:t>
            </w:r>
          </w:p>
        </w:tc>
      </w:tr>
      <w:tr w14:paraId="23C6A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2" w:type="dxa"/>
            <w:vMerge w:val="continue"/>
            <w:noWrap w:val="0"/>
            <w:vAlign w:val="center"/>
          </w:tcPr>
          <w:p w14:paraId="03C6DD66">
            <w:pPr>
              <w:jc w:val="center"/>
              <w:rPr>
                <w:rFonts w:hint="eastAsia" w:ascii="宋体" w:hAnsi="宋体" w:eastAsia="宋体" w:cs="宋体"/>
                <w:color w:val="auto"/>
                <w:sz w:val="21"/>
                <w:szCs w:val="21"/>
                <w:highlight w:val="none"/>
              </w:rPr>
            </w:pPr>
          </w:p>
        </w:tc>
        <w:tc>
          <w:tcPr>
            <w:tcW w:w="5657" w:type="dxa"/>
            <w:noWrap w:val="0"/>
            <w:vAlign w:val="center"/>
          </w:tcPr>
          <w:p w14:paraId="47E22EA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种</w:t>
            </w:r>
          </w:p>
        </w:tc>
        <w:tc>
          <w:tcPr>
            <w:tcW w:w="1489" w:type="dxa"/>
            <w:noWrap w:val="0"/>
            <w:vAlign w:val="center"/>
          </w:tcPr>
          <w:p w14:paraId="485BB0A4">
            <w:pPr>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3</w:t>
            </w:r>
          </w:p>
        </w:tc>
      </w:tr>
      <w:tr w14:paraId="09EE5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2" w:type="dxa"/>
            <w:vMerge w:val="continue"/>
            <w:noWrap w:val="0"/>
            <w:vAlign w:val="center"/>
          </w:tcPr>
          <w:p w14:paraId="3102152B">
            <w:pPr>
              <w:jc w:val="center"/>
              <w:rPr>
                <w:rFonts w:hint="eastAsia" w:ascii="宋体" w:hAnsi="宋体" w:eastAsia="宋体" w:cs="宋体"/>
                <w:color w:val="auto"/>
                <w:sz w:val="21"/>
                <w:szCs w:val="21"/>
                <w:highlight w:val="none"/>
              </w:rPr>
            </w:pPr>
          </w:p>
        </w:tc>
        <w:tc>
          <w:tcPr>
            <w:tcW w:w="5657" w:type="dxa"/>
            <w:noWrap w:val="0"/>
            <w:vAlign w:val="center"/>
          </w:tcPr>
          <w:p w14:paraId="719C2DD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种</w:t>
            </w:r>
          </w:p>
        </w:tc>
        <w:tc>
          <w:tcPr>
            <w:tcW w:w="1489" w:type="dxa"/>
            <w:noWrap w:val="0"/>
            <w:vAlign w:val="center"/>
          </w:tcPr>
          <w:p w14:paraId="685C17CA">
            <w:pPr>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4</w:t>
            </w:r>
          </w:p>
        </w:tc>
      </w:tr>
      <w:tr w14:paraId="15F1B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2" w:type="dxa"/>
            <w:vMerge w:val="continue"/>
            <w:noWrap w:val="0"/>
            <w:vAlign w:val="center"/>
          </w:tcPr>
          <w:p w14:paraId="5D63E439">
            <w:pPr>
              <w:jc w:val="center"/>
              <w:rPr>
                <w:rFonts w:hint="eastAsia" w:ascii="宋体" w:hAnsi="宋体" w:eastAsia="宋体" w:cs="宋体"/>
                <w:color w:val="auto"/>
                <w:sz w:val="21"/>
                <w:szCs w:val="21"/>
                <w:highlight w:val="none"/>
              </w:rPr>
            </w:pPr>
          </w:p>
        </w:tc>
        <w:tc>
          <w:tcPr>
            <w:tcW w:w="5657" w:type="dxa"/>
            <w:noWrap w:val="0"/>
            <w:vAlign w:val="center"/>
          </w:tcPr>
          <w:p w14:paraId="04A93F54">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种</w:t>
            </w:r>
            <w:r>
              <w:rPr>
                <w:rFonts w:hint="eastAsia" w:ascii="宋体" w:hAnsi="宋体" w:eastAsia="宋体" w:cs="宋体"/>
                <w:color w:val="auto"/>
                <w:sz w:val="21"/>
                <w:szCs w:val="21"/>
                <w:highlight w:val="none"/>
                <w:lang w:val="en-US" w:eastAsia="zh-CN"/>
              </w:rPr>
              <w:t>以上</w:t>
            </w:r>
          </w:p>
        </w:tc>
        <w:tc>
          <w:tcPr>
            <w:tcW w:w="1489" w:type="dxa"/>
            <w:noWrap w:val="0"/>
            <w:vAlign w:val="center"/>
          </w:tcPr>
          <w:p w14:paraId="5F32C001">
            <w:pPr>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5</w:t>
            </w:r>
          </w:p>
        </w:tc>
      </w:tr>
    </w:tbl>
    <w:p w14:paraId="662FBEDB">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511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43"/>
        <w:gridCol w:w="5786"/>
        <w:gridCol w:w="1521"/>
      </w:tblGrid>
      <w:tr w14:paraId="0340C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8715" w:type="dxa"/>
            <w:gridSpan w:val="3"/>
            <w:noWrap w:val="0"/>
            <w:vAlign w:val="center"/>
          </w:tcPr>
          <w:p w14:paraId="1CC2793C">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（八）固体废物污染防治类</w:t>
            </w:r>
          </w:p>
        </w:tc>
      </w:tr>
      <w:tr w14:paraId="0C9BE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1755" w:type="dxa"/>
            <w:noWrap w:val="0"/>
            <w:vAlign w:val="center"/>
          </w:tcPr>
          <w:p w14:paraId="62A18E7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960" w:type="dxa"/>
            <w:gridSpan w:val="2"/>
            <w:noWrap w:val="0"/>
            <w:vAlign w:val="center"/>
          </w:tcPr>
          <w:p w14:paraId="230B045B">
            <w:pPr>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0</w:t>
            </w:r>
          </w:p>
        </w:tc>
      </w:tr>
      <w:tr w14:paraId="58F38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1755" w:type="dxa"/>
            <w:noWrap w:val="0"/>
            <w:vAlign w:val="center"/>
          </w:tcPr>
          <w:p w14:paraId="6707ED3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6960" w:type="dxa"/>
            <w:gridSpan w:val="2"/>
            <w:noWrap w:val="0"/>
            <w:vAlign w:val="center"/>
          </w:tcPr>
          <w:p w14:paraId="03127972">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尾矿、煤矸石、废石等矿业固体废物贮存设施停止使用后，未按照国家有关环境保护规定进行封场的</w:t>
            </w:r>
          </w:p>
        </w:tc>
      </w:tr>
      <w:tr w14:paraId="2DA5F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8" w:hRule="atLeast"/>
          <w:jc w:val="center"/>
        </w:trPr>
        <w:tc>
          <w:tcPr>
            <w:tcW w:w="1755" w:type="dxa"/>
            <w:noWrap w:val="0"/>
            <w:vAlign w:val="center"/>
          </w:tcPr>
          <w:p w14:paraId="4FF68C1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6960" w:type="dxa"/>
            <w:gridSpan w:val="2"/>
            <w:noWrap w:val="0"/>
            <w:vAlign w:val="center"/>
          </w:tcPr>
          <w:p w14:paraId="4F892476">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《中华人民共和国生态环境法典》第四百九十六条</w:t>
            </w:r>
            <w:r>
              <w:rPr>
                <w:rFonts w:hint="eastAsia" w:ascii="宋体" w:hAnsi="宋体" w:eastAsia="宋体" w:cs="宋体"/>
                <w:color w:val="auto"/>
                <w:sz w:val="21"/>
                <w:szCs w:val="21"/>
                <w:highlight w:val="none"/>
                <w:lang w:val="en-US" w:eastAsia="zh-CN"/>
              </w:rPr>
              <w:t>第二款</w:t>
            </w:r>
            <w:r>
              <w:rPr>
                <w:rFonts w:hint="eastAsia" w:ascii="宋体" w:hAnsi="宋体" w:eastAsia="宋体" w:cs="宋体"/>
                <w:color w:val="auto"/>
                <w:sz w:val="21"/>
                <w:szCs w:val="21"/>
                <w:highlight w:val="none"/>
              </w:rPr>
              <w:t xml:space="preserve">  尾矿、煤矸石、废石等矿业固体废物贮存设施停止使用后，矿山企业应当按照国家有关生态环境保护等规定进行封场，防止造成环境污染和生态破坏。</w:t>
            </w:r>
          </w:p>
        </w:tc>
      </w:tr>
      <w:tr w14:paraId="07A13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8" w:hRule="atLeast"/>
          <w:jc w:val="center"/>
        </w:trPr>
        <w:tc>
          <w:tcPr>
            <w:tcW w:w="1755" w:type="dxa"/>
            <w:noWrap w:val="0"/>
            <w:vAlign w:val="center"/>
          </w:tcPr>
          <w:p w14:paraId="05786AD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6960" w:type="dxa"/>
            <w:gridSpan w:val="2"/>
            <w:noWrap w:val="0"/>
            <w:vAlign w:val="center"/>
          </w:tcPr>
          <w:p w14:paraId="4EB438F5">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《中华人民共和国生态环境法典》第一千一百七十三条  违反本法规定，尾矿、煤矸石、废石等矿业固体废物贮存设施停止使用后，未按照国家有关生态环境保护等规定进行封场的，由生态环境主管部门责令改正，处二十万元以上一百万元以下的罚款。</w:t>
            </w:r>
          </w:p>
        </w:tc>
      </w:tr>
      <w:tr w14:paraId="72ED4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1755" w:type="dxa"/>
            <w:noWrap w:val="0"/>
            <w:vAlign w:val="center"/>
          </w:tcPr>
          <w:p w14:paraId="12E8081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511" w:type="dxa"/>
            <w:noWrap w:val="0"/>
            <w:vAlign w:val="center"/>
          </w:tcPr>
          <w:p w14:paraId="4A9C63A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449" w:type="dxa"/>
            <w:noWrap w:val="0"/>
            <w:vAlign w:val="center"/>
          </w:tcPr>
          <w:p w14:paraId="0C44E1A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5EAA9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1755" w:type="dxa"/>
            <w:vMerge w:val="restart"/>
            <w:noWrap w:val="0"/>
            <w:vAlign w:val="center"/>
          </w:tcPr>
          <w:p w14:paraId="31A7FB5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贮存设施规模</w:t>
            </w:r>
          </w:p>
        </w:tc>
        <w:tc>
          <w:tcPr>
            <w:tcW w:w="5511" w:type="dxa"/>
            <w:noWrap w:val="0"/>
            <w:vAlign w:val="center"/>
          </w:tcPr>
          <w:p w14:paraId="69313043">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不足1000</w:t>
            </w:r>
            <w:r>
              <w:rPr>
                <w:rFonts w:hint="eastAsia" w:ascii="宋体" w:hAnsi="宋体" w:cs="宋体"/>
                <w:color w:val="auto"/>
                <w:sz w:val="21"/>
                <w:szCs w:val="21"/>
                <w:highlight w:val="none"/>
                <w:lang w:eastAsia="zh-CN"/>
              </w:rPr>
              <w:t>立方米</w:t>
            </w:r>
          </w:p>
        </w:tc>
        <w:tc>
          <w:tcPr>
            <w:tcW w:w="1449" w:type="dxa"/>
            <w:noWrap w:val="0"/>
            <w:vAlign w:val="center"/>
          </w:tcPr>
          <w:p w14:paraId="0518BF5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108B0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1755" w:type="dxa"/>
            <w:vMerge w:val="continue"/>
            <w:noWrap w:val="0"/>
            <w:vAlign w:val="center"/>
          </w:tcPr>
          <w:p w14:paraId="5A6C7CC3">
            <w:pPr>
              <w:rPr>
                <w:rFonts w:hint="eastAsia" w:ascii="宋体" w:hAnsi="宋体" w:eastAsia="宋体" w:cs="宋体"/>
                <w:color w:val="auto"/>
                <w:sz w:val="21"/>
                <w:szCs w:val="21"/>
                <w:highlight w:val="none"/>
              </w:rPr>
            </w:pPr>
          </w:p>
        </w:tc>
        <w:tc>
          <w:tcPr>
            <w:tcW w:w="5511" w:type="dxa"/>
            <w:noWrap w:val="0"/>
            <w:vAlign w:val="center"/>
          </w:tcPr>
          <w:p w14:paraId="5825272F">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1000</w:t>
            </w:r>
            <w:r>
              <w:rPr>
                <w:rFonts w:hint="eastAsia" w:ascii="宋体" w:hAnsi="宋体" w:cs="宋体"/>
                <w:color w:val="auto"/>
                <w:sz w:val="21"/>
                <w:szCs w:val="21"/>
                <w:highlight w:val="none"/>
                <w:lang w:eastAsia="zh-CN"/>
              </w:rPr>
              <w:t>立方米</w:t>
            </w:r>
            <w:r>
              <w:rPr>
                <w:rFonts w:hint="eastAsia" w:ascii="宋体" w:hAnsi="宋体" w:eastAsia="宋体" w:cs="宋体"/>
                <w:color w:val="auto"/>
                <w:sz w:val="21"/>
                <w:szCs w:val="21"/>
                <w:highlight w:val="none"/>
              </w:rPr>
              <w:t>以上不足2000</w:t>
            </w:r>
            <w:r>
              <w:rPr>
                <w:rFonts w:hint="eastAsia" w:ascii="宋体" w:hAnsi="宋体" w:cs="宋体"/>
                <w:color w:val="auto"/>
                <w:sz w:val="21"/>
                <w:szCs w:val="21"/>
                <w:highlight w:val="none"/>
                <w:lang w:eastAsia="zh-CN"/>
              </w:rPr>
              <w:t>立方米</w:t>
            </w:r>
          </w:p>
        </w:tc>
        <w:tc>
          <w:tcPr>
            <w:tcW w:w="1449" w:type="dxa"/>
            <w:noWrap w:val="0"/>
            <w:vAlign w:val="center"/>
          </w:tcPr>
          <w:p w14:paraId="618FE59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r>
      <w:tr w14:paraId="7B2E1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1755" w:type="dxa"/>
            <w:vMerge w:val="continue"/>
            <w:noWrap w:val="0"/>
            <w:vAlign w:val="center"/>
          </w:tcPr>
          <w:p w14:paraId="4E993014">
            <w:pPr>
              <w:rPr>
                <w:rFonts w:hint="eastAsia" w:ascii="宋体" w:hAnsi="宋体" w:eastAsia="宋体" w:cs="宋体"/>
                <w:color w:val="auto"/>
                <w:sz w:val="21"/>
                <w:szCs w:val="21"/>
                <w:highlight w:val="none"/>
              </w:rPr>
            </w:pPr>
          </w:p>
        </w:tc>
        <w:tc>
          <w:tcPr>
            <w:tcW w:w="5511" w:type="dxa"/>
            <w:noWrap w:val="0"/>
            <w:vAlign w:val="center"/>
          </w:tcPr>
          <w:p w14:paraId="1C39CD9D">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2000</w:t>
            </w:r>
            <w:r>
              <w:rPr>
                <w:rFonts w:hint="eastAsia" w:ascii="宋体" w:hAnsi="宋体" w:cs="宋体"/>
                <w:color w:val="auto"/>
                <w:sz w:val="21"/>
                <w:szCs w:val="21"/>
                <w:highlight w:val="none"/>
                <w:lang w:eastAsia="zh-CN"/>
              </w:rPr>
              <w:t>立方米</w:t>
            </w:r>
            <w:r>
              <w:rPr>
                <w:rFonts w:hint="eastAsia" w:ascii="宋体" w:hAnsi="宋体" w:eastAsia="宋体" w:cs="宋体"/>
                <w:color w:val="auto"/>
                <w:sz w:val="21"/>
                <w:szCs w:val="21"/>
                <w:highlight w:val="none"/>
              </w:rPr>
              <w:t>以上不足3000</w:t>
            </w:r>
            <w:r>
              <w:rPr>
                <w:rFonts w:hint="eastAsia" w:ascii="宋体" w:hAnsi="宋体" w:cs="宋体"/>
                <w:color w:val="auto"/>
                <w:sz w:val="21"/>
                <w:szCs w:val="21"/>
                <w:highlight w:val="none"/>
                <w:lang w:eastAsia="zh-CN"/>
              </w:rPr>
              <w:t>立方米</w:t>
            </w:r>
          </w:p>
        </w:tc>
        <w:tc>
          <w:tcPr>
            <w:tcW w:w="1449" w:type="dxa"/>
            <w:noWrap w:val="0"/>
            <w:vAlign w:val="center"/>
          </w:tcPr>
          <w:p w14:paraId="4D77F1C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48118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1755" w:type="dxa"/>
            <w:vMerge w:val="continue"/>
            <w:noWrap w:val="0"/>
            <w:vAlign w:val="center"/>
          </w:tcPr>
          <w:p w14:paraId="3FCF7973">
            <w:pPr>
              <w:rPr>
                <w:rFonts w:hint="eastAsia" w:ascii="宋体" w:hAnsi="宋体" w:eastAsia="宋体" w:cs="宋体"/>
                <w:color w:val="auto"/>
                <w:sz w:val="21"/>
                <w:szCs w:val="21"/>
                <w:highlight w:val="none"/>
              </w:rPr>
            </w:pPr>
          </w:p>
        </w:tc>
        <w:tc>
          <w:tcPr>
            <w:tcW w:w="5511" w:type="dxa"/>
            <w:noWrap w:val="0"/>
            <w:vAlign w:val="center"/>
          </w:tcPr>
          <w:p w14:paraId="36B5C84F">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3000</w:t>
            </w:r>
            <w:r>
              <w:rPr>
                <w:rFonts w:hint="eastAsia" w:ascii="宋体" w:hAnsi="宋体" w:cs="宋体"/>
                <w:color w:val="auto"/>
                <w:sz w:val="21"/>
                <w:szCs w:val="21"/>
                <w:highlight w:val="none"/>
                <w:lang w:eastAsia="zh-CN"/>
              </w:rPr>
              <w:t>立方米</w:t>
            </w:r>
            <w:r>
              <w:rPr>
                <w:rFonts w:hint="eastAsia" w:ascii="宋体" w:hAnsi="宋体" w:eastAsia="宋体" w:cs="宋体"/>
                <w:color w:val="auto"/>
                <w:sz w:val="21"/>
                <w:szCs w:val="21"/>
                <w:highlight w:val="none"/>
              </w:rPr>
              <w:t>以上不足5000</w:t>
            </w:r>
            <w:r>
              <w:rPr>
                <w:rFonts w:hint="eastAsia" w:ascii="宋体" w:hAnsi="宋体" w:cs="宋体"/>
                <w:color w:val="auto"/>
                <w:sz w:val="21"/>
                <w:szCs w:val="21"/>
                <w:highlight w:val="none"/>
                <w:lang w:eastAsia="zh-CN"/>
              </w:rPr>
              <w:t>立方米</w:t>
            </w:r>
          </w:p>
        </w:tc>
        <w:tc>
          <w:tcPr>
            <w:tcW w:w="1449" w:type="dxa"/>
            <w:noWrap w:val="0"/>
            <w:vAlign w:val="center"/>
          </w:tcPr>
          <w:p w14:paraId="4727B2B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r>
      <w:tr w14:paraId="136D9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1755" w:type="dxa"/>
            <w:vMerge w:val="continue"/>
            <w:noWrap w:val="0"/>
            <w:vAlign w:val="center"/>
          </w:tcPr>
          <w:p w14:paraId="242D817B">
            <w:pPr>
              <w:rPr>
                <w:rFonts w:hint="eastAsia" w:ascii="宋体" w:hAnsi="宋体" w:eastAsia="宋体" w:cs="宋体"/>
                <w:color w:val="auto"/>
                <w:sz w:val="21"/>
                <w:szCs w:val="21"/>
                <w:highlight w:val="none"/>
              </w:rPr>
            </w:pPr>
          </w:p>
        </w:tc>
        <w:tc>
          <w:tcPr>
            <w:tcW w:w="5511" w:type="dxa"/>
            <w:noWrap w:val="0"/>
            <w:vAlign w:val="center"/>
          </w:tcPr>
          <w:p w14:paraId="3351C6FD">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5000</w:t>
            </w:r>
            <w:r>
              <w:rPr>
                <w:rFonts w:hint="eastAsia" w:ascii="宋体" w:hAnsi="宋体" w:cs="宋体"/>
                <w:color w:val="auto"/>
                <w:sz w:val="21"/>
                <w:szCs w:val="21"/>
                <w:highlight w:val="none"/>
                <w:lang w:eastAsia="zh-CN"/>
              </w:rPr>
              <w:t>立方米</w:t>
            </w:r>
            <w:r>
              <w:rPr>
                <w:rFonts w:hint="eastAsia" w:ascii="宋体" w:hAnsi="宋体" w:eastAsia="宋体" w:cs="宋体"/>
                <w:color w:val="auto"/>
                <w:sz w:val="21"/>
                <w:szCs w:val="21"/>
                <w:highlight w:val="none"/>
              </w:rPr>
              <w:t>以上</w:t>
            </w:r>
          </w:p>
        </w:tc>
        <w:tc>
          <w:tcPr>
            <w:tcW w:w="1449" w:type="dxa"/>
            <w:noWrap w:val="0"/>
            <w:vAlign w:val="center"/>
          </w:tcPr>
          <w:p w14:paraId="264600E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bl>
    <w:p w14:paraId="66D24341">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512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3"/>
        <w:gridCol w:w="5791"/>
        <w:gridCol w:w="1529"/>
      </w:tblGrid>
      <w:tr w14:paraId="72AB5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8737" w:type="dxa"/>
            <w:gridSpan w:val="3"/>
            <w:noWrap w:val="0"/>
            <w:vAlign w:val="top"/>
          </w:tcPr>
          <w:p w14:paraId="068F276D">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（八）固体废物污染防治类</w:t>
            </w:r>
          </w:p>
        </w:tc>
      </w:tr>
      <w:tr w14:paraId="79172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1765" w:type="dxa"/>
            <w:noWrap w:val="0"/>
            <w:vAlign w:val="center"/>
          </w:tcPr>
          <w:p w14:paraId="117C5EC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972" w:type="dxa"/>
            <w:gridSpan w:val="2"/>
            <w:noWrap w:val="0"/>
            <w:vAlign w:val="top"/>
          </w:tcPr>
          <w:p w14:paraId="7CB309C5">
            <w:pPr>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1</w:t>
            </w:r>
          </w:p>
        </w:tc>
      </w:tr>
      <w:tr w14:paraId="58F33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1765" w:type="dxa"/>
            <w:noWrap w:val="0"/>
            <w:vAlign w:val="center"/>
          </w:tcPr>
          <w:p w14:paraId="5831C64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6972" w:type="dxa"/>
            <w:gridSpan w:val="2"/>
            <w:noWrap w:val="0"/>
            <w:vAlign w:val="top"/>
          </w:tcPr>
          <w:p w14:paraId="1D2CD2A4">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未按照规定设置危险废物识别标志的</w:t>
            </w:r>
          </w:p>
        </w:tc>
      </w:tr>
      <w:tr w14:paraId="798B3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8" w:hRule="atLeast"/>
          <w:jc w:val="center"/>
        </w:trPr>
        <w:tc>
          <w:tcPr>
            <w:tcW w:w="1765" w:type="dxa"/>
            <w:noWrap w:val="0"/>
            <w:vAlign w:val="center"/>
          </w:tcPr>
          <w:p w14:paraId="1EB0F16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6972" w:type="dxa"/>
            <w:gridSpan w:val="2"/>
            <w:noWrap w:val="0"/>
            <w:vAlign w:val="center"/>
          </w:tcPr>
          <w:p w14:paraId="6FD5B83D">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《中华人民共和国生态环境法典》第五百三十一条  对危险废物的容器和包装物以及收集、贮存、运输、利用、处置危险废物的设施、场所，应当按照规定设置危险废物识别标志。</w:t>
            </w:r>
          </w:p>
        </w:tc>
      </w:tr>
      <w:tr w14:paraId="24C0E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1" w:hRule="atLeast"/>
          <w:jc w:val="center"/>
        </w:trPr>
        <w:tc>
          <w:tcPr>
            <w:tcW w:w="1765" w:type="dxa"/>
            <w:noWrap w:val="0"/>
            <w:vAlign w:val="center"/>
          </w:tcPr>
          <w:p w14:paraId="26E6A05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6972" w:type="dxa"/>
            <w:gridSpan w:val="2"/>
            <w:noWrap w:val="0"/>
            <w:vAlign w:val="center"/>
          </w:tcPr>
          <w:p w14:paraId="0387E692">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《中华人民共和国生态环境法典》第一千一百七十五条</w:t>
            </w:r>
            <w:r>
              <w:rPr>
                <w:rFonts w:hint="eastAsia" w:ascii="宋体" w:hAnsi="宋体" w:eastAsia="宋体" w:cs="宋体"/>
                <w:color w:val="auto"/>
                <w:sz w:val="21"/>
                <w:szCs w:val="21"/>
                <w:highlight w:val="none"/>
                <w:lang w:eastAsia="zh-CN"/>
              </w:rPr>
              <w:t>第一款第一项、第二款</w:t>
            </w:r>
            <w:r>
              <w:rPr>
                <w:rFonts w:hint="eastAsia" w:ascii="宋体" w:hAnsi="宋体" w:eastAsia="宋体" w:cs="宋体"/>
                <w:color w:val="auto"/>
                <w:sz w:val="21"/>
                <w:szCs w:val="21"/>
                <w:highlight w:val="none"/>
              </w:rPr>
              <w:t xml:space="preserve">  违反本法规定，有下列情形之一的，由生态环境主管部门责令改正，没收违法所得，并处以罚款</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w:t>
            </w:r>
          </w:p>
          <w:p w14:paraId="13920DE7">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（一）未设置危险废物识别标志；</w:t>
            </w:r>
          </w:p>
          <w:p w14:paraId="758A4AA4">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有前款第一项、第二项、第三项、第四项、第六项、第七项、第九项、第十项、第十一项情形之一的，处五万元以上二十万元以下的罚款，拒不改正的，处二十万元以上一百万元以下的罚款；有前款第五项、第八项情形之一的，处二十万元以上二百万元以下的罚款。</w:t>
            </w:r>
          </w:p>
        </w:tc>
      </w:tr>
      <w:tr w14:paraId="64F29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1765" w:type="dxa"/>
            <w:noWrap w:val="0"/>
            <w:vAlign w:val="center"/>
          </w:tcPr>
          <w:p w14:paraId="54F7013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516" w:type="dxa"/>
            <w:noWrap w:val="0"/>
            <w:vAlign w:val="top"/>
          </w:tcPr>
          <w:p w14:paraId="76CBADD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456" w:type="dxa"/>
            <w:noWrap w:val="0"/>
            <w:vAlign w:val="top"/>
          </w:tcPr>
          <w:p w14:paraId="69E104B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6FF2E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 w:hRule="atLeast"/>
          <w:jc w:val="center"/>
        </w:trPr>
        <w:tc>
          <w:tcPr>
            <w:tcW w:w="1765" w:type="dxa"/>
            <w:vMerge w:val="restart"/>
            <w:noWrap w:val="0"/>
            <w:vAlign w:val="center"/>
          </w:tcPr>
          <w:p w14:paraId="7A94AE62">
            <w:pPr>
              <w:jc w:val="center"/>
              <w:rPr>
                <w:rFonts w:hint="eastAsia" w:ascii="宋体" w:hAnsi="宋体" w:eastAsia="宋体" w:cs="宋体"/>
                <w:color w:val="auto"/>
                <w:sz w:val="21"/>
                <w:szCs w:val="21"/>
                <w:highlight w:val="none"/>
              </w:rPr>
            </w:pPr>
            <w:bookmarkStart w:id="21" w:name="_Hlk56088481"/>
            <w:r>
              <w:rPr>
                <w:rFonts w:hint="eastAsia" w:ascii="宋体" w:hAnsi="宋体" w:eastAsia="宋体" w:cs="宋体"/>
                <w:color w:val="auto"/>
                <w:sz w:val="21"/>
                <w:szCs w:val="21"/>
                <w:highlight w:val="none"/>
              </w:rPr>
              <w:t>标识数</w:t>
            </w:r>
          </w:p>
        </w:tc>
        <w:tc>
          <w:tcPr>
            <w:tcW w:w="5516" w:type="dxa"/>
            <w:noWrap w:val="0"/>
            <w:vAlign w:val="top"/>
          </w:tcPr>
          <w:p w14:paraId="40957431">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不足5个</w:t>
            </w:r>
          </w:p>
        </w:tc>
        <w:tc>
          <w:tcPr>
            <w:tcW w:w="1456" w:type="dxa"/>
            <w:noWrap w:val="0"/>
            <w:vAlign w:val="center"/>
          </w:tcPr>
          <w:p w14:paraId="720501D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2C963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 w:hRule="atLeast"/>
          <w:jc w:val="center"/>
        </w:trPr>
        <w:tc>
          <w:tcPr>
            <w:tcW w:w="1765" w:type="dxa"/>
            <w:vMerge w:val="continue"/>
            <w:noWrap w:val="0"/>
            <w:vAlign w:val="center"/>
          </w:tcPr>
          <w:p w14:paraId="065CB4D6">
            <w:pPr>
              <w:jc w:val="center"/>
              <w:rPr>
                <w:rFonts w:hint="eastAsia" w:ascii="宋体" w:hAnsi="宋体" w:eastAsia="宋体" w:cs="宋体"/>
                <w:color w:val="auto"/>
                <w:sz w:val="21"/>
                <w:szCs w:val="21"/>
                <w:highlight w:val="none"/>
              </w:rPr>
            </w:pPr>
          </w:p>
        </w:tc>
        <w:tc>
          <w:tcPr>
            <w:tcW w:w="5516" w:type="dxa"/>
            <w:noWrap w:val="0"/>
            <w:vAlign w:val="top"/>
          </w:tcPr>
          <w:p w14:paraId="5548F8AA">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5个以上，不足10个</w:t>
            </w:r>
          </w:p>
        </w:tc>
        <w:tc>
          <w:tcPr>
            <w:tcW w:w="1456" w:type="dxa"/>
            <w:noWrap w:val="0"/>
            <w:vAlign w:val="center"/>
          </w:tcPr>
          <w:p w14:paraId="308B211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01C02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 w:hRule="atLeast"/>
          <w:jc w:val="center"/>
        </w:trPr>
        <w:tc>
          <w:tcPr>
            <w:tcW w:w="1765" w:type="dxa"/>
            <w:vMerge w:val="continue"/>
            <w:noWrap w:val="0"/>
            <w:vAlign w:val="center"/>
          </w:tcPr>
          <w:p w14:paraId="0FE97908">
            <w:pPr>
              <w:jc w:val="center"/>
              <w:rPr>
                <w:rFonts w:hint="eastAsia" w:ascii="宋体" w:hAnsi="宋体" w:eastAsia="宋体" w:cs="宋体"/>
                <w:color w:val="auto"/>
                <w:sz w:val="21"/>
                <w:szCs w:val="21"/>
                <w:highlight w:val="none"/>
              </w:rPr>
            </w:pPr>
          </w:p>
        </w:tc>
        <w:tc>
          <w:tcPr>
            <w:tcW w:w="5516" w:type="dxa"/>
            <w:noWrap w:val="0"/>
            <w:vAlign w:val="top"/>
          </w:tcPr>
          <w:p w14:paraId="5A3E7942">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10个以上</w:t>
            </w:r>
          </w:p>
        </w:tc>
        <w:tc>
          <w:tcPr>
            <w:tcW w:w="1456" w:type="dxa"/>
            <w:noWrap w:val="0"/>
            <w:vAlign w:val="center"/>
          </w:tcPr>
          <w:p w14:paraId="15CB718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41F66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765" w:type="dxa"/>
            <w:vMerge w:val="restart"/>
            <w:noWrap w:val="0"/>
            <w:vAlign w:val="center"/>
          </w:tcPr>
          <w:p w14:paraId="6502851E">
            <w:pPr>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涉及未设置识别标志的</w:t>
            </w:r>
            <w:r>
              <w:rPr>
                <w:rFonts w:hint="eastAsia" w:ascii="宋体" w:hAnsi="宋体" w:eastAsia="宋体" w:cs="宋体"/>
                <w:color w:val="auto"/>
                <w:sz w:val="21"/>
                <w:szCs w:val="21"/>
                <w:highlight w:val="none"/>
              </w:rPr>
              <w:t>危险废物数量</w:t>
            </w:r>
          </w:p>
        </w:tc>
        <w:tc>
          <w:tcPr>
            <w:tcW w:w="5516" w:type="dxa"/>
            <w:noWrap w:val="0"/>
            <w:vAlign w:val="top"/>
          </w:tcPr>
          <w:p w14:paraId="0CF8C2E8">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不足1吨</w:t>
            </w:r>
          </w:p>
        </w:tc>
        <w:tc>
          <w:tcPr>
            <w:tcW w:w="1456" w:type="dxa"/>
            <w:noWrap w:val="0"/>
            <w:vAlign w:val="center"/>
          </w:tcPr>
          <w:p w14:paraId="61C177D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0A380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765" w:type="dxa"/>
            <w:vMerge w:val="continue"/>
            <w:noWrap w:val="0"/>
            <w:vAlign w:val="center"/>
          </w:tcPr>
          <w:p w14:paraId="5C8B81BC">
            <w:pPr>
              <w:jc w:val="center"/>
              <w:rPr>
                <w:rFonts w:hint="eastAsia" w:ascii="宋体" w:hAnsi="宋体" w:eastAsia="宋体" w:cs="宋体"/>
                <w:color w:val="auto"/>
                <w:sz w:val="21"/>
                <w:szCs w:val="21"/>
                <w:highlight w:val="none"/>
              </w:rPr>
            </w:pPr>
          </w:p>
        </w:tc>
        <w:tc>
          <w:tcPr>
            <w:tcW w:w="5516" w:type="dxa"/>
            <w:noWrap w:val="0"/>
            <w:vAlign w:val="top"/>
          </w:tcPr>
          <w:p w14:paraId="1B78CD4E">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1吨以上不足3吨</w:t>
            </w:r>
          </w:p>
        </w:tc>
        <w:tc>
          <w:tcPr>
            <w:tcW w:w="1456" w:type="dxa"/>
            <w:noWrap w:val="0"/>
            <w:vAlign w:val="center"/>
          </w:tcPr>
          <w:p w14:paraId="63144E5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046F9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765" w:type="dxa"/>
            <w:vMerge w:val="continue"/>
            <w:noWrap w:val="0"/>
            <w:vAlign w:val="center"/>
          </w:tcPr>
          <w:p w14:paraId="2545C8A8">
            <w:pPr>
              <w:jc w:val="center"/>
              <w:rPr>
                <w:rFonts w:hint="eastAsia" w:ascii="宋体" w:hAnsi="宋体" w:eastAsia="宋体" w:cs="宋体"/>
                <w:color w:val="auto"/>
                <w:sz w:val="21"/>
                <w:szCs w:val="21"/>
                <w:highlight w:val="none"/>
              </w:rPr>
            </w:pPr>
          </w:p>
        </w:tc>
        <w:tc>
          <w:tcPr>
            <w:tcW w:w="5516" w:type="dxa"/>
            <w:noWrap w:val="0"/>
            <w:vAlign w:val="top"/>
          </w:tcPr>
          <w:p w14:paraId="63A056E1">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3吨以上</w:t>
            </w:r>
          </w:p>
        </w:tc>
        <w:tc>
          <w:tcPr>
            <w:tcW w:w="1456" w:type="dxa"/>
            <w:noWrap w:val="0"/>
            <w:vAlign w:val="center"/>
          </w:tcPr>
          <w:p w14:paraId="100EAA3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1C9CE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jc w:val="center"/>
        </w:trPr>
        <w:tc>
          <w:tcPr>
            <w:tcW w:w="1765" w:type="dxa"/>
            <w:vMerge w:val="restart"/>
            <w:noWrap w:val="0"/>
            <w:vAlign w:val="center"/>
          </w:tcPr>
          <w:p w14:paraId="0D5D07F2">
            <w:pPr>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涉及未设置识别标志的</w:t>
            </w:r>
            <w:r>
              <w:rPr>
                <w:rFonts w:hint="eastAsia" w:ascii="宋体" w:hAnsi="宋体" w:eastAsia="宋体" w:cs="宋体"/>
                <w:color w:val="auto"/>
                <w:sz w:val="21"/>
                <w:szCs w:val="21"/>
                <w:highlight w:val="none"/>
              </w:rPr>
              <w:t>危险废物种类</w:t>
            </w:r>
          </w:p>
        </w:tc>
        <w:tc>
          <w:tcPr>
            <w:tcW w:w="5516" w:type="dxa"/>
            <w:noWrap w:val="0"/>
            <w:vAlign w:val="top"/>
          </w:tcPr>
          <w:p w14:paraId="20EE3C7D">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不足3种</w:t>
            </w:r>
          </w:p>
        </w:tc>
        <w:tc>
          <w:tcPr>
            <w:tcW w:w="1456" w:type="dxa"/>
            <w:noWrap w:val="0"/>
            <w:vAlign w:val="center"/>
          </w:tcPr>
          <w:p w14:paraId="7450857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2B67B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1765" w:type="dxa"/>
            <w:vMerge w:val="continue"/>
            <w:noWrap w:val="0"/>
            <w:vAlign w:val="center"/>
          </w:tcPr>
          <w:p w14:paraId="48C1F0FA">
            <w:pPr>
              <w:jc w:val="center"/>
              <w:rPr>
                <w:rFonts w:hint="eastAsia" w:ascii="宋体" w:hAnsi="宋体" w:eastAsia="宋体" w:cs="宋体"/>
                <w:color w:val="auto"/>
                <w:sz w:val="21"/>
                <w:szCs w:val="21"/>
                <w:highlight w:val="none"/>
              </w:rPr>
            </w:pPr>
          </w:p>
        </w:tc>
        <w:tc>
          <w:tcPr>
            <w:tcW w:w="5516" w:type="dxa"/>
            <w:noWrap w:val="0"/>
            <w:vAlign w:val="top"/>
          </w:tcPr>
          <w:p w14:paraId="702FB228">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3种以上，不足5种</w:t>
            </w:r>
          </w:p>
        </w:tc>
        <w:tc>
          <w:tcPr>
            <w:tcW w:w="1456" w:type="dxa"/>
            <w:noWrap w:val="0"/>
            <w:vAlign w:val="center"/>
          </w:tcPr>
          <w:p w14:paraId="46BD2D1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7EC8C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 w:hRule="atLeast"/>
          <w:jc w:val="center"/>
        </w:trPr>
        <w:tc>
          <w:tcPr>
            <w:tcW w:w="1765" w:type="dxa"/>
            <w:vMerge w:val="continue"/>
            <w:noWrap w:val="0"/>
            <w:vAlign w:val="center"/>
          </w:tcPr>
          <w:p w14:paraId="2A9D6618">
            <w:pPr>
              <w:jc w:val="center"/>
              <w:rPr>
                <w:rFonts w:hint="eastAsia" w:ascii="宋体" w:hAnsi="宋体" w:eastAsia="宋体" w:cs="宋体"/>
                <w:color w:val="auto"/>
                <w:sz w:val="21"/>
                <w:szCs w:val="21"/>
                <w:highlight w:val="none"/>
              </w:rPr>
            </w:pPr>
          </w:p>
        </w:tc>
        <w:tc>
          <w:tcPr>
            <w:tcW w:w="5516" w:type="dxa"/>
            <w:noWrap w:val="0"/>
            <w:vAlign w:val="top"/>
          </w:tcPr>
          <w:p w14:paraId="0B0B163F">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5种以上</w:t>
            </w:r>
          </w:p>
        </w:tc>
        <w:tc>
          <w:tcPr>
            <w:tcW w:w="1456" w:type="dxa"/>
            <w:noWrap w:val="0"/>
            <w:vAlign w:val="center"/>
          </w:tcPr>
          <w:p w14:paraId="378118A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bookmarkEnd w:id="21"/>
          </w:p>
        </w:tc>
      </w:tr>
    </w:tbl>
    <w:p w14:paraId="630016A8">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p w14:paraId="1A5DD41C">
      <w:pPr>
        <w:rPr>
          <w:rFonts w:hint="eastAsia" w:ascii="宋体" w:hAnsi="宋体" w:eastAsia="宋体" w:cs="宋体"/>
          <w:sz w:val="21"/>
          <w:szCs w:val="21"/>
          <w:highlight w:val="none"/>
        </w:rPr>
      </w:pPr>
    </w:p>
    <w:tbl>
      <w:tblPr>
        <w:tblStyle w:val="8"/>
        <w:tblW w:w="50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77"/>
        <w:gridCol w:w="6078"/>
        <w:gridCol w:w="1365"/>
      </w:tblGrid>
      <w:tr w14:paraId="54C1F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86" w:type="dxa"/>
            <w:gridSpan w:val="3"/>
            <w:noWrap w:val="0"/>
            <w:vAlign w:val="top"/>
          </w:tcPr>
          <w:p w14:paraId="7839BA4A">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（八）固体废物污染防治类</w:t>
            </w:r>
          </w:p>
        </w:tc>
      </w:tr>
      <w:tr w14:paraId="4C0E7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7" w:type="dxa"/>
            <w:noWrap w:val="0"/>
            <w:vAlign w:val="center"/>
          </w:tcPr>
          <w:p w14:paraId="5A9751D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7089" w:type="dxa"/>
            <w:gridSpan w:val="2"/>
            <w:noWrap w:val="0"/>
            <w:vAlign w:val="top"/>
          </w:tcPr>
          <w:p w14:paraId="023EC3AF">
            <w:pPr>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2</w:t>
            </w:r>
          </w:p>
        </w:tc>
      </w:tr>
      <w:tr w14:paraId="30B3E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7" w:type="dxa"/>
            <w:noWrap w:val="0"/>
            <w:vAlign w:val="center"/>
          </w:tcPr>
          <w:p w14:paraId="7BFCCBE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7089" w:type="dxa"/>
            <w:gridSpan w:val="2"/>
            <w:noWrap w:val="0"/>
            <w:vAlign w:val="center"/>
          </w:tcPr>
          <w:p w14:paraId="3B9094C4">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未制定危险废物管理计划，或者未申报危险废物有关资料的</w:t>
            </w:r>
          </w:p>
        </w:tc>
      </w:tr>
      <w:tr w14:paraId="475AD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6" w:hRule="atLeast"/>
          <w:jc w:val="center"/>
        </w:trPr>
        <w:tc>
          <w:tcPr>
            <w:tcW w:w="1597" w:type="dxa"/>
            <w:noWrap w:val="0"/>
            <w:vAlign w:val="center"/>
          </w:tcPr>
          <w:p w14:paraId="269A995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7089" w:type="dxa"/>
            <w:gridSpan w:val="2"/>
            <w:noWrap w:val="0"/>
            <w:vAlign w:val="center"/>
          </w:tcPr>
          <w:p w14:paraId="46CB9050">
            <w:pPr>
              <w:adjustRightInd w:val="0"/>
              <w:ind w:firstLine="428"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《中华人民共和国</w:t>
            </w:r>
            <w:r>
              <w:rPr>
                <w:rFonts w:hint="eastAsia" w:ascii="宋体" w:hAnsi="宋体" w:eastAsia="宋体" w:cs="宋体"/>
                <w:color w:val="auto"/>
                <w:spacing w:val="2"/>
                <w:sz w:val="21"/>
                <w:szCs w:val="21"/>
                <w:highlight w:val="none"/>
                <w:lang w:val="en-US" w:eastAsia="zh-CN"/>
              </w:rPr>
              <w:t>生态环境法典</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z w:val="21"/>
                <w:szCs w:val="21"/>
                <w:highlight w:val="none"/>
              </w:rPr>
              <w:t>第五百三十二条</w:t>
            </w:r>
            <w:r>
              <w:rPr>
                <w:rFonts w:hint="eastAsia" w:ascii="宋体" w:hAnsi="宋体" w:eastAsia="宋体" w:cs="宋体"/>
                <w:color w:val="auto"/>
                <w:sz w:val="21"/>
                <w:szCs w:val="21"/>
                <w:highlight w:val="none"/>
                <w:lang w:eastAsia="zh-CN"/>
              </w:rPr>
              <w:t>第一款、第二款</w:t>
            </w:r>
            <w:r>
              <w:rPr>
                <w:rFonts w:hint="eastAsia" w:ascii="宋体" w:hAnsi="宋体" w:eastAsia="宋体" w:cs="宋体"/>
                <w:color w:val="auto"/>
                <w:sz w:val="21"/>
                <w:szCs w:val="21"/>
                <w:highlight w:val="none"/>
              </w:rPr>
              <w:t xml:space="preserve"> 产生危险废物的单位，应当按照国家规定制定危险废物管理计划；建立危险废物管理台账，如实记录有关信息，并通过国家危险废物信息管理系统向所在地生态环境主管部门申报危险废物的种类、产生量、流向、贮存、利用、处置等有关资料。</w:t>
            </w:r>
          </w:p>
          <w:p w14:paraId="3C0FB056">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前款所称危险废物管理计划应当包括减少危险废物产生量和降低危险废物危害性的措施以及危险废物贮存、利用、处置措施。危险废物管理计划应当报产生危险废物的单位所在地生态环境主管部门备案。</w:t>
            </w:r>
          </w:p>
          <w:p w14:paraId="60BAB049">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《福建省固体废物污染环境防治条例》第二十九条</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产生危险废物的单位应当按照生态环境主管部门的分类管理要求依托固体废物污染环境防治信息平台，制定并报备危险废物管理计划，建立危险废物管理台账，如实申报危险废物种类、产生量、流向、贮存、利用、处置等有关资料。</w:t>
            </w:r>
          </w:p>
        </w:tc>
      </w:tr>
      <w:tr w14:paraId="2E839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0" w:hRule="atLeast"/>
          <w:jc w:val="center"/>
        </w:trPr>
        <w:tc>
          <w:tcPr>
            <w:tcW w:w="1597" w:type="dxa"/>
            <w:noWrap w:val="0"/>
            <w:vAlign w:val="center"/>
          </w:tcPr>
          <w:p w14:paraId="64AE846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7089" w:type="dxa"/>
            <w:gridSpan w:val="2"/>
            <w:noWrap w:val="0"/>
            <w:vAlign w:val="center"/>
          </w:tcPr>
          <w:p w14:paraId="2935DF7D">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《中华人民共和国生态环境法典》第一千一百七十五条</w:t>
            </w:r>
            <w:r>
              <w:rPr>
                <w:rFonts w:hint="eastAsia" w:ascii="宋体" w:hAnsi="宋体" w:eastAsia="宋体" w:cs="宋体"/>
                <w:color w:val="auto"/>
                <w:sz w:val="21"/>
                <w:szCs w:val="21"/>
                <w:highlight w:val="none"/>
                <w:lang w:eastAsia="zh-CN"/>
              </w:rPr>
              <w:t>第一款第二项、第二款</w:t>
            </w:r>
            <w:r>
              <w:rPr>
                <w:rFonts w:hint="eastAsia" w:ascii="宋体" w:hAnsi="宋体" w:eastAsia="宋体" w:cs="宋体"/>
                <w:color w:val="auto"/>
                <w:sz w:val="21"/>
                <w:szCs w:val="21"/>
                <w:highlight w:val="none"/>
              </w:rPr>
              <w:t xml:space="preserve">  违反本法规定，有下列情形之一的，由生态环境主管部门责令改正，没收违法所得，并处以罚款</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w:t>
            </w:r>
          </w:p>
          <w:p w14:paraId="7CE4DECB">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（二）未制定危险废物管理计划，或者未申报危险废物有关资料；</w:t>
            </w:r>
          </w:p>
          <w:p w14:paraId="5AD2BB18">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有前款第一项、第二项、第三项、第四项、第六项、第七项、第九项、第十项、第十一项情形之一的，处五万元以上二十万元以下的罚款，拒不改正的，处二十万元以上一百万元以下的罚款；有前款第五项、第八项情形之一的，处二十万元以上二百万元以下的罚款。</w:t>
            </w:r>
          </w:p>
          <w:p w14:paraId="40721B92">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《福建省固体废物污染环境防治条例》第六十四条第一项</w:t>
            </w:r>
            <w:r>
              <w:rPr>
                <w:rFonts w:hint="eastAsia" w:ascii="宋体" w:hAnsi="宋体" w:eastAsia="宋体" w:cs="宋体"/>
                <w:color w:val="auto"/>
                <w:sz w:val="21"/>
                <w:szCs w:val="21"/>
                <w:highlight w:val="none"/>
                <w:lang w:val="en-US" w:eastAsia="zh-CN"/>
              </w:rPr>
              <w:t xml:space="preserve"> </w:t>
            </w:r>
            <w:r>
              <w:rPr>
                <w:rFonts w:hint="eastAsia" w:ascii="宋体" w:hAnsi="宋体" w:cs="宋体"/>
                <w:color w:val="auto"/>
                <w:szCs w:val="21"/>
                <w:highlight w:val="none"/>
              </w:rPr>
              <w:t>违反本条例第二十九条、第三十三条第二款规定，有下列行为之一的，由省、设区的市人民政府生态环境主管部门或其派出机构责令改正，没收违法所得，处五万元以上二十万元以下罚款；拒不改正的，处二十万元以上一百万元以下罚款；……：</w:t>
            </w:r>
          </w:p>
          <w:p w14:paraId="5A23E036">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（一）产生危险废物的单位未按照要求依托固体废物污染环境防治信息平台制定危险废物管理计划的；</w:t>
            </w:r>
          </w:p>
        </w:tc>
      </w:tr>
      <w:tr w14:paraId="2C31E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7" w:type="dxa"/>
            <w:noWrap w:val="0"/>
            <w:vAlign w:val="center"/>
          </w:tcPr>
          <w:p w14:paraId="21C12DB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789" w:type="dxa"/>
            <w:noWrap w:val="0"/>
            <w:vAlign w:val="top"/>
          </w:tcPr>
          <w:p w14:paraId="566F215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300" w:type="dxa"/>
            <w:noWrap w:val="0"/>
            <w:vAlign w:val="top"/>
          </w:tcPr>
          <w:p w14:paraId="176499B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16273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7" w:type="dxa"/>
            <w:vMerge w:val="restart"/>
            <w:noWrap w:val="0"/>
            <w:vAlign w:val="center"/>
          </w:tcPr>
          <w:p w14:paraId="41CD7437">
            <w:pPr>
              <w:pStyle w:val="11"/>
              <w:keepNext w:val="0"/>
              <w:keepLines w:val="0"/>
              <w:pageBreakBefore w:val="0"/>
              <w:widowControl w:val="0"/>
              <w:shd w:val="clear" w:color="auto" w:fill="auto"/>
              <w:kinsoku/>
              <w:wordWrap/>
              <w:overflowPunct/>
              <w:topLinePunct w:val="0"/>
              <w:autoSpaceDE w:val="0"/>
              <w:autoSpaceDN w:val="0"/>
              <w:bidi w:val="0"/>
              <w:adjustRightInd w:val="0"/>
              <w:snapToGrid w:val="0"/>
              <w:ind w:left="0" w:right="0" w:rightChars="0" w:firstLine="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危险废物上一年产生量</w:t>
            </w:r>
          </w:p>
        </w:tc>
        <w:tc>
          <w:tcPr>
            <w:tcW w:w="5789" w:type="dxa"/>
            <w:noWrap w:val="0"/>
            <w:vAlign w:val="center"/>
          </w:tcPr>
          <w:p w14:paraId="074CE2FF">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420" w:firstLineChars="200"/>
              <w:jc w:val="both"/>
              <w:textAlignment w:val="baseline"/>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不足10吨</w:t>
            </w:r>
          </w:p>
        </w:tc>
        <w:tc>
          <w:tcPr>
            <w:tcW w:w="1300" w:type="dxa"/>
            <w:noWrap w:val="0"/>
            <w:vAlign w:val="center"/>
          </w:tcPr>
          <w:p w14:paraId="2A2ECCD3">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73B97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7" w:type="dxa"/>
            <w:vMerge w:val="continue"/>
            <w:noWrap w:val="0"/>
            <w:vAlign w:val="center"/>
          </w:tcPr>
          <w:p w14:paraId="59AF2C06">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p>
        </w:tc>
        <w:tc>
          <w:tcPr>
            <w:tcW w:w="5789" w:type="dxa"/>
            <w:noWrap w:val="0"/>
            <w:vAlign w:val="center"/>
          </w:tcPr>
          <w:p w14:paraId="68F89FCE">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420" w:firstLineChars="200"/>
              <w:jc w:val="both"/>
              <w:textAlignment w:val="baseline"/>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10吨以上不足30吨</w:t>
            </w:r>
          </w:p>
        </w:tc>
        <w:tc>
          <w:tcPr>
            <w:tcW w:w="1300" w:type="dxa"/>
            <w:noWrap w:val="0"/>
            <w:vAlign w:val="center"/>
          </w:tcPr>
          <w:p w14:paraId="1C17FBB8">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r>
      <w:tr w14:paraId="3577B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7" w:type="dxa"/>
            <w:vMerge w:val="continue"/>
            <w:noWrap w:val="0"/>
            <w:vAlign w:val="center"/>
          </w:tcPr>
          <w:p w14:paraId="0D5ECE65">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p>
        </w:tc>
        <w:tc>
          <w:tcPr>
            <w:tcW w:w="5789" w:type="dxa"/>
            <w:noWrap w:val="0"/>
            <w:vAlign w:val="center"/>
          </w:tcPr>
          <w:p w14:paraId="26964C16">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420" w:firstLineChars="200"/>
              <w:jc w:val="both"/>
              <w:textAlignment w:val="baseline"/>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30吨以上不足50吨</w:t>
            </w:r>
          </w:p>
        </w:tc>
        <w:tc>
          <w:tcPr>
            <w:tcW w:w="1300" w:type="dxa"/>
            <w:noWrap w:val="0"/>
            <w:vAlign w:val="center"/>
          </w:tcPr>
          <w:p w14:paraId="0307995C">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1EA4C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7" w:type="dxa"/>
            <w:vMerge w:val="continue"/>
            <w:noWrap w:val="0"/>
            <w:vAlign w:val="center"/>
          </w:tcPr>
          <w:p w14:paraId="1F7C5726">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p>
        </w:tc>
        <w:tc>
          <w:tcPr>
            <w:tcW w:w="5789" w:type="dxa"/>
            <w:noWrap w:val="0"/>
            <w:vAlign w:val="center"/>
          </w:tcPr>
          <w:p w14:paraId="5B9BEEED">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420" w:firstLineChars="200"/>
              <w:jc w:val="both"/>
              <w:textAlignment w:val="baseline"/>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50吨以上不足100吨</w:t>
            </w:r>
          </w:p>
        </w:tc>
        <w:tc>
          <w:tcPr>
            <w:tcW w:w="1300" w:type="dxa"/>
            <w:noWrap w:val="0"/>
            <w:vAlign w:val="center"/>
          </w:tcPr>
          <w:p w14:paraId="0D7457C3">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4</w:t>
            </w:r>
          </w:p>
        </w:tc>
      </w:tr>
      <w:tr w14:paraId="077BD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97" w:type="dxa"/>
            <w:vMerge w:val="continue"/>
            <w:noWrap w:val="0"/>
            <w:vAlign w:val="center"/>
          </w:tcPr>
          <w:p w14:paraId="706C22B8">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p>
        </w:tc>
        <w:tc>
          <w:tcPr>
            <w:tcW w:w="5789" w:type="dxa"/>
            <w:noWrap w:val="0"/>
            <w:vAlign w:val="center"/>
          </w:tcPr>
          <w:p w14:paraId="35B065B5">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420" w:firstLineChars="200"/>
              <w:jc w:val="both"/>
              <w:textAlignment w:val="baseline"/>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100吨以上</w:t>
            </w:r>
          </w:p>
        </w:tc>
        <w:tc>
          <w:tcPr>
            <w:tcW w:w="1300" w:type="dxa"/>
            <w:noWrap w:val="0"/>
            <w:vAlign w:val="center"/>
          </w:tcPr>
          <w:p w14:paraId="15AE45C1">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bl>
    <w:p w14:paraId="05F7F624">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516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8"/>
        <w:gridCol w:w="5686"/>
        <w:gridCol w:w="1692"/>
      </w:tblGrid>
      <w:tr w14:paraId="2B2DC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8798" w:type="dxa"/>
            <w:gridSpan w:val="3"/>
            <w:noWrap w:val="0"/>
            <w:vAlign w:val="top"/>
          </w:tcPr>
          <w:p w14:paraId="347BC81D">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（八）固体废物污染防治类</w:t>
            </w:r>
          </w:p>
        </w:tc>
      </w:tr>
      <w:tr w14:paraId="1C34B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1770" w:type="dxa"/>
            <w:noWrap w:val="0"/>
            <w:vAlign w:val="center"/>
          </w:tcPr>
          <w:p w14:paraId="7DA8EA6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7028" w:type="dxa"/>
            <w:gridSpan w:val="2"/>
            <w:noWrap w:val="0"/>
            <w:vAlign w:val="top"/>
          </w:tcPr>
          <w:p w14:paraId="52DF75E3">
            <w:pPr>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3</w:t>
            </w:r>
          </w:p>
        </w:tc>
      </w:tr>
      <w:tr w14:paraId="4E682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1770" w:type="dxa"/>
            <w:noWrap w:val="0"/>
            <w:vAlign w:val="center"/>
          </w:tcPr>
          <w:p w14:paraId="634AE69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7028" w:type="dxa"/>
            <w:gridSpan w:val="2"/>
            <w:noWrap w:val="0"/>
            <w:vAlign w:val="top"/>
          </w:tcPr>
          <w:p w14:paraId="5E03ECBF">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未建立危险废物管理台账并如实记录的</w:t>
            </w:r>
          </w:p>
        </w:tc>
      </w:tr>
      <w:tr w14:paraId="1B6F2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770" w:type="dxa"/>
            <w:noWrap w:val="0"/>
            <w:vAlign w:val="center"/>
          </w:tcPr>
          <w:p w14:paraId="24182ED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7028" w:type="dxa"/>
            <w:gridSpan w:val="2"/>
            <w:noWrap w:val="0"/>
            <w:vAlign w:val="center"/>
          </w:tcPr>
          <w:p w14:paraId="71085EA8">
            <w:pPr>
              <w:pStyle w:val="12"/>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《中华人民共和国生态环境法典》第五百三十二条第一款  产生危险废物的单位，应当按照国家规定制定危险废物管理计划；建立危险废物管理台账，如实记录有关信息，并通过国家危险废物信息管理系统向所在地生态环境主管部门申报危险废物的种类、产生量、流向、贮存、利用、处置等有关资料。</w:t>
            </w:r>
          </w:p>
          <w:p w14:paraId="6D055D35">
            <w:pPr>
              <w:pStyle w:val="12"/>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《福建省固体废物污染环境防治条例》第二十九条 产生危险废物的单位应当按照生态环境主管部门的分类管理要求依托固体废物污染环境防治信息平台，制定并报备危险废物管理计划，建立危险废物管理台账，如实申报危险废物种类、产生量、流向、贮存、利用、处置等有关资料。</w:t>
            </w:r>
          </w:p>
        </w:tc>
      </w:tr>
      <w:tr w14:paraId="196F4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1770" w:type="dxa"/>
            <w:noWrap w:val="0"/>
            <w:vAlign w:val="center"/>
          </w:tcPr>
          <w:p w14:paraId="2C9DAA7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7028" w:type="dxa"/>
            <w:gridSpan w:val="2"/>
            <w:noWrap w:val="0"/>
            <w:vAlign w:val="center"/>
          </w:tcPr>
          <w:p w14:paraId="51FA7CA2">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《中华人民共和国生态环境法典》第一千一百七十五条  违反本法规定，有下列情形之一的，由生态环境主管部门责令改正，没收违法所得，并处以罚款</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w:t>
            </w:r>
          </w:p>
          <w:p w14:paraId="7D72E9F9">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（三）未建立危险废物管理台账并如实记录；</w:t>
            </w:r>
          </w:p>
          <w:p w14:paraId="6599FC20">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有前款第一项、第二项、第三项、第四项、第六项、第七项、第九项、第十项、第十一项情形之一的，处五万元以上二十万元以下的罚款，拒不改正的，处二十万元以上一百万元以下的罚款；有前款第五项、第八项情形之一的，处二十万元以上二百万元以下的罚款。</w:t>
            </w:r>
          </w:p>
          <w:p w14:paraId="16DBCAAA">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《福建省固体废物污染环境防治条例》第六十四条第二项</w:t>
            </w:r>
            <w:r>
              <w:rPr>
                <w:rFonts w:hint="eastAsia" w:ascii="宋体" w:hAnsi="宋体" w:cs="宋体"/>
                <w:color w:val="auto"/>
                <w:sz w:val="21"/>
                <w:szCs w:val="21"/>
                <w:highlight w:val="none"/>
                <w:lang w:val="en-US" w:eastAsia="zh-CN"/>
              </w:rPr>
              <w:t xml:space="preserve"> </w:t>
            </w:r>
            <w:r>
              <w:rPr>
                <w:rFonts w:hint="eastAsia" w:ascii="宋体" w:hAnsi="宋体" w:cs="宋体"/>
                <w:color w:val="auto"/>
                <w:szCs w:val="21"/>
                <w:highlight w:val="none"/>
              </w:rPr>
              <w:t>违反本条例第二十九条、第三十三条第二款规定，有下列行为之一的，由省、设区的市人民政府生态环境主管部门或其派出机构责令改正，没收违法所得，处五万元以上二十万元以下罚款；拒不改正的，处二十万元以上一百万元以下罚款；……：</w:t>
            </w:r>
          </w:p>
          <w:p w14:paraId="20097177">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（二）产生危险废物的单位未按照要求依托固体废物污染环境防治信息平台建立危险废物管理台账并如实申报危险废物相关资料的；</w:t>
            </w:r>
          </w:p>
        </w:tc>
      </w:tr>
      <w:tr w14:paraId="1F238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1770" w:type="dxa"/>
            <w:noWrap w:val="0"/>
            <w:vAlign w:val="center"/>
          </w:tcPr>
          <w:p w14:paraId="4AB5B6F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416" w:type="dxa"/>
            <w:noWrap w:val="0"/>
            <w:vAlign w:val="top"/>
          </w:tcPr>
          <w:p w14:paraId="7F570B4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612" w:type="dxa"/>
            <w:noWrap w:val="0"/>
            <w:vAlign w:val="top"/>
          </w:tcPr>
          <w:p w14:paraId="4161540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2E213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1770" w:type="dxa"/>
            <w:vMerge w:val="restart"/>
            <w:noWrap w:val="0"/>
            <w:vAlign w:val="center"/>
          </w:tcPr>
          <w:p w14:paraId="56C0829A">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违法</w:t>
            </w:r>
            <w:r>
              <w:rPr>
                <w:rFonts w:hint="eastAsia" w:ascii="宋体" w:hAnsi="宋体" w:cs="宋体"/>
                <w:color w:val="auto"/>
                <w:sz w:val="21"/>
                <w:szCs w:val="21"/>
                <w:highlight w:val="none"/>
                <w:lang w:val="en-US" w:eastAsia="zh-CN"/>
              </w:rPr>
              <w:t>事实</w:t>
            </w:r>
          </w:p>
        </w:tc>
        <w:tc>
          <w:tcPr>
            <w:tcW w:w="5416" w:type="dxa"/>
            <w:noWrap w:val="0"/>
            <w:vAlign w:val="top"/>
          </w:tcPr>
          <w:p w14:paraId="792F6F3F">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虽建立危险废物管理台账，但记录不完整的</w:t>
            </w:r>
          </w:p>
        </w:tc>
        <w:tc>
          <w:tcPr>
            <w:tcW w:w="1612" w:type="dxa"/>
            <w:noWrap w:val="0"/>
            <w:vAlign w:val="top"/>
          </w:tcPr>
          <w:p w14:paraId="03776E0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6F915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1770" w:type="dxa"/>
            <w:vMerge w:val="continue"/>
            <w:noWrap w:val="0"/>
            <w:vAlign w:val="center"/>
          </w:tcPr>
          <w:p w14:paraId="5E6860A3">
            <w:pPr>
              <w:jc w:val="center"/>
              <w:rPr>
                <w:rFonts w:hint="eastAsia" w:ascii="宋体" w:hAnsi="宋体" w:eastAsia="宋体" w:cs="宋体"/>
                <w:color w:val="auto"/>
                <w:sz w:val="21"/>
                <w:szCs w:val="21"/>
                <w:highlight w:val="none"/>
              </w:rPr>
            </w:pPr>
          </w:p>
        </w:tc>
        <w:tc>
          <w:tcPr>
            <w:tcW w:w="5416" w:type="dxa"/>
            <w:noWrap w:val="0"/>
            <w:vAlign w:val="top"/>
          </w:tcPr>
          <w:p w14:paraId="6238D73E">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未建立危险废物管理台账的</w:t>
            </w:r>
          </w:p>
        </w:tc>
        <w:tc>
          <w:tcPr>
            <w:tcW w:w="1612" w:type="dxa"/>
            <w:noWrap w:val="0"/>
            <w:vAlign w:val="top"/>
          </w:tcPr>
          <w:p w14:paraId="6EAAC5A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2B5DE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1770" w:type="dxa"/>
            <w:vMerge w:val="continue"/>
            <w:noWrap w:val="0"/>
            <w:vAlign w:val="center"/>
          </w:tcPr>
          <w:p w14:paraId="26B11B25">
            <w:pPr>
              <w:jc w:val="center"/>
              <w:rPr>
                <w:rFonts w:hint="eastAsia" w:ascii="宋体" w:hAnsi="宋体" w:eastAsia="宋体" w:cs="宋体"/>
                <w:color w:val="auto"/>
                <w:sz w:val="21"/>
                <w:szCs w:val="21"/>
                <w:highlight w:val="none"/>
              </w:rPr>
            </w:pPr>
          </w:p>
        </w:tc>
        <w:tc>
          <w:tcPr>
            <w:tcW w:w="5416" w:type="dxa"/>
            <w:noWrap w:val="0"/>
            <w:vAlign w:val="top"/>
          </w:tcPr>
          <w:p w14:paraId="77AD2114">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虽建立危险废物管理台账，台账造假的</w:t>
            </w:r>
          </w:p>
        </w:tc>
        <w:tc>
          <w:tcPr>
            <w:tcW w:w="1612" w:type="dxa"/>
            <w:noWrap w:val="0"/>
            <w:vAlign w:val="top"/>
          </w:tcPr>
          <w:p w14:paraId="216F84D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43356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1770" w:type="dxa"/>
            <w:vMerge w:val="restart"/>
            <w:noWrap w:val="0"/>
            <w:vAlign w:val="center"/>
          </w:tcPr>
          <w:p w14:paraId="2FE66BF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设计危险废物年产生量</w:t>
            </w:r>
          </w:p>
        </w:tc>
        <w:tc>
          <w:tcPr>
            <w:tcW w:w="5416" w:type="dxa"/>
            <w:noWrap w:val="0"/>
            <w:vAlign w:val="center"/>
          </w:tcPr>
          <w:p w14:paraId="2E23BBAE">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420" w:firstLineChars="20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不足10吨</w:t>
            </w:r>
          </w:p>
        </w:tc>
        <w:tc>
          <w:tcPr>
            <w:tcW w:w="1612" w:type="dxa"/>
            <w:noWrap w:val="0"/>
            <w:vAlign w:val="center"/>
          </w:tcPr>
          <w:p w14:paraId="608ED588">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5F866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1770" w:type="dxa"/>
            <w:vMerge w:val="continue"/>
            <w:noWrap w:val="0"/>
            <w:vAlign w:val="center"/>
          </w:tcPr>
          <w:p w14:paraId="68E32169">
            <w:pPr>
              <w:keepNext w:val="0"/>
              <w:keepLines w:val="0"/>
              <w:pageBreakBefore w:val="0"/>
              <w:widowControl/>
              <w:shd w:val="clear" w:color="auto" w:fill="auto"/>
              <w:kinsoku/>
              <w:wordWrap/>
              <w:overflowPunct/>
              <w:topLinePunct w:val="0"/>
              <w:autoSpaceDE w:val="0"/>
              <w:autoSpaceDN w:val="0"/>
              <w:bidi w:val="0"/>
              <w:adjustRightInd w:val="0"/>
              <w:snapToGrid w:val="0"/>
              <w:spacing w:line="290" w:lineRule="exact"/>
              <w:jc w:val="center"/>
              <w:rPr>
                <w:rFonts w:hint="eastAsia" w:ascii="宋体" w:hAnsi="宋体" w:eastAsia="宋体" w:cs="宋体"/>
                <w:color w:val="auto"/>
                <w:sz w:val="21"/>
                <w:szCs w:val="21"/>
                <w:highlight w:val="none"/>
              </w:rPr>
            </w:pPr>
          </w:p>
        </w:tc>
        <w:tc>
          <w:tcPr>
            <w:tcW w:w="5416" w:type="dxa"/>
            <w:noWrap w:val="0"/>
            <w:vAlign w:val="center"/>
          </w:tcPr>
          <w:p w14:paraId="177891BE">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420" w:firstLineChars="20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10吨以上不足30吨</w:t>
            </w:r>
          </w:p>
        </w:tc>
        <w:tc>
          <w:tcPr>
            <w:tcW w:w="1612" w:type="dxa"/>
            <w:noWrap w:val="0"/>
            <w:vAlign w:val="center"/>
          </w:tcPr>
          <w:p w14:paraId="255F4B45">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r>
      <w:tr w14:paraId="080E6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1770" w:type="dxa"/>
            <w:vMerge w:val="continue"/>
            <w:noWrap w:val="0"/>
            <w:vAlign w:val="center"/>
          </w:tcPr>
          <w:p w14:paraId="4A2A23EF">
            <w:pPr>
              <w:keepNext w:val="0"/>
              <w:keepLines w:val="0"/>
              <w:pageBreakBefore w:val="0"/>
              <w:widowControl/>
              <w:shd w:val="clear" w:color="auto" w:fill="auto"/>
              <w:kinsoku/>
              <w:wordWrap/>
              <w:overflowPunct/>
              <w:topLinePunct w:val="0"/>
              <w:autoSpaceDE w:val="0"/>
              <w:autoSpaceDN w:val="0"/>
              <w:bidi w:val="0"/>
              <w:adjustRightInd w:val="0"/>
              <w:snapToGrid w:val="0"/>
              <w:spacing w:line="290" w:lineRule="exact"/>
              <w:jc w:val="center"/>
              <w:rPr>
                <w:rFonts w:hint="eastAsia" w:ascii="宋体" w:hAnsi="宋体" w:eastAsia="宋体" w:cs="宋体"/>
                <w:color w:val="auto"/>
                <w:sz w:val="21"/>
                <w:szCs w:val="21"/>
                <w:highlight w:val="none"/>
              </w:rPr>
            </w:pPr>
          </w:p>
        </w:tc>
        <w:tc>
          <w:tcPr>
            <w:tcW w:w="5416" w:type="dxa"/>
            <w:noWrap w:val="0"/>
            <w:vAlign w:val="center"/>
          </w:tcPr>
          <w:p w14:paraId="4D501573">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420" w:firstLineChars="20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30吨以上不足50吨</w:t>
            </w:r>
          </w:p>
        </w:tc>
        <w:tc>
          <w:tcPr>
            <w:tcW w:w="1612" w:type="dxa"/>
            <w:noWrap w:val="0"/>
            <w:vAlign w:val="center"/>
          </w:tcPr>
          <w:p w14:paraId="14D335F4">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5B5BB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1770" w:type="dxa"/>
            <w:vMerge w:val="continue"/>
            <w:noWrap w:val="0"/>
            <w:vAlign w:val="center"/>
          </w:tcPr>
          <w:p w14:paraId="4B60868D">
            <w:pPr>
              <w:keepNext w:val="0"/>
              <w:keepLines w:val="0"/>
              <w:pageBreakBefore w:val="0"/>
              <w:widowControl/>
              <w:shd w:val="clear" w:color="auto" w:fill="auto"/>
              <w:kinsoku/>
              <w:wordWrap/>
              <w:overflowPunct/>
              <w:topLinePunct w:val="0"/>
              <w:autoSpaceDE w:val="0"/>
              <w:autoSpaceDN w:val="0"/>
              <w:bidi w:val="0"/>
              <w:adjustRightInd w:val="0"/>
              <w:snapToGrid w:val="0"/>
              <w:spacing w:line="290" w:lineRule="exact"/>
              <w:jc w:val="center"/>
              <w:rPr>
                <w:rFonts w:hint="eastAsia" w:ascii="宋体" w:hAnsi="宋体" w:eastAsia="宋体" w:cs="宋体"/>
                <w:color w:val="auto"/>
                <w:sz w:val="21"/>
                <w:szCs w:val="21"/>
                <w:highlight w:val="none"/>
              </w:rPr>
            </w:pPr>
          </w:p>
        </w:tc>
        <w:tc>
          <w:tcPr>
            <w:tcW w:w="5416" w:type="dxa"/>
            <w:noWrap w:val="0"/>
            <w:vAlign w:val="center"/>
          </w:tcPr>
          <w:p w14:paraId="3E79270F">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420" w:firstLineChars="20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50吨以上不足100吨</w:t>
            </w:r>
          </w:p>
        </w:tc>
        <w:tc>
          <w:tcPr>
            <w:tcW w:w="1612" w:type="dxa"/>
            <w:noWrap w:val="0"/>
            <w:vAlign w:val="center"/>
          </w:tcPr>
          <w:p w14:paraId="51BDA1B4">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4</w:t>
            </w:r>
          </w:p>
        </w:tc>
      </w:tr>
      <w:tr w14:paraId="29B11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1770" w:type="dxa"/>
            <w:vMerge w:val="continue"/>
            <w:noWrap w:val="0"/>
            <w:vAlign w:val="center"/>
          </w:tcPr>
          <w:p w14:paraId="0C0674BC">
            <w:pPr>
              <w:keepNext w:val="0"/>
              <w:keepLines w:val="0"/>
              <w:pageBreakBefore w:val="0"/>
              <w:widowControl/>
              <w:shd w:val="clear" w:color="auto" w:fill="auto"/>
              <w:kinsoku/>
              <w:wordWrap/>
              <w:overflowPunct/>
              <w:topLinePunct w:val="0"/>
              <w:autoSpaceDE w:val="0"/>
              <w:autoSpaceDN w:val="0"/>
              <w:bidi w:val="0"/>
              <w:adjustRightInd w:val="0"/>
              <w:snapToGrid w:val="0"/>
              <w:spacing w:line="290" w:lineRule="exact"/>
              <w:jc w:val="center"/>
              <w:rPr>
                <w:rFonts w:hint="eastAsia" w:ascii="宋体" w:hAnsi="宋体" w:eastAsia="宋体" w:cs="宋体"/>
                <w:color w:val="auto"/>
                <w:sz w:val="21"/>
                <w:szCs w:val="21"/>
                <w:highlight w:val="none"/>
              </w:rPr>
            </w:pPr>
          </w:p>
        </w:tc>
        <w:tc>
          <w:tcPr>
            <w:tcW w:w="5416" w:type="dxa"/>
            <w:noWrap w:val="0"/>
            <w:vAlign w:val="center"/>
          </w:tcPr>
          <w:p w14:paraId="6A822559">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420" w:firstLineChars="20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100吨以上</w:t>
            </w:r>
          </w:p>
        </w:tc>
        <w:tc>
          <w:tcPr>
            <w:tcW w:w="1612" w:type="dxa"/>
            <w:noWrap w:val="0"/>
            <w:vAlign w:val="center"/>
          </w:tcPr>
          <w:p w14:paraId="3304AB0B">
            <w:pPr>
              <w:keepNext w:val="0"/>
              <w:keepLines w:val="0"/>
              <w:pageBreakBefore w:val="0"/>
              <w:widowControl w:val="0"/>
              <w:shd w:val="clear" w:color="auto" w:fill="auto"/>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bl>
    <w:p w14:paraId="1C606410">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509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61"/>
        <w:gridCol w:w="5886"/>
        <w:gridCol w:w="1366"/>
      </w:tblGrid>
      <w:tr w14:paraId="4C21D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8679" w:type="dxa"/>
            <w:gridSpan w:val="3"/>
            <w:noWrap w:val="0"/>
            <w:vAlign w:val="top"/>
          </w:tcPr>
          <w:p w14:paraId="7A27F818">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（八）固体废物污染防治类</w:t>
            </w:r>
          </w:p>
        </w:tc>
      </w:tr>
      <w:tr w14:paraId="02776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772" w:type="dxa"/>
            <w:noWrap w:val="0"/>
            <w:vAlign w:val="center"/>
          </w:tcPr>
          <w:p w14:paraId="7F238E6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907" w:type="dxa"/>
            <w:gridSpan w:val="2"/>
            <w:noWrap w:val="0"/>
            <w:vAlign w:val="top"/>
          </w:tcPr>
          <w:p w14:paraId="57AC10B2">
            <w:pPr>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4</w:t>
            </w:r>
          </w:p>
        </w:tc>
      </w:tr>
      <w:tr w14:paraId="2B888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1772" w:type="dxa"/>
            <w:noWrap w:val="0"/>
            <w:vAlign w:val="center"/>
          </w:tcPr>
          <w:p w14:paraId="5E0B05B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6907" w:type="dxa"/>
            <w:gridSpan w:val="2"/>
            <w:noWrap w:val="0"/>
            <w:vAlign w:val="center"/>
          </w:tcPr>
          <w:p w14:paraId="5EB39422">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未按照国家规定和生态环境保护标准贮存、利用、处置危险废物，或者将危险废物混入非危险废物中贮存的</w:t>
            </w:r>
          </w:p>
        </w:tc>
      </w:tr>
      <w:tr w14:paraId="25B8D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6" w:hRule="atLeast"/>
          <w:jc w:val="center"/>
        </w:trPr>
        <w:tc>
          <w:tcPr>
            <w:tcW w:w="1772" w:type="dxa"/>
            <w:noWrap w:val="0"/>
            <w:vAlign w:val="center"/>
          </w:tcPr>
          <w:p w14:paraId="7BB1073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6907" w:type="dxa"/>
            <w:gridSpan w:val="2"/>
            <w:noWrap w:val="0"/>
            <w:vAlign w:val="top"/>
          </w:tcPr>
          <w:p w14:paraId="47254F09">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《中华人民共和国生态环境法典》第五百三十三条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产生危险废物的单位，应当按照国家规定和生态环境保护标准的要求贮存、利用、处置危险废物。</w:t>
            </w:r>
          </w:p>
          <w:p w14:paraId="2261FEAA">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任何单位和个人不得擅自倾倒、堆放、丢弃、抛撒、遗撒或者焚烧危险废物。</w:t>
            </w:r>
          </w:p>
          <w:p w14:paraId="2C0FA13A">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《中华人民共和国生态环境法典》第五百三十五条</w:t>
            </w:r>
            <w:r>
              <w:rPr>
                <w:rFonts w:hint="eastAsia" w:ascii="宋体" w:hAnsi="宋体" w:eastAsia="宋体" w:cs="宋体"/>
                <w:color w:val="auto"/>
                <w:sz w:val="21"/>
                <w:szCs w:val="21"/>
                <w:highlight w:val="none"/>
                <w:lang w:val="en-US" w:eastAsia="zh-CN"/>
              </w:rPr>
              <w:t>第二款</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贮存危险废物应当采取符合国家生态环境保护标准的防护措施。禁止将危险废物混入非危险废物中贮存。</w:t>
            </w:r>
          </w:p>
        </w:tc>
      </w:tr>
      <w:tr w14:paraId="6CB76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772" w:type="dxa"/>
            <w:noWrap w:val="0"/>
            <w:vAlign w:val="center"/>
          </w:tcPr>
          <w:p w14:paraId="1A19152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6907" w:type="dxa"/>
            <w:gridSpan w:val="2"/>
            <w:noWrap w:val="0"/>
            <w:vAlign w:val="top"/>
          </w:tcPr>
          <w:p w14:paraId="0C1AE600">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《中华人民共和国生态环境法典》第一千一百七十五条</w:t>
            </w:r>
            <w:r>
              <w:rPr>
                <w:rFonts w:hint="eastAsia" w:ascii="宋体" w:hAnsi="宋体" w:eastAsia="宋体" w:cs="宋体"/>
                <w:color w:val="auto"/>
                <w:sz w:val="21"/>
                <w:szCs w:val="21"/>
                <w:highlight w:val="none"/>
                <w:lang w:eastAsia="zh-CN"/>
              </w:rPr>
              <w:t>第一款第四项、第二款</w:t>
            </w:r>
            <w:r>
              <w:rPr>
                <w:rFonts w:hint="eastAsia" w:ascii="宋体" w:hAnsi="宋体" w:eastAsia="宋体" w:cs="宋体"/>
                <w:color w:val="auto"/>
                <w:sz w:val="21"/>
                <w:szCs w:val="21"/>
                <w:highlight w:val="none"/>
              </w:rPr>
              <w:t xml:space="preserve">  违反本法规定，有下列情形之一的，由生态环境主管部门责令改正，没收违法所得，并处以罚款</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w:t>
            </w:r>
          </w:p>
          <w:p w14:paraId="7B5F464F">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（四）未按照国家规定和生态环境保护标准贮存、利用、处置危险废物，或者将危险废物混入非危险废物中贮存；</w:t>
            </w:r>
          </w:p>
          <w:p w14:paraId="18E76F75">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有前款第一项、第二项、第三项、第四项、第六项、第七项、第九项、第十项、第十一项情形之一的，处五万元以上二十万元以下的罚款，拒不改正的，处二十万元以上一百万元以下的罚款；有前款第五项、第八项情形之一的，处二十万元以上二百万元以下的罚款。</w:t>
            </w:r>
          </w:p>
        </w:tc>
      </w:tr>
      <w:tr w14:paraId="3B2AB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772" w:type="dxa"/>
            <w:noWrap w:val="0"/>
            <w:vAlign w:val="center"/>
          </w:tcPr>
          <w:p w14:paraId="4177690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606" w:type="dxa"/>
            <w:noWrap w:val="0"/>
            <w:vAlign w:val="top"/>
          </w:tcPr>
          <w:p w14:paraId="0516A04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301" w:type="dxa"/>
            <w:noWrap w:val="0"/>
            <w:vAlign w:val="top"/>
          </w:tcPr>
          <w:p w14:paraId="2ECD7F2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5EE61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772" w:type="dxa"/>
            <w:vMerge w:val="restart"/>
            <w:noWrap w:val="0"/>
            <w:vAlign w:val="center"/>
          </w:tcPr>
          <w:p w14:paraId="2699F2C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混合物数量</w:t>
            </w:r>
          </w:p>
          <w:p w14:paraId="35BCEBF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（仅适用于混入情形）</w:t>
            </w:r>
          </w:p>
        </w:tc>
        <w:tc>
          <w:tcPr>
            <w:tcW w:w="5606" w:type="dxa"/>
            <w:noWrap w:val="0"/>
            <w:vAlign w:val="top"/>
          </w:tcPr>
          <w:p w14:paraId="42B3C707">
            <w:pPr>
              <w:keepNext w:val="0"/>
              <w:keepLines w:val="0"/>
              <w:pageBreakBefore w:val="0"/>
              <w:widowControl w:val="0"/>
              <w:kinsoku/>
              <w:wordWrap/>
              <w:overflowPunct/>
              <w:topLinePunct w:val="0"/>
              <w:bidi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混合物数量不足5吨</w:t>
            </w:r>
          </w:p>
        </w:tc>
        <w:tc>
          <w:tcPr>
            <w:tcW w:w="1301" w:type="dxa"/>
            <w:noWrap w:val="0"/>
            <w:vAlign w:val="center"/>
          </w:tcPr>
          <w:p w14:paraId="1CEDC1B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5B346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772" w:type="dxa"/>
            <w:vMerge w:val="continue"/>
            <w:noWrap w:val="0"/>
            <w:vAlign w:val="center"/>
          </w:tcPr>
          <w:p w14:paraId="7ABB1508">
            <w:pPr>
              <w:jc w:val="center"/>
              <w:rPr>
                <w:rFonts w:hint="eastAsia" w:ascii="宋体" w:hAnsi="宋体" w:eastAsia="宋体" w:cs="宋体"/>
                <w:color w:val="auto"/>
                <w:sz w:val="21"/>
                <w:szCs w:val="21"/>
                <w:highlight w:val="none"/>
              </w:rPr>
            </w:pPr>
          </w:p>
        </w:tc>
        <w:tc>
          <w:tcPr>
            <w:tcW w:w="5606" w:type="dxa"/>
            <w:noWrap w:val="0"/>
            <w:vAlign w:val="top"/>
          </w:tcPr>
          <w:p w14:paraId="4FB7F62C">
            <w:pPr>
              <w:keepNext w:val="0"/>
              <w:keepLines w:val="0"/>
              <w:pageBreakBefore w:val="0"/>
              <w:widowControl w:val="0"/>
              <w:kinsoku/>
              <w:wordWrap/>
              <w:overflowPunct/>
              <w:topLinePunct w:val="0"/>
              <w:bidi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混合物数量5吨以上不足20吨</w:t>
            </w:r>
          </w:p>
        </w:tc>
        <w:tc>
          <w:tcPr>
            <w:tcW w:w="1301" w:type="dxa"/>
            <w:noWrap w:val="0"/>
            <w:vAlign w:val="center"/>
          </w:tcPr>
          <w:p w14:paraId="0167827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66C49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772" w:type="dxa"/>
            <w:vMerge w:val="continue"/>
            <w:noWrap w:val="0"/>
            <w:vAlign w:val="center"/>
          </w:tcPr>
          <w:p w14:paraId="795B1F44">
            <w:pPr>
              <w:jc w:val="center"/>
              <w:rPr>
                <w:rFonts w:hint="eastAsia" w:ascii="宋体" w:hAnsi="宋体" w:eastAsia="宋体" w:cs="宋体"/>
                <w:color w:val="auto"/>
                <w:sz w:val="21"/>
                <w:szCs w:val="21"/>
                <w:highlight w:val="none"/>
              </w:rPr>
            </w:pPr>
          </w:p>
        </w:tc>
        <w:tc>
          <w:tcPr>
            <w:tcW w:w="5606" w:type="dxa"/>
            <w:noWrap w:val="0"/>
            <w:vAlign w:val="top"/>
          </w:tcPr>
          <w:p w14:paraId="4E530626">
            <w:pPr>
              <w:keepNext w:val="0"/>
              <w:keepLines w:val="0"/>
              <w:pageBreakBefore w:val="0"/>
              <w:widowControl w:val="0"/>
              <w:kinsoku/>
              <w:wordWrap/>
              <w:overflowPunct/>
              <w:topLinePunct w:val="0"/>
              <w:bidi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混合物数量20吨以上</w:t>
            </w:r>
          </w:p>
        </w:tc>
        <w:tc>
          <w:tcPr>
            <w:tcW w:w="1301" w:type="dxa"/>
            <w:noWrap w:val="0"/>
            <w:vAlign w:val="center"/>
          </w:tcPr>
          <w:p w14:paraId="3BF654E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79A84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772" w:type="dxa"/>
            <w:vMerge w:val="restart"/>
            <w:noWrap w:val="0"/>
            <w:vAlign w:val="center"/>
          </w:tcPr>
          <w:p w14:paraId="6B24F6D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未按标准贮存、利用、处置危废数量（仅适用于未按标准情形）</w:t>
            </w:r>
          </w:p>
        </w:tc>
        <w:tc>
          <w:tcPr>
            <w:tcW w:w="5606" w:type="dxa"/>
            <w:noWrap w:val="0"/>
            <w:vAlign w:val="center"/>
          </w:tcPr>
          <w:p w14:paraId="1D808E5E">
            <w:pPr>
              <w:keepNext w:val="0"/>
              <w:keepLines w:val="0"/>
              <w:pageBreakBefore w:val="0"/>
              <w:widowControl w:val="0"/>
              <w:kinsoku/>
              <w:wordWrap/>
              <w:overflowPunct/>
              <w:topLinePunct w:val="0"/>
              <w:bidi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数量不足1吨</w:t>
            </w:r>
          </w:p>
        </w:tc>
        <w:tc>
          <w:tcPr>
            <w:tcW w:w="1301" w:type="dxa"/>
            <w:noWrap w:val="0"/>
            <w:vAlign w:val="center"/>
          </w:tcPr>
          <w:p w14:paraId="7F72F80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50A34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772" w:type="dxa"/>
            <w:vMerge w:val="continue"/>
            <w:noWrap w:val="0"/>
            <w:vAlign w:val="top"/>
          </w:tcPr>
          <w:p w14:paraId="14E03356">
            <w:pPr>
              <w:rPr>
                <w:rFonts w:hint="eastAsia" w:ascii="宋体" w:hAnsi="宋体" w:eastAsia="宋体" w:cs="宋体"/>
                <w:color w:val="auto"/>
                <w:sz w:val="21"/>
                <w:szCs w:val="21"/>
                <w:highlight w:val="none"/>
              </w:rPr>
            </w:pPr>
          </w:p>
        </w:tc>
        <w:tc>
          <w:tcPr>
            <w:tcW w:w="5606" w:type="dxa"/>
            <w:noWrap w:val="0"/>
            <w:vAlign w:val="center"/>
          </w:tcPr>
          <w:p w14:paraId="0BAE2238">
            <w:pPr>
              <w:keepNext w:val="0"/>
              <w:keepLines w:val="0"/>
              <w:pageBreakBefore w:val="0"/>
              <w:widowControl w:val="0"/>
              <w:kinsoku/>
              <w:wordWrap/>
              <w:overflowPunct/>
              <w:topLinePunct w:val="0"/>
              <w:bidi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数量1吨以上不足3吨</w:t>
            </w:r>
          </w:p>
        </w:tc>
        <w:tc>
          <w:tcPr>
            <w:tcW w:w="1301" w:type="dxa"/>
            <w:noWrap w:val="0"/>
            <w:vAlign w:val="center"/>
          </w:tcPr>
          <w:p w14:paraId="1C7EFB0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7CEB6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1772" w:type="dxa"/>
            <w:vMerge w:val="continue"/>
            <w:noWrap w:val="0"/>
            <w:vAlign w:val="top"/>
          </w:tcPr>
          <w:p w14:paraId="02968862">
            <w:pPr>
              <w:rPr>
                <w:rFonts w:hint="eastAsia" w:ascii="宋体" w:hAnsi="宋体" w:eastAsia="宋体" w:cs="宋体"/>
                <w:color w:val="auto"/>
                <w:sz w:val="21"/>
                <w:szCs w:val="21"/>
                <w:highlight w:val="none"/>
              </w:rPr>
            </w:pPr>
          </w:p>
        </w:tc>
        <w:tc>
          <w:tcPr>
            <w:tcW w:w="5606" w:type="dxa"/>
            <w:noWrap w:val="0"/>
            <w:vAlign w:val="center"/>
          </w:tcPr>
          <w:p w14:paraId="698B2651">
            <w:pPr>
              <w:keepNext w:val="0"/>
              <w:keepLines w:val="0"/>
              <w:pageBreakBefore w:val="0"/>
              <w:widowControl w:val="0"/>
              <w:kinsoku/>
              <w:wordWrap/>
              <w:overflowPunct/>
              <w:topLinePunct w:val="0"/>
              <w:bidi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数量3吨以上</w:t>
            </w:r>
          </w:p>
        </w:tc>
        <w:tc>
          <w:tcPr>
            <w:tcW w:w="1301" w:type="dxa"/>
            <w:noWrap w:val="0"/>
            <w:vAlign w:val="center"/>
          </w:tcPr>
          <w:p w14:paraId="2524A78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bl>
    <w:p w14:paraId="20E76D48">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65"/>
        <w:gridCol w:w="5213"/>
        <w:gridCol w:w="1870"/>
      </w:tblGrid>
      <w:tr w14:paraId="5B594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3"/>
            <w:noWrap w:val="0"/>
            <w:vAlign w:val="top"/>
          </w:tcPr>
          <w:p w14:paraId="71D725E3">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（八）固体废物污染防治类</w:t>
            </w:r>
          </w:p>
        </w:tc>
      </w:tr>
      <w:tr w14:paraId="6124C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6" w:type="dxa"/>
            <w:noWrap w:val="0"/>
            <w:vAlign w:val="center"/>
          </w:tcPr>
          <w:p w14:paraId="1B8FB6D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746" w:type="dxa"/>
            <w:gridSpan w:val="2"/>
            <w:noWrap w:val="0"/>
            <w:vAlign w:val="top"/>
          </w:tcPr>
          <w:p w14:paraId="3673ADF3">
            <w:pPr>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5</w:t>
            </w:r>
          </w:p>
        </w:tc>
      </w:tr>
      <w:tr w14:paraId="32A57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6" w:type="dxa"/>
            <w:noWrap w:val="0"/>
            <w:vAlign w:val="center"/>
          </w:tcPr>
          <w:p w14:paraId="63DB1B2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6746" w:type="dxa"/>
            <w:gridSpan w:val="2"/>
            <w:noWrap w:val="0"/>
            <w:vAlign w:val="top"/>
          </w:tcPr>
          <w:p w14:paraId="4F6AC2EB">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将危险废物提供或者委托给无许可证的单位或者其他生产经营者从事相关活动的</w:t>
            </w:r>
          </w:p>
        </w:tc>
      </w:tr>
      <w:tr w14:paraId="21EAA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6" w:type="dxa"/>
            <w:noWrap w:val="0"/>
            <w:vAlign w:val="center"/>
          </w:tcPr>
          <w:p w14:paraId="61DD564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6746" w:type="dxa"/>
            <w:gridSpan w:val="2"/>
            <w:noWrap w:val="0"/>
            <w:vAlign w:val="top"/>
          </w:tcPr>
          <w:p w14:paraId="40E3D6D8">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《中华人民共和国生态环境法典》第五百三十四条</w:t>
            </w:r>
            <w:r>
              <w:rPr>
                <w:rFonts w:hint="eastAsia" w:ascii="宋体" w:hAnsi="宋体" w:eastAsia="宋体" w:cs="宋体"/>
                <w:color w:val="auto"/>
                <w:sz w:val="21"/>
                <w:szCs w:val="21"/>
                <w:highlight w:val="none"/>
                <w:lang w:val="en-US" w:eastAsia="zh-CN"/>
              </w:rPr>
              <w:t>第三款</w:t>
            </w:r>
            <w:r>
              <w:rPr>
                <w:rFonts w:hint="eastAsia" w:ascii="宋体" w:hAnsi="宋体" w:eastAsia="宋体" w:cs="宋体"/>
                <w:color w:val="auto"/>
                <w:sz w:val="21"/>
                <w:szCs w:val="21"/>
                <w:highlight w:val="none"/>
              </w:rPr>
              <w:t xml:space="preserve">  禁止将危险废物提供或者委托给无许可证的单位和个人从事收集、贮存、利用、处置活动。</w:t>
            </w:r>
          </w:p>
        </w:tc>
      </w:tr>
      <w:tr w14:paraId="151F9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6" w:type="dxa"/>
            <w:noWrap w:val="0"/>
            <w:vAlign w:val="center"/>
          </w:tcPr>
          <w:p w14:paraId="4549C20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6746" w:type="dxa"/>
            <w:gridSpan w:val="2"/>
            <w:noWrap w:val="0"/>
            <w:vAlign w:val="top"/>
          </w:tcPr>
          <w:p w14:paraId="4B109022">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《中华人民共和国生态环境法典》第一千一百七十五条</w:t>
            </w:r>
            <w:r>
              <w:rPr>
                <w:rFonts w:hint="eastAsia" w:ascii="宋体" w:hAnsi="宋体" w:eastAsia="宋体" w:cs="宋体"/>
                <w:color w:val="auto"/>
                <w:sz w:val="21"/>
                <w:szCs w:val="21"/>
                <w:highlight w:val="none"/>
                <w:lang w:eastAsia="zh-CN"/>
              </w:rPr>
              <w:t>第一款第五项、第二款</w:t>
            </w:r>
            <w:r>
              <w:rPr>
                <w:rFonts w:hint="eastAsia" w:ascii="宋体" w:hAnsi="宋体" w:eastAsia="宋体" w:cs="宋体"/>
                <w:color w:val="auto"/>
                <w:sz w:val="21"/>
                <w:szCs w:val="21"/>
                <w:highlight w:val="none"/>
              </w:rPr>
              <w:t xml:space="preserve">  违反本法规定，有下列情形之一的，由生态环境主管部门责令改正，没收违法所得，并处以罚款</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w:t>
            </w:r>
          </w:p>
          <w:p w14:paraId="45596DBD">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（五）将危险废物提供或者委托给无许可证的单位或者其他生产经营者从事相关活动；</w:t>
            </w:r>
          </w:p>
          <w:p w14:paraId="779F897C">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有前款第一项、第二项、第三项、第四项、第六项、第七项、第九项、第十项、第十一项情形之一的，处五万元以上二十万元以下的罚款，拒不改正的，处二十万元以上一百万元以下的罚款；有前款第五项、第八项情形之一的，处二十万元以上二百万元以下的罚款。</w:t>
            </w:r>
          </w:p>
        </w:tc>
      </w:tr>
      <w:tr w14:paraId="43031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6" w:type="dxa"/>
            <w:noWrap w:val="0"/>
            <w:vAlign w:val="center"/>
          </w:tcPr>
          <w:p w14:paraId="785286C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4965" w:type="dxa"/>
            <w:noWrap w:val="0"/>
            <w:vAlign w:val="top"/>
          </w:tcPr>
          <w:p w14:paraId="2A32D10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781" w:type="dxa"/>
            <w:noWrap w:val="0"/>
            <w:vAlign w:val="top"/>
          </w:tcPr>
          <w:p w14:paraId="3A3C169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2DABB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6" w:type="dxa"/>
            <w:vMerge w:val="restart"/>
            <w:noWrap w:val="0"/>
            <w:vAlign w:val="center"/>
          </w:tcPr>
          <w:p w14:paraId="07DE185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危险废物数量</w:t>
            </w:r>
          </w:p>
        </w:tc>
        <w:tc>
          <w:tcPr>
            <w:tcW w:w="4965" w:type="dxa"/>
            <w:noWrap w:val="0"/>
            <w:vAlign w:val="center"/>
          </w:tcPr>
          <w:p w14:paraId="387FA0C8">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不足</w:t>
            </w:r>
            <w:r>
              <w:rPr>
                <w:rFonts w:hint="eastAsia" w:ascii="宋体" w:hAnsi="宋体" w:eastAsia="宋体" w:cs="宋体"/>
                <w:color w:val="auto"/>
                <w:sz w:val="21"/>
                <w:szCs w:val="21"/>
                <w:highlight w:val="none"/>
                <w:lang w:val="en-US" w:eastAsia="zh-CN"/>
              </w:rPr>
              <w:t>0.1</w:t>
            </w:r>
            <w:r>
              <w:rPr>
                <w:rFonts w:hint="eastAsia" w:ascii="宋体" w:hAnsi="宋体" w:eastAsia="宋体" w:cs="宋体"/>
                <w:color w:val="auto"/>
                <w:sz w:val="21"/>
                <w:szCs w:val="21"/>
                <w:highlight w:val="none"/>
              </w:rPr>
              <w:t>吨</w:t>
            </w:r>
          </w:p>
        </w:tc>
        <w:tc>
          <w:tcPr>
            <w:tcW w:w="1781" w:type="dxa"/>
            <w:noWrap w:val="0"/>
            <w:vAlign w:val="center"/>
          </w:tcPr>
          <w:p w14:paraId="69D0634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520B2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6" w:type="dxa"/>
            <w:vMerge w:val="continue"/>
            <w:noWrap w:val="0"/>
            <w:vAlign w:val="center"/>
          </w:tcPr>
          <w:p w14:paraId="118A3278">
            <w:pPr>
              <w:jc w:val="center"/>
              <w:rPr>
                <w:rFonts w:hint="eastAsia" w:ascii="宋体" w:hAnsi="宋体" w:eastAsia="宋体" w:cs="宋体"/>
                <w:color w:val="auto"/>
                <w:sz w:val="21"/>
                <w:szCs w:val="21"/>
                <w:highlight w:val="none"/>
              </w:rPr>
            </w:pPr>
          </w:p>
        </w:tc>
        <w:tc>
          <w:tcPr>
            <w:tcW w:w="4965" w:type="dxa"/>
            <w:noWrap w:val="0"/>
            <w:vAlign w:val="center"/>
          </w:tcPr>
          <w:p w14:paraId="5C7BD382">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0.1</w:t>
            </w:r>
            <w:r>
              <w:rPr>
                <w:rFonts w:hint="eastAsia" w:ascii="宋体" w:hAnsi="宋体" w:eastAsia="宋体" w:cs="宋体"/>
                <w:color w:val="auto"/>
                <w:sz w:val="21"/>
                <w:szCs w:val="21"/>
                <w:highlight w:val="none"/>
              </w:rPr>
              <w:t>吨以上不足</w:t>
            </w:r>
            <w:r>
              <w:rPr>
                <w:rFonts w:hint="eastAsia" w:ascii="宋体" w:hAnsi="宋体" w:eastAsia="宋体" w:cs="宋体"/>
                <w:color w:val="auto"/>
                <w:sz w:val="21"/>
                <w:szCs w:val="21"/>
                <w:highlight w:val="none"/>
                <w:lang w:val="en-US" w:eastAsia="zh-CN"/>
              </w:rPr>
              <w:t>0.5</w:t>
            </w:r>
            <w:r>
              <w:rPr>
                <w:rFonts w:hint="eastAsia" w:ascii="宋体" w:hAnsi="宋体" w:eastAsia="宋体" w:cs="宋体"/>
                <w:color w:val="auto"/>
                <w:sz w:val="21"/>
                <w:szCs w:val="21"/>
                <w:highlight w:val="none"/>
              </w:rPr>
              <w:t>吨</w:t>
            </w:r>
          </w:p>
        </w:tc>
        <w:tc>
          <w:tcPr>
            <w:tcW w:w="1781" w:type="dxa"/>
            <w:noWrap w:val="0"/>
            <w:vAlign w:val="center"/>
          </w:tcPr>
          <w:p w14:paraId="0A54378F">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w:t>
            </w:r>
          </w:p>
        </w:tc>
      </w:tr>
      <w:tr w14:paraId="09700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6" w:type="dxa"/>
            <w:vMerge w:val="continue"/>
            <w:noWrap w:val="0"/>
            <w:vAlign w:val="center"/>
          </w:tcPr>
          <w:p w14:paraId="73571084">
            <w:pPr>
              <w:jc w:val="center"/>
              <w:rPr>
                <w:rFonts w:hint="eastAsia" w:ascii="宋体" w:hAnsi="宋体" w:eastAsia="宋体" w:cs="宋体"/>
                <w:color w:val="auto"/>
                <w:sz w:val="21"/>
                <w:szCs w:val="21"/>
                <w:highlight w:val="none"/>
              </w:rPr>
            </w:pPr>
          </w:p>
        </w:tc>
        <w:tc>
          <w:tcPr>
            <w:tcW w:w="4965" w:type="dxa"/>
            <w:noWrap w:val="0"/>
            <w:vAlign w:val="center"/>
          </w:tcPr>
          <w:p w14:paraId="31E3041F">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0.5</w:t>
            </w:r>
            <w:r>
              <w:rPr>
                <w:rFonts w:hint="eastAsia" w:ascii="宋体" w:hAnsi="宋体" w:eastAsia="宋体" w:cs="宋体"/>
                <w:color w:val="auto"/>
                <w:sz w:val="21"/>
                <w:szCs w:val="21"/>
                <w:highlight w:val="none"/>
              </w:rPr>
              <w:t>吨以上不足</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吨</w:t>
            </w:r>
          </w:p>
        </w:tc>
        <w:tc>
          <w:tcPr>
            <w:tcW w:w="1781" w:type="dxa"/>
            <w:noWrap w:val="0"/>
            <w:vAlign w:val="top"/>
          </w:tcPr>
          <w:p w14:paraId="67B9B050">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3</w:t>
            </w:r>
          </w:p>
        </w:tc>
      </w:tr>
      <w:tr w14:paraId="6A947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6" w:type="dxa"/>
            <w:vMerge w:val="continue"/>
            <w:noWrap w:val="0"/>
            <w:vAlign w:val="center"/>
          </w:tcPr>
          <w:p w14:paraId="40D9D736">
            <w:pPr>
              <w:jc w:val="center"/>
              <w:rPr>
                <w:rFonts w:hint="eastAsia" w:ascii="宋体" w:hAnsi="宋体" w:eastAsia="宋体" w:cs="宋体"/>
                <w:color w:val="auto"/>
                <w:sz w:val="21"/>
                <w:szCs w:val="21"/>
                <w:highlight w:val="none"/>
              </w:rPr>
            </w:pPr>
          </w:p>
        </w:tc>
        <w:tc>
          <w:tcPr>
            <w:tcW w:w="4965" w:type="dxa"/>
            <w:noWrap w:val="0"/>
            <w:vAlign w:val="center"/>
          </w:tcPr>
          <w:p w14:paraId="287B2C36">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吨以上不足</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吨</w:t>
            </w:r>
          </w:p>
        </w:tc>
        <w:tc>
          <w:tcPr>
            <w:tcW w:w="1781" w:type="dxa"/>
            <w:noWrap w:val="0"/>
            <w:vAlign w:val="top"/>
          </w:tcPr>
          <w:p w14:paraId="5446066B">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r>
      <w:tr w14:paraId="432C7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6" w:type="dxa"/>
            <w:vMerge w:val="continue"/>
            <w:noWrap w:val="0"/>
            <w:vAlign w:val="center"/>
          </w:tcPr>
          <w:p w14:paraId="19451233">
            <w:pPr>
              <w:jc w:val="center"/>
              <w:rPr>
                <w:rFonts w:hint="eastAsia" w:ascii="宋体" w:hAnsi="宋体" w:eastAsia="宋体" w:cs="宋体"/>
                <w:color w:val="auto"/>
                <w:sz w:val="21"/>
                <w:szCs w:val="21"/>
                <w:highlight w:val="none"/>
              </w:rPr>
            </w:pPr>
          </w:p>
        </w:tc>
        <w:tc>
          <w:tcPr>
            <w:tcW w:w="4965" w:type="dxa"/>
            <w:noWrap w:val="0"/>
            <w:vAlign w:val="center"/>
          </w:tcPr>
          <w:p w14:paraId="7ED1D711">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吨以上</w:t>
            </w:r>
          </w:p>
        </w:tc>
        <w:tc>
          <w:tcPr>
            <w:tcW w:w="1781" w:type="dxa"/>
            <w:noWrap w:val="0"/>
            <w:vAlign w:val="top"/>
          </w:tcPr>
          <w:p w14:paraId="1375C7D6">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r>
      <w:tr w14:paraId="693D0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6" w:type="dxa"/>
            <w:vMerge w:val="restart"/>
            <w:noWrap w:val="0"/>
            <w:vAlign w:val="center"/>
          </w:tcPr>
          <w:p w14:paraId="5A6985A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危险废物种类</w:t>
            </w:r>
          </w:p>
        </w:tc>
        <w:tc>
          <w:tcPr>
            <w:tcW w:w="4965" w:type="dxa"/>
            <w:noWrap w:val="0"/>
            <w:vAlign w:val="top"/>
          </w:tcPr>
          <w:p w14:paraId="57CF6690">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1种</w:t>
            </w:r>
          </w:p>
        </w:tc>
        <w:tc>
          <w:tcPr>
            <w:tcW w:w="1781" w:type="dxa"/>
            <w:noWrap w:val="0"/>
            <w:vAlign w:val="top"/>
          </w:tcPr>
          <w:p w14:paraId="5421D1E4">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r>
      <w:tr w14:paraId="421CA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6" w:type="dxa"/>
            <w:vMerge w:val="continue"/>
            <w:noWrap w:val="0"/>
            <w:vAlign w:val="center"/>
          </w:tcPr>
          <w:p w14:paraId="621E84E2">
            <w:pPr>
              <w:jc w:val="center"/>
              <w:rPr>
                <w:rFonts w:hint="eastAsia" w:ascii="宋体" w:hAnsi="宋体" w:eastAsia="宋体" w:cs="宋体"/>
                <w:color w:val="auto"/>
                <w:sz w:val="21"/>
                <w:szCs w:val="21"/>
                <w:highlight w:val="none"/>
              </w:rPr>
            </w:pPr>
          </w:p>
        </w:tc>
        <w:tc>
          <w:tcPr>
            <w:tcW w:w="4965" w:type="dxa"/>
            <w:noWrap w:val="0"/>
            <w:vAlign w:val="top"/>
          </w:tcPr>
          <w:p w14:paraId="343BB08A">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2种以上不足4种</w:t>
            </w:r>
          </w:p>
        </w:tc>
        <w:tc>
          <w:tcPr>
            <w:tcW w:w="1781" w:type="dxa"/>
            <w:noWrap w:val="0"/>
            <w:vAlign w:val="top"/>
          </w:tcPr>
          <w:p w14:paraId="546FA5E4">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r>
      <w:tr w14:paraId="4023A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6" w:type="dxa"/>
            <w:vMerge w:val="continue"/>
            <w:noWrap w:val="0"/>
            <w:vAlign w:val="center"/>
          </w:tcPr>
          <w:p w14:paraId="5B89A7BA">
            <w:pPr>
              <w:jc w:val="center"/>
              <w:rPr>
                <w:rFonts w:hint="eastAsia" w:ascii="宋体" w:hAnsi="宋体" w:eastAsia="宋体" w:cs="宋体"/>
                <w:color w:val="auto"/>
                <w:sz w:val="21"/>
                <w:szCs w:val="21"/>
                <w:highlight w:val="none"/>
              </w:rPr>
            </w:pPr>
          </w:p>
        </w:tc>
        <w:tc>
          <w:tcPr>
            <w:tcW w:w="4965" w:type="dxa"/>
            <w:noWrap w:val="0"/>
            <w:vAlign w:val="top"/>
          </w:tcPr>
          <w:p w14:paraId="53451891">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4种及以上</w:t>
            </w:r>
          </w:p>
        </w:tc>
        <w:tc>
          <w:tcPr>
            <w:tcW w:w="1781" w:type="dxa"/>
            <w:noWrap w:val="0"/>
            <w:vAlign w:val="top"/>
          </w:tcPr>
          <w:p w14:paraId="7814150E">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r>
    </w:tbl>
    <w:p w14:paraId="71EB99EC">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503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12"/>
        <w:gridCol w:w="5838"/>
        <w:gridCol w:w="1355"/>
      </w:tblGrid>
      <w:tr w14:paraId="46A19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8577" w:type="dxa"/>
            <w:gridSpan w:val="3"/>
            <w:noWrap w:val="0"/>
            <w:vAlign w:val="top"/>
          </w:tcPr>
          <w:p w14:paraId="1B4E3628">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（八）固体废物污染防治类</w:t>
            </w:r>
          </w:p>
        </w:tc>
      </w:tr>
      <w:tr w14:paraId="220C4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726" w:type="dxa"/>
            <w:noWrap w:val="0"/>
            <w:vAlign w:val="center"/>
          </w:tcPr>
          <w:p w14:paraId="65BC32A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851" w:type="dxa"/>
            <w:gridSpan w:val="2"/>
            <w:noWrap w:val="0"/>
            <w:vAlign w:val="top"/>
          </w:tcPr>
          <w:p w14:paraId="7FCB0A59">
            <w:pPr>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6</w:t>
            </w:r>
          </w:p>
        </w:tc>
      </w:tr>
      <w:tr w14:paraId="7990E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 w:hRule="atLeast"/>
          <w:jc w:val="center"/>
        </w:trPr>
        <w:tc>
          <w:tcPr>
            <w:tcW w:w="1726" w:type="dxa"/>
            <w:noWrap w:val="0"/>
            <w:vAlign w:val="center"/>
          </w:tcPr>
          <w:p w14:paraId="6C76854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6851" w:type="dxa"/>
            <w:gridSpan w:val="2"/>
            <w:noWrap w:val="0"/>
            <w:vAlign w:val="center"/>
          </w:tcPr>
          <w:p w14:paraId="26CC63CF">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未经安全性处置，混合收集、贮存、运输、处置性质不相容的危险废物的</w:t>
            </w:r>
          </w:p>
        </w:tc>
      </w:tr>
      <w:tr w14:paraId="2132C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1726" w:type="dxa"/>
            <w:noWrap w:val="0"/>
            <w:vAlign w:val="center"/>
          </w:tcPr>
          <w:p w14:paraId="752CE2C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6851" w:type="dxa"/>
            <w:gridSpan w:val="2"/>
            <w:noWrap w:val="0"/>
            <w:vAlign w:val="top"/>
          </w:tcPr>
          <w:p w14:paraId="52AB01FF">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《中华人民共和国生态环境法典》第五百三十五条</w:t>
            </w:r>
            <w:r>
              <w:rPr>
                <w:rFonts w:hint="eastAsia" w:ascii="宋体" w:hAnsi="宋体" w:eastAsia="宋体" w:cs="宋体"/>
                <w:color w:val="auto"/>
                <w:sz w:val="21"/>
                <w:szCs w:val="21"/>
                <w:highlight w:val="none"/>
                <w:lang w:val="en-US" w:eastAsia="zh-CN"/>
              </w:rPr>
              <w:t>第一款</w:t>
            </w:r>
            <w:r>
              <w:rPr>
                <w:rFonts w:hint="eastAsia" w:ascii="宋体" w:hAnsi="宋体" w:eastAsia="宋体" w:cs="宋体"/>
                <w:color w:val="auto"/>
                <w:sz w:val="21"/>
                <w:szCs w:val="21"/>
                <w:highlight w:val="none"/>
              </w:rPr>
              <w:t xml:space="preserve">  收集、贮存危险废物，应当按照危险废物特性分类进行。禁止混合收集、贮存、运输或者处置性质不相容而未经安全性处置的危险废物。</w:t>
            </w:r>
          </w:p>
        </w:tc>
      </w:tr>
      <w:tr w14:paraId="762C2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jc w:val="center"/>
        </w:trPr>
        <w:tc>
          <w:tcPr>
            <w:tcW w:w="1726" w:type="dxa"/>
            <w:noWrap w:val="0"/>
            <w:vAlign w:val="center"/>
          </w:tcPr>
          <w:p w14:paraId="0226E86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6851" w:type="dxa"/>
            <w:gridSpan w:val="2"/>
            <w:noWrap w:val="0"/>
            <w:vAlign w:val="top"/>
          </w:tcPr>
          <w:p w14:paraId="7A0F70EF">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《中华人民共和国生态环境法典》第一千一百七十五条</w:t>
            </w:r>
            <w:r>
              <w:rPr>
                <w:rFonts w:hint="eastAsia" w:ascii="宋体" w:hAnsi="宋体" w:eastAsia="宋体" w:cs="宋体"/>
                <w:color w:val="auto"/>
                <w:sz w:val="21"/>
                <w:szCs w:val="21"/>
                <w:highlight w:val="none"/>
                <w:lang w:eastAsia="zh-CN"/>
              </w:rPr>
              <w:t>第一款第六项、第二款</w:t>
            </w:r>
            <w:r>
              <w:rPr>
                <w:rFonts w:hint="eastAsia" w:ascii="宋体" w:hAnsi="宋体" w:eastAsia="宋体" w:cs="宋体"/>
                <w:color w:val="auto"/>
                <w:sz w:val="21"/>
                <w:szCs w:val="21"/>
                <w:highlight w:val="none"/>
              </w:rPr>
              <w:t xml:space="preserve">  违反本法规定，有下列情形之一的，由生态环境主管部门责令改正，没收违法所得，并处以罚款</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w:t>
            </w:r>
          </w:p>
          <w:p w14:paraId="5E4CB1B7">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（六）未经安全性处置，混合收集、贮存、运输、处置性质不相容的危险废物；</w:t>
            </w:r>
          </w:p>
          <w:p w14:paraId="77D3F959">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有前款第一项、第二项、第三项、第四项、第六项、第七项、第九项、第十项、第十一项情形之一的，处五万元以上二十万元以下的罚款，拒不改正的，处二十万元以上一百万元以下的罚款；有前款第五项、第八项情形之一的，处二十万元以上二百万元以下的罚款。</w:t>
            </w:r>
          </w:p>
        </w:tc>
      </w:tr>
      <w:tr w14:paraId="03C49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726" w:type="dxa"/>
            <w:noWrap w:val="0"/>
            <w:vAlign w:val="center"/>
          </w:tcPr>
          <w:p w14:paraId="4BC2A5B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561" w:type="dxa"/>
            <w:noWrap w:val="0"/>
            <w:vAlign w:val="top"/>
          </w:tcPr>
          <w:p w14:paraId="0FD1701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290" w:type="dxa"/>
            <w:noWrap w:val="0"/>
            <w:vAlign w:val="top"/>
          </w:tcPr>
          <w:p w14:paraId="1D5565A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28767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726" w:type="dxa"/>
            <w:vMerge w:val="restart"/>
            <w:noWrap w:val="0"/>
            <w:vAlign w:val="center"/>
          </w:tcPr>
          <w:p w14:paraId="214F5BF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危险废物数量</w:t>
            </w:r>
          </w:p>
        </w:tc>
        <w:tc>
          <w:tcPr>
            <w:tcW w:w="5561" w:type="dxa"/>
            <w:noWrap w:val="0"/>
            <w:vAlign w:val="center"/>
          </w:tcPr>
          <w:p w14:paraId="43300825">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不足</w:t>
            </w:r>
            <w:r>
              <w:rPr>
                <w:rFonts w:hint="eastAsia" w:ascii="宋体" w:hAnsi="宋体" w:eastAsia="宋体" w:cs="宋体"/>
                <w:color w:val="auto"/>
                <w:sz w:val="21"/>
                <w:szCs w:val="21"/>
                <w:highlight w:val="none"/>
                <w:lang w:val="en-US" w:eastAsia="zh-CN"/>
              </w:rPr>
              <w:t>0.1</w:t>
            </w:r>
            <w:r>
              <w:rPr>
                <w:rFonts w:hint="eastAsia" w:ascii="宋体" w:hAnsi="宋体" w:eastAsia="宋体" w:cs="宋体"/>
                <w:color w:val="auto"/>
                <w:sz w:val="21"/>
                <w:szCs w:val="21"/>
                <w:highlight w:val="none"/>
              </w:rPr>
              <w:t>吨</w:t>
            </w:r>
          </w:p>
        </w:tc>
        <w:tc>
          <w:tcPr>
            <w:tcW w:w="1290" w:type="dxa"/>
            <w:noWrap w:val="0"/>
            <w:vAlign w:val="top"/>
          </w:tcPr>
          <w:p w14:paraId="496F4E7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52B1C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726" w:type="dxa"/>
            <w:vMerge w:val="continue"/>
            <w:noWrap w:val="0"/>
            <w:vAlign w:val="center"/>
          </w:tcPr>
          <w:p w14:paraId="0D83CE50">
            <w:pPr>
              <w:jc w:val="center"/>
              <w:rPr>
                <w:rFonts w:hint="eastAsia" w:ascii="宋体" w:hAnsi="宋体" w:eastAsia="宋体" w:cs="宋体"/>
                <w:color w:val="auto"/>
                <w:sz w:val="21"/>
                <w:szCs w:val="21"/>
                <w:highlight w:val="none"/>
              </w:rPr>
            </w:pPr>
          </w:p>
        </w:tc>
        <w:tc>
          <w:tcPr>
            <w:tcW w:w="5561" w:type="dxa"/>
            <w:noWrap w:val="0"/>
            <w:vAlign w:val="center"/>
          </w:tcPr>
          <w:p w14:paraId="200DCC02">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0.1</w:t>
            </w:r>
            <w:r>
              <w:rPr>
                <w:rFonts w:hint="eastAsia" w:ascii="宋体" w:hAnsi="宋体" w:eastAsia="宋体" w:cs="宋体"/>
                <w:color w:val="auto"/>
                <w:sz w:val="21"/>
                <w:szCs w:val="21"/>
                <w:highlight w:val="none"/>
              </w:rPr>
              <w:t>吨以上不足</w:t>
            </w:r>
            <w:r>
              <w:rPr>
                <w:rFonts w:hint="eastAsia" w:ascii="宋体" w:hAnsi="宋体" w:eastAsia="宋体" w:cs="宋体"/>
                <w:color w:val="auto"/>
                <w:sz w:val="21"/>
                <w:szCs w:val="21"/>
                <w:highlight w:val="none"/>
                <w:lang w:val="en-US" w:eastAsia="zh-CN"/>
              </w:rPr>
              <w:t>0.5</w:t>
            </w:r>
            <w:r>
              <w:rPr>
                <w:rFonts w:hint="eastAsia" w:ascii="宋体" w:hAnsi="宋体" w:eastAsia="宋体" w:cs="宋体"/>
                <w:color w:val="auto"/>
                <w:sz w:val="21"/>
                <w:szCs w:val="21"/>
                <w:highlight w:val="none"/>
              </w:rPr>
              <w:t>吨</w:t>
            </w:r>
          </w:p>
        </w:tc>
        <w:tc>
          <w:tcPr>
            <w:tcW w:w="1290" w:type="dxa"/>
            <w:noWrap w:val="0"/>
            <w:vAlign w:val="top"/>
          </w:tcPr>
          <w:p w14:paraId="051DA08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r>
      <w:tr w14:paraId="67F85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726" w:type="dxa"/>
            <w:vMerge w:val="continue"/>
            <w:noWrap w:val="0"/>
            <w:vAlign w:val="center"/>
          </w:tcPr>
          <w:p w14:paraId="3EEDEDF2">
            <w:pPr>
              <w:jc w:val="center"/>
              <w:rPr>
                <w:rFonts w:hint="eastAsia" w:ascii="宋体" w:hAnsi="宋体" w:eastAsia="宋体" w:cs="宋体"/>
                <w:color w:val="auto"/>
                <w:sz w:val="21"/>
                <w:szCs w:val="21"/>
                <w:highlight w:val="none"/>
              </w:rPr>
            </w:pPr>
          </w:p>
        </w:tc>
        <w:tc>
          <w:tcPr>
            <w:tcW w:w="5561" w:type="dxa"/>
            <w:noWrap w:val="0"/>
            <w:vAlign w:val="center"/>
          </w:tcPr>
          <w:p w14:paraId="57DB9CA6">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0.5</w:t>
            </w:r>
            <w:r>
              <w:rPr>
                <w:rFonts w:hint="eastAsia" w:ascii="宋体" w:hAnsi="宋体" w:eastAsia="宋体" w:cs="宋体"/>
                <w:color w:val="auto"/>
                <w:sz w:val="21"/>
                <w:szCs w:val="21"/>
                <w:highlight w:val="none"/>
              </w:rPr>
              <w:t>吨以上不足</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吨</w:t>
            </w:r>
          </w:p>
        </w:tc>
        <w:tc>
          <w:tcPr>
            <w:tcW w:w="1290" w:type="dxa"/>
            <w:noWrap w:val="0"/>
            <w:vAlign w:val="top"/>
          </w:tcPr>
          <w:p w14:paraId="5BF9F73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5D860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726" w:type="dxa"/>
            <w:vMerge w:val="continue"/>
            <w:noWrap w:val="0"/>
            <w:vAlign w:val="center"/>
          </w:tcPr>
          <w:p w14:paraId="4A17AA44">
            <w:pPr>
              <w:jc w:val="center"/>
              <w:rPr>
                <w:rFonts w:hint="eastAsia" w:ascii="宋体" w:hAnsi="宋体" w:eastAsia="宋体" w:cs="宋体"/>
                <w:color w:val="auto"/>
                <w:sz w:val="21"/>
                <w:szCs w:val="21"/>
                <w:highlight w:val="none"/>
              </w:rPr>
            </w:pPr>
          </w:p>
        </w:tc>
        <w:tc>
          <w:tcPr>
            <w:tcW w:w="5561" w:type="dxa"/>
            <w:noWrap w:val="0"/>
            <w:vAlign w:val="center"/>
          </w:tcPr>
          <w:p w14:paraId="7B17E270">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吨以上不足</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吨</w:t>
            </w:r>
          </w:p>
        </w:tc>
        <w:tc>
          <w:tcPr>
            <w:tcW w:w="1290" w:type="dxa"/>
            <w:noWrap w:val="0"/>
            <w:vAlign w:val="top"/>
          </w:tcPr>
          <w:p w14:paraId="15E2841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r>
      <w:tr w14:paraId="47DD9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726" w:type="dxa"/>
            <w:vMerge w:val="continue"/>
            <w:noWrap w:val="0"/>
            <w:vAlign w:val="center"/>
          </w:tcPr>
          <w:p w14:paraId="0BBA02FC">
            <w:pPr>
              <w:jc w:val="center"/>
              <w:rPr>
                <w:rFonts w:hint="eastAsia" w:ascii="宋体" w:hAnsi="宋体" w:eastAsia="宋体" w:cs="宋体"/>
                <w:color w:val="auto"/>
                <w:sz w:val="21"/>
                <w:szCs w:val="21"/>
                <w:highlight w:val="none"/>
              </w:rPr>
            </w:pPr>
          </w:p>
        </w:tc>
        <w:tc>
          <w:tcPr>
            <w:tcW w:w="5561" w:type="dxa"/>
            <w:noWrap w:val="0"/>
            <w:vAlign w:val="center"/>
          </w:tcPr>
          <w:p w14:paraId="4BE0C6C0">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吨以上</w:t>
            </w:r>
          </w:p>
        </w:tc>
        <w:tc>
          <w:tcPr>
            <w:tcW w:w="1290" w:type="dxa"/>
            <w:noWrap w:val="0"/>
            <w:vAlign w:val="top"/>
          </w:tcPr>
          <w:p w14:paraId="44244FE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4E967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726" w:type="dxa"/>
            <w:vMerge w:val="restart"/>
            <w:noWrap w:val="0"/>
            <w:vAlign w:val="center"/>
          </w:tcPr>
          <w:p w14:paraId="2098953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危险废物种类</w:t>
            </w:r>
          </w:p>
        </w:tc>
        <w:tc>
          <w:tcPr>
            <w:tcW w:w="5561" w:type="dxa"/>
            <w:noWrap w:val="0"/>
            <w:vAlign w:val="top"/>
          </w:tcPr>
          <w:p w14:paraId="1C95E334">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2种</w:t>
            </w:r>
          </w:p>
        </w:tc>
        <w:tc>
          <w:tcPr>
            <w:tcW w:w="1290" w:type="dxa"/>
            <w:noWrap w:val="0"/>
            <w:vAlign w:val="top"/>
          </w:tcPr>
          <w:p w14:paraId="57EFC8ED">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r>
      <w:tr w14:paraId="30FB1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726" w:type="dxa"/>
            <w:vMerge w:val="continue"/>
            <w:noWrap w:val="0"/>
            <w:vAlign w:val="top"/>
          </w:tcPr>
          <w:p w14:paraId="4C1A5015">
            <w:pPr>
              <w:rPr>
                <w:rFonts w:hint="eastAsia" w:ascii="宋体" w:hAnsi="宋体" w:eastAsia="宋体" w:cs="宋体"/>
                <w:color w:val="auto"/>
                <w:sz w:val="21"/>
                <w:szCs w:val="21"/>
                <w:highlight w:val="none"/>
              </w:rPr>
            </w:pPr>
          </w:p>
        </w:tc>
        <w:tc>
          <w:tcPr>
            <w:tcW w:w="5561" w:type="dxa"/>
            <w:noWrap w:val="0"/>
            <w:vAlign w:val="top"/>
          </w:tcPr>
          <w:p w14:paraId="239A3CDD">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3种以上不足5种</w:t>
            </w:r>
          </w:p>
        </w:tc>
        <w:tc>
          <w:tcPr>
            <w:tcW w:w="1290" w:type="dxa"/>
            <w:noWrap w:val="0"/>
            <w:vAlign w:val="top"/>
          </w:tcPr>
          <w:p w14:paraId="766A98C7">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r>
      <w:tr w14:paraId="4B5DB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726" w:type="dxa"/>
            <w:vMerge w:val="continue"/>
            <w:noWrap w:val="0"/>
            <w:vAlign w:val="top"/>
          </w:tcPr>
          <w:p w14:paraId="108D0C5F">
            <w:pPr>
              <w:rPr>
                <w:rFonts w:hint="eastAsia" w:ascii="宋体" w:hAnsi="宋体" w:eastAsia="宋体" w:cs="宋体"/>
                <w:color w:val="auto"/>
                <w:sz w:val="21"/>
                <w:szCs w:val="21"/>
                <w:highlight w:val="none"/>
              </w:rPr>
            </w:pPr>
          </w:p>
        </w:tc>
        <w:tc>
          <w:tcPr>
            <w:tcW w:w="5561" w:type="dxa"/>
            <w:noWrap w:val="0"/>
            <w:vAlign w:val="top"/>
          </w:tcPr>
          <w:p w14:paraId="36A7BE81">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5种以上</w:t>
            </w:r>
          </w:p>
        </w:tc>
        <w:tc>
          <w:tcPr>
            <w:tcW w:w="1290" w:type="dxa"/>
            <w:noWrap w:val="0"/>
            <w:vAlign w:val="top"/>
          </w:tcPr>
          <w:p w14:paraId="6A8C69C6">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r>
    </w:tbl>
    <w:p w14:paraId="08910981">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65"/>
        <w:gridCol w:w="5213"/>
        <w:gridCol w:w="1870"/>
      </w:tblGrid>
      <w:tr w14:paraId="69A71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3"/>
            <w:noWrap w:val="0"/>
            <w:vAlign w:val="top"/>
          </w:tcPr>
          <w:p w14:paraId="5B2F16B9">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（八）固体废物污染防治类</w:t>
            </w:r>
          </w:p>
        </w:tc>
      </w:tr>
      <w:tr w14:paraId="2666A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6" w:type="dxa"/>
            <w:noWrap w:val="0"/>
            <w:vAlign w:val="center"/>
          </w:tcPr>
          <w:p w14:paraId="3CA3C54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746" w:type="dxa"/>
            <w:gridSpan w:val="2"/>
            <w:noWrap w:val="0"/>
            <w:vAlign w:val="top"/>
          </w:tcPr>
          <w:p w14:paraId="5E9C7609">
            <w:pPr>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7</w:t>
            </w:r>
          </w:p>
        </w:tc>
      </w:tr>
      <w:tr w14:paraId="5119C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6" w:type="dxa"/>
            <w:noWrap w:val="0"/>
            <w:vAlign w:val="center"/>
          </w:tcPr>
          <w:p w14:paraId="69C77EC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6746" w:type="dxa"/>
            <w:gridSpan w:val="2"/>
            <w:noWrap w:val="0"/>
            <w:vAlign w:val="top"/>
          </w:tcPr>
          <w:p w14:paraId="6C69A50E">
            <w:pPr>
              <w:keepNext w:val="0"/>
              <w:keepLines w:val="0"/>
              <w:pageBreakBefore w:val="0"/>
              <w:widowControl w:val="0"/>
              <w:kinsoku/>
              <w:wordWrap/>
              <w:overflowPunct/>
              <w:topLinePunct w:val="0"/>
              <w:autoSpaceDE/>
              <w:autoSpaceDN/>
              <w:bidi w:val="0"/>
              <w:adjustRightInd/>
              <w:snapToGrid/>
              <w:ind w:firstLine="428"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b w:val="0"/>
                <w:bCs w:val="0"/>
                <w:color w:val="auto"/>
                <w:spacing w:val="2"/>
                <w:sz w:val="21"/>
                <w:szCs w:val="21"/>
                <w:highlight w:val="none"/>
                <w:lang w:eastAsia="zh-CN"/>
              </w:rPr>
              <w:t>未填写、运行危险废物转移联单的</w:t>
            </w:r>
          </w:p>
        </w:tc>
      </w:tr>
      <w:tr w14:paraId="6DF0B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6" w:type="dxa"/>
            <w:noWrap w:val="0"/>
            <w:vAlign w:val="center"/>
          </w:tcPr>
          <w:p w14:paraId="1284752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6746" w:type="dxa"/>
            <w:gridSpan w:val="2"/>
            <w:noWrap w:val="0"/>
            <w:vAlign w:val="top"/>
          </w:tcPr>
          <w:p w14:paraId="5823BC39">
            <w:pPr>
              <w:keepNext w:val="0"/>
              <w:keepLines w:val="0"/>
              <w:pageBreakBefore w:val="0"/>
              <w:widowControl w:val="0"/>
              <w:kinsoku/>
              <w:wordWrap/>
              <w:overflowPunct/>
              <w:topLinePunct w:val="0"/>
              <w:autoSpaceDE/>
              <w:autoSpaceDN/>
              <w:bidi w:val="0"/>
              <w:adjustRightInd/>
              <w:snapToGrid w:val="0"/>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《中华人民共和国生态环境法典》第五百三十六条</w:t>
            </w:r>
            <w:r>
              <w:rPr>
                <w:rFonts w:hint="eastAsia" w:ascii="宋体" w:hAnsi="宋体" w:eastAsia="宋体" w:cs="宋体"/>
                <w:color w:val="auto"/>
                <w:sz w:val="21"/>
                <w:szCs w:val="21"/>
                <w:highlight w:val="none"/>
                <w:lang w:eastAsia="zh-CN"/>
              </w:rPr>
              <w:t>第一款、第二款</w:t>
            </w:r>
            <w:r>
              <w:rPr>
                <w:rFonts w:hint="eastAsia" w:ascii="宋体" w:hAnsi="宋体" w:eastAsia="宋体" w:cs="宋体"/>
                <w:color w:val="auto"/>
                <w:sz w:val="21"/>
                <w:szCs w:val="21"/>
                <w:highlight w:val="none"/>
              </w:rPr>
              <w:t xml:space="preserve">  转移危险废物的，应当按照国家规定填写、运行危险废物电子或者纸质转移联单。</w:t>
            </w:r>
          </w:p>
          <w:p w14:paraId="35702678">
            <w:pPr>
              <w:keepNext w:val="0"/>
              <w:keepLines w:val="0"/>
              <w:pageBreakBefore w:val="0"/>
              <w:widowControl w:val="0"/>
              <w:kinsoku/>
              <w:wordWrap/>
              <w:overflowPunct/>
              <w:topLinePunct w:val="0"/>
              <w:autoSpaceDE/>
              <w:autoSpaceDN/>
              <w:bidi w:val="0"/>
              <w:adjustRightInd/>
              <w:snapToGrid w:val="0"/>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跨省、自治区、直辖市转移危险废物的，应当向危险废物移出地省级人民政府生态环境主管部门申请。移出地省级人民政府生态环境主管部门应当及时商经接受地省级人民政府生态环境主管部门同意后，在规定期限内批准转移该危险废物，并将批准信息通报相关省级人民政府生态环境主管部门和交通运输主管部门。未经批准的，不得转移。</w:t>
            </w:r>
          </w:p>
          <w:p w14:paraId="7D044591">
            <w:pPr>
              <w:keepNext w:val="0"/>
              <w:keepLines w:val="0"/>
              <w:pageBreakBefore w:val="0"/>
              <w:widowControl w:val="0"/>
              <w:kinsoku/>
              <w:wordWrap/>
              <w:overflowPunct/>
              <w:topLinePunct w:val="0"/>
              <w:autoSpaceDE/>
              <w:autoSpaceDN/>
              <w:bidi w:val="0"/>
              <w:adjustRightInd/>
              <w:snapToGrid w:val="0"/>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《福建省固体废物污染环境防治条例》第三十三条第二款</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产生、运输、收集、利用、处置危险废物的单位应当按照国家和本省有关规定，依托固体废物污染环境防治信息平台运行电子转移联单。</w:t>
            </w:r>
          </w:p>
        </w:tc>
      </w:tr>
      <w:tr w14:paraId="4C5C0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6" w:type="dxa"/>
            <w:noWrap w:val="0"/>
            <w:vAlign w:val="center"/>
          </w:tcPr>
          <w:p w14:paraId="6F7C068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6746" w:type="dxa"/>
            <w:gridSpan w:val="2"/>
            <w:noWrap w:val="0"/>
            <w:vAlign w:val="top"/>
          </w:tcPr>
          <w:p w14:paraId="492C086E">
            <w:pPr>
              <w:keepNext w:val="0"/>
              <w:keepLines w:val="0"/>
              <w:pageBreakBefore w:val="0"/>
              <w:widowControl w:val="0"/>
              <w:kinsoku/>
              <w:wordWrap/>
              <w:overflowPunct/>
              <w:topLinePunct w:val="0"/>
              <w:autoSpaceDE/>
              <w:autoSpaceDN/>
              <w:bidi w:val="0"/>
              <w:adjustRightInd/>
              <w:snapToGrid w:val="0"/>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《中华人民共和国生态环境法典》第一千一百七十五条</w:t>
            </w:r>
            <w:r>
              <w:rPr>
                <w:rFonts w:hint="eastAsia" w:ascii="宋体" w:hAnsi="宋体" w:eastAsia="宋体" w:cs="宋体"/>
                <w:color w:val="auto"/>
                <w:sz w:val="21"/>
                <w:szCs w:val="21"/>
                <w:highlight w:val="none"/>
                <w:lang w:eastAsia="zh-CN"/>
              </w:rPr>
              <w:t>第一款第七项、第二款</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  违反本法规定，有下列情形之一的，由生态环境主管部门责令改正，没收违法所得，并处以罚款</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w:t>
            </w:r>
          </w:p>
          <w:p w14:paraId="4C53C4EF">
            <w:pPr>
              <w:keepNext w:val="0"/>
              <w:keepLines w:val="0"/>
              <w:pageBreakBefore w:val="0"/>
              <w:widowControl w:val="0"/>
              <w:kinsoku/>
              <w:wordWrap/>
              <w:overflowPunct/>
              <w:topLinePunct w:val="0"/>
              <w:autoSpaceDE/>
              <w:autoSpaceDN/>
              <w:bidi w:val="0"/>
              <w:adjustRightInd/>
              <w:snapToGrid w:val="0"/>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（七）未填写、运行危险废物转移联单；</w:t>
            </w:r>
          </w:p>
          <w:p w14:paraId="5B690320">
            <w:pPr>
              <w:keepNext w:val="0"/>
              <w:keepLines w:val="0"/>
              <w:pageBreakBefore w:val="0"/>
              <w:widowControl w:val="0"/>
              <w:kinsoku/>
              <w:wordWrap/>
              <w:overflowPunct/>
              <w:topLinePunct w:val="0"/>
              <w:autoSpaceDE/>
              <w:autoSpaceDN/>
              <w:bidi w:val="0"/>
              <w:adjustRightInd/>
              <w:snapToGrid w:val="0"/>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有前款第一项、第二项、第三项、第四项、第六项、第七项、第九项、第十项、第十一项情形之一的，处五万元以上二十万元以下的罚款，拒不改正的，处二十万元以上一百万元以下的罚款；有前款第五项、第八项情形之一的，处二十万元以上二百万元以下的罚款。</w:t>
            </w:r>
          </w:p>
          <w:p w14:paraId="4F250947">
            <w:pPr>
              <w:keepNext w:val="0"/>
              <w:keepLines w:val="0"/>
              <w:pageBreakBefore w:val="0"/>
              <w:widowControl w:val="0"/>
              <w:kinsoku/>
              <w:wordWrap/>
              <w:overflowPunct/>
              <w:topLinePunct w:val="0"/>
              <w:autoSpaceDE/>
              <w:autoSpaceDN/>
              <w:bidi w:val="0"/>
              <w:adjustRightInd/>
              <w:snapToGrid w:val="0"/>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《福建省固体废物污染环境防治条例》第六十四条第三项</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违反本条例第二十九条、第三十三条第二款规定，有下列行为之一的，由省、设区的市人民政府生态环境主管部门或其派出机构责令改正，没收违法所得，处五万元以上二十万元以下罚款；拒不改正的，处二十万元以上一百万元以下罚款；……：</w:t>
            </w:r>
          </w:p>
          <w:p w14:paraId="3D2819EE">
            <w:pPr>
              <w:keepNext w:val="0"/>
              <w:keepLines w:val="0"/>
              <w:pageBreakBefore w:val="0"/>
              <w:widowControl w:val="0"/>
              <w:kinsoku/>
              <w:wordWrap/>
              <w:overflowPunct/>
              <w:topLinePunct w:val="0"/>
              <w:autoSpaceDE/>
              <w:autoSpaceDN/>
              <w:bidi w:val="0"/>
              <w:adjustRightInd/>
              <w:snapToGrid w:val="0"/>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（三）产生、运输、收集、利用、处置危险废物的单位未按照规定依托固体废物污染环境防治信息平台运行电子转移联单的。</w:t>
            </w:r>
          </w:p>
        </w:tc>
      </w:tr>
      <w:tr w14:paraId="71DCF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6" w:type="dxa"/>
            <w:noWrap w:val="0"/>
            <w:vAlign w:val="center"/>
          </w:tcPr>
          <w:p w14:paraId="5E6943C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4965" w:type="dxa"/>
            <w:noWrap w:val="0"/>
            <w:vAlign w:val="top"/>
          </w:tcPr>
          <w:p w14:paraId="0EDF445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781" w:type="dxa"/>
            <w:noWrap w:val="0"/>
            <w:vAlign w:val="top"/>
          </w:tcPr>
          <w:p w14:paraId="0DFAD9F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15E88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6" w:type="dxa"/>
            <w:vMerge w:val="restart"/>
            <w:noWrap w:val="0"/>
            <w:vAlign w:val="center"/>
          </w:tcPr>
          <w:p w14:paraId="13C1BDF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危险废物数量</w:t>
            </w:r>
          </w:p>
        </w:tc>
        <w:tc>
          <w:tcPr>
            <w:tcW w:w="4965" w:type="dxa"/>
            <w:noWrap w:val="0"/>
            <w:vAlign w:val="center"/>
          </w:tcPr>
          <w:p w14:paraId="0D460FD7">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不足</w:t>
            </w:r>
            <w:r>
              <w:rPr>
                <w:rFonts w:hint="eastAsia" w:ascii="宋体" w:hAnsi="宋体" w:eastAsia="宋体" w:cs="宋体"/>
                <w:color w:val="auto"/>
                <w:sz w:val="21"/>
                <w:szCs w:val="21"/>
                <w:highlight w:val="none"/>
                <w:lang w:val="en-US" w:eastAsia="zh-CN"/>
              </w:rPr>
              <w:t>0.1</w:t>
            </w:r>
            <w:r>
              <w:rPr>
                <w:rFonts w:hint="eastAsia" w:ascii="宋体" w:hAnsi="宋体" w:eastAsia="宋体" w:cs="宋体"/>
                <w:color w:val="auto"/>
                <w:sz w:val="21"/>
                <w:szCs w:val="21"/>
                <w:highlight w:val="none"/>
              </w:rPr>
              <w:t>吨</w:t>
            </w:r>
          </w:p>
        </w:tc>
        <w:tc>
          <w:tcPr>
            <w:tcW w:w="1781" w:type="dxa"/>
            <w:noWrap w:val="0"/>
            <w:vAlign w:val="top"/>
          </w:tcPr>
          <w:p w14:paraId="1AA047D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7EC0D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6" w:type="dxa"/>
            <w:vMerge w:val="continue"/>
            <w:noWrap w:val="0"/>
            <w:vAlign w:val="center"/>
          </w:tcPr>
          <w:p w14:paraId="209838F5">
            <w:pPr>
              <w:jc w:val="center"/>
              <w:rPr>
                <w:rFonts w:hint="eastAsia" w:ascii="宋体" w:hAnsi="宋体" w:eastAsia="宋体" w:cs="宋体"/>
                <w:color w:val="auto"/>
                <w:sz w:val="21"/>
                <w:szCs w:val="21"/>
                <w:highlight w:val="none"/>
              </w:rPr>
            </w:pPr>
          </w:p>
        </w:tc>
        <w:tc>
          <w:tcPr>
            <w:tcW w:w="4965" w:type="dxa"/>
            <w:noWrap w:val="0"/>
            <w:vAlign w:val="center"/>
          </w:tcPr>
          <w:p w14:paraId="0FEF8F3D">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0.1</w:t>
            </w:r>
            <w:r>
              <w:rPr>
                <w:rFonts w:hint="eastAsia" w:ascii="宋体" w:hAnsi="宋体" w:eastAsia="宋体" w:cs="宋体"/>
                <w:color w:val="auto"/>
                <w:sz w:val="21"/>
                <w:szCs w:val="21"/>
                <w:highlight w:val="none"/>
              </w:rPr>
              <w:t>吨以上不足</w:t>
            </w:r>
            <w:r>
              <w:rPr>
                <w:rFonts w:hint="eastAsia" w:ascii="宋体" w:hAnsi="宋体" w:eastAsia="宋体" w:cs="宋体"/>
                <w:color w:val="auto"/>
                <w:sz w:val="21"/>
                <w:szCs w:val="21"/>
                <w:highlight w:val="none"/>
                <w:lang w:val="en-US" w:eastAsia="zh-CN"/>
              </w:rPr>
              <w:t>0.5</w:t>
            </w:r>
            <w:r>
              <w:rPr>
                <w:rFonts w:hint="eastAsia" w:ascii="宋体" w:hAnsi="宋体" w:eastAsia="宋体" w:cs="宋体"/>
                <w:color w:val="auto"/>
                <w:sz w:val="21"/>
                <w:szCs w:val="21"/>
                <w:highlight w:val="none"/>
              </w:rPr>
              <w:t>吨</w:t>
            </w:r>
          </w:p>
        </w:tc>
        <w:tc>
          <w:tcPr>
            <w:tcW w:w="1781" w:type="dxa"/>
            <w:noWrap w:val="0"/>
            <w:vAlign w:val="top"/>
          </w:tcPr>
          <w:p w14:paraId="7664BEC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r>
      <w:tr w14:paraId="1DA55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6" w:type="dxa"/>
            <w:vMerge w:val="continue"/>
            <w:noWrap w:val="0"/>
            <w:vAlign w:val="center"/>
          </w:tcPr>
          <w:p w14:paraId="5C92B4DA">
            <w:pPr>
              <w:jc w:val="center"/>
              <w:rPr>
                <w:rFonts w:hint="eastAsia" w:ascii="宋体" w:hAnsi="宋体" w:eastAsia="宋体" w:cs="宋体"/>
                <w:color w:val="auto"/>
                <w:sz w:val="21"/>
                <w:szCs w:val="21"/>
                <w:highlight w:val="none"/>
              </w:rPr>
            </w:pPr>
          </w:p>
        </w:tc>
        <w:tc>
          <w:tcPr>
            <w:tcW w:w="4965" w:type="dxa"/>
            <w:noWrap w:val="0"/>
            <w:vAlign w:val="center"/>
          </w:tcPr>
          <w:p w14:paraId="20489A34">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0.5</w:t>
            </w:r>
            <w:r>
              <w:rPr>
                <w:rFonts w:hint="eastAsia" w:ascii="宋体" w:hAnsi="宋体" w:eastAsia="宋体" w:cs="宋体"/>
                <w:color w:val="auto"/>
                <w:sz w:val="21"/>
                <w:szCs w:val="21"/>
                <w:highlight w:val="none"/>
              </w:rPr>
              <w:t>吨以上不足</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吨</w:t>
            </w:r>
          </w:p>
        </w:tc>
        <w:tc>
          <w:tcPr>
            <w:tcW w:w="1781" w:type="dxa"/>
            <w:noWrap w:val="0"/>
            <w:vAlign w:val="top"/>
          </w:tcPr>
          <w:p w14:paraId="1D41663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597D7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6" w:type="dxa"/>
            <w:vMerge w:val="continue"/>
            <w:noWrap w:val="0"/>
            <w:vAlign w:val="center"/>
          </w:tcPr>
          <w:p w14:paraId="5530D5B7">
            <w:pPr>
              <w:jc w:val="center"/>
              <w:rPr>
                <w:rFonts w:hint="eastAsia" w:ascii="宋体" w:hAnsi="宋体" w:eastAsia="宋体" w:cs="宋体"/>
                <w:color w:val="auto"/>
                <w:sz w:val="21"/>
                <w:szCs w:val="21"/>
                <w:highlight w:val="none"/>
              </w:rPr>
            </w:pPr>
          </w:p>
        </w:tc>
        <w:tc>
          <w:tcPr>
            <w:tcW w:w="4965" w:type="dxa"/>
            <w:noWrap w:val="0"/>
            <w:vAlign w:val="center"/>
          </w:tcPr>
          <w:p w14:paraId="28923827">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吨以上不足</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吨</w:t>
            </w:r>
          </w:p>
        </w:tc>
        <w:tc>
          <w:tcPr>
            <w:tcW w:w="1781" w:type="dxa"/>
            <w:noWrap w:val="0"/>
            <w:vAlign w:val="top"/>
          </w:tcPr>
          <w:p w14:paraId="5A363A7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r>
      <w:tr w14:paraId="67FB2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6" w:type="dxa"/>
            <w:vMerge w:val="continue"/>
            <w:noWrap w:val="0"/>
            <w:vAlign w:val="center"/>
          </w:tcPr>
          <w:p w14:paraId="5E5A25D1">
            <w:pPr>
              <w:jc w:val="center"/>
              <w:rPr>
                <w:rFonts w:hint="eastAsia" w:ascii="宋体" w:hAnsi="宋体" w:eastAsia="宋体" w:cs="宋体"/>
                <w:color w:val="auto"/>
                <w:sz w:val="21"/>
                <w:szCs w:val="21"/>
                <w:highlight w:val="none"/>
              </w:rPr>
            </w:pPr>
          </w:p>
        </w:tc>
        <w:tc>
          <w:tcPr>
            <w:tcW w:w="4965" w:type="dxa"/>
            <w:noWrap w:val="0"/>
            <w:vAlign w:val="center"/>
          </w:tcPr>
          <w:p w14:paraId="378EA778">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吨以上</w:t>
            </w:r>
          </w:p>
        </w:tc>
        <w:tc>
          <w:tcPr>
            <w:tcW w:w="1781" w:type="dxa"/>
            <w:noWrap w:val="0"/>
            <w:vAlign w:val="top"/>
          </w:tcPr>
          <w:p w14:paraId="48BB84B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413E6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6" w:type="dxa"/>
            <w:vMerge w:val="restart"/>
            <w:noWrap w:val="0"/>
            <w:vAlign w:val="center"/>
          </w:tcPr>
          <w:p w14:paraId="5968DC9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危险废物种类</w:t>
            </w:r>
          </w:p>
        </w:tc>
        <w:tc>
          <w:tcPr>
            <w:tcW w:w="4965" w:type="dxa"/>
            <w:noWrap w:val="0"/>
            <w:vAlign w:val="top"/>
          </w:tcPr>
          <w:p w14:paraId="42496B42">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1种</w:t>
            </w:r>
          </w:p>
        </w:tc>
        <w:tc>
          <w:tcPr>
            <w:tcW w:w="1781" w:type="dxa"/>
            <w:noWrap w:val="0"/>
            <w:vAlign w:val="top"/>
          </w:tcPr>
          <w:p w14:paraId="59A3785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p>
        </w:tc>
      </w:tr>
      <w:tr w14:paraId="1F23E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6" w:type="dxa"/>
            <w:vMerge w:val="continue"/>
            <w:noWrap w:val="0"/>
            <w:vAlign w:val="center"/>
          </w:tcPr>
          <w:p w14:paraId="2F30344E">
            <w:pPr>
              <w:jc w:val="center"/>
              <w:rPr>
                <w:rFonts w:hint="eastAsia" w:ascii="宋体" w:hAnsi="宋体" w:eastAsia="宋体" w:cs="宋体"/>
                <w:color w:val="auto"/>
                <w:sz w:val="21"/>
                <w:szCs w:val="21"/>
                <w:highlight w:val="none"/>
              </w:rPr>
            </w:pPr>
          </w:p>
        </w:tc>
        <w:tc>
          <w:tcPr>
            <w:tcW w:w="4965" w:type="dxa"/>
            <w:noWrap w:val="0"/>
            <w:vAlign w:val="top"/>
          </w:tcPr>
          <w:p w14:paraId="0D53B147">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2种以上不足4种</w:t>
            </w:r>
          </w:p>
        </w:tc>
        <w:tc>
          <w:tcPr>
            <w:tcW w:w="1781" w:type="dxa"/>
            <w:noWrap w:val="0"/>
            <w:vAlign w:val="top"/>
          </w:tcPr>
          <w:p w14:paraId="0E96908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p>
        </w:tc>
      </w:tr>
      <w:tr w14:paraId="516C8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6" w:type="dxa"/>
            <w:vMerge w:val="continue"/>
            <w:noWrap w:val="0"/>
            <w:vAlign w:val="center"/>
          </w:tcPr>
          <w:p w14:paraId="5EE6F392">
            <w:pPr>
              <w:jc w:val="center"/>
              <w:rPr>
                <w:rFonts w:hint="eastAsia" w:ascii="宋体" w:hAnsi="宋体" w:eastAsia="宋体" w:cs="宋体"/>
                <w:color w:val="auto"/>
                <w:sz w:val="21"/>
                <w:szCs w:val="21"/>
                <w:highlight w:val="none"/>
              </w:rPr>
            </w:pPr>
          </w:p>
        </w:tc>
        <w:tc>
          <w:tcPr>
            <w:tcW w:w="4965" w:type="dxa"/>
            <w:noWrap w:val="0"/>
            <w:vAlign w:val="top"/>
          </w:tcPr>
          <w:p w14:paraId="382BDE8D">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4种及以上</w:t>
            </w:r>
          </w:p>
        </w:tc>
        <w:tc>
          <w:tcPr>
            <w:tcW w:w="1781" w:type="dxa"/>
            <w:noWrap w:val="0"/>
            <w:vAlign w:val="top"/>
          </w:tcPr>
          <w:p w14:paraId="3C8A711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p>
        </w:tc>
      </w:tr>
      <w:tr w14:paraId="3CD2F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6" w:type="dxa"/>
            <w:vMerge w:val="restart"/>
            <w:noWrap w:val="0"/>
            <w:vAlign w:val="center"/>
          </w:tcPr>
          <w:p w14:paraId="333CA93B">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未填写、运行危险废物转移联单转移次数</w:t>
            </w:r>
          </w:p>
        </w:tc>
        <w:tc>
          <w:tcPr>
            <w:tcW w:w="4965" w:type="dxa"/>
            <w:noWrap w:val="0"/>
            <w:vAlign w:val="top"/>
          </w:tcPr>
          <w:p w14:paraId="62005E61">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1次</w:t>
            </w:r>
          </w:p>
        </w:tc>
        <w:tc>
          <w:tcPr>
            <w:tcW w:w="1781" w:type="dxa"/>
            <w:noWrap w:val="0"/>
            <w:vAlign w:val="top"/>
          </w:tcPr>
          <w:p w14:paraId="03752922">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r>
      <w:tr w14:paraId="0B060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6" w:type="dxa"/>
            <w:vMerge w:val="continue"/>
            <w:noWrap w:val="0"/>
            <w:vAlign w:val="center"/>
          </w:tcPr>
          <w:p w14:paraId="2CCC5685">
            <w:pPr>
              <w:jc w:val="center"/>
              <w:rPr>
                <w:rFonts w:hint="eastAsia" w:ascii="宋体" w:hAnsi="宋体" w:eastAsia="宋体" w:cs="宋体"/>
                <w:color w:val="auto"/>
                <w:sz w:val="21"/>
                <w:szCs w:val="21"/>
                <w:highlight w:val="none"/>
                <w:lang w:val="en-US" w:eastAsia="zh-CN"/>
              </w:rPr>
            </w:pPr>
          </w:p>
        </w:tc>
        <w:tc>
          <w:tcPr>
            <w:tcW w:w="4965" w:type="dxa"/>
            <w:noWrap w:val="0"/>
            <w:vAlign w:val="top"/>
          </w:tcPr>
          <w:p w14:paraId="5444C535">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2次</w:t>
            </w:r>
          </w:p>
        </w:tc>
        <w:tc>
          <w:tcPr>
            <w:tcW w:w="1781" w:type="dxa"/>
            <w:noWrap w:val="0"/>
            <w:vAlign w:val="top"/>
          </w:tcPr>
          <w:p w14:paraId="63F68BCF">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r>
      <w:tr w14:paraId="23312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6" w:type="dxa"/>
            <w:vMerge w:val="continue"/>
            <w:noWrap w:val="0"/>
            <w:vAlign w:val="center"/>
          </w:tcPr>
          <w:p w14:paraId="35A0CCEF">
            <w:pPr>
              <w:jc w:val="center"/>
              <w:rPr>
                <w:rFonts w:hint="eastAsia" w:ascii="宋体" w:hAnsi="宋体" w:eastAsia="宋体" w:cs="宋体"/>
                <w:color w:val="auto"/>
                <w:sz w:val="21"/>
                <w:szCs w:val="21"/>
                <w:highlight w:val="none"/>
                <w:lang w:val="en-US" w:eastAsia="zh-CN"/>
              </w:rPr>
            </w:pPr>
          </w:p>
        </w:tc>
        <w:tc>
          <w:tcPr>
            <w:tcW w:w="4965" w:type="dxa"/>
            <w:noWrap w:val="0"/>
            <w:vAlign w:val="top"/>
          </w:tcPr>
          <w:p w14:paraId="555E7C9A">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3次及以上</w:t>
            </w:r>
          </w:p>
        </w:tc>
        <w:tc>
          <w:tcPr>
            <w:tcW w:w="1781" w:type="dxa"/>
            <w:noWrap w:val="0"/>
            <w:vAlign w:val="top"/>
          </w:tcPr>
          <w:p w14:paraId="3147C186">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r>
    </w:tbl>
    <w:p w14:paraId="76DB378E">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65"/>
        <w:gridCol w:w="5212"/>
        <w:gridCol w:w="1871"/>
      </w:tblGrid>
      <w:tr w14:paraId="35F2F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3"/>
            <w:noWrap w:val="0"/>
            <w:vAlign w:val="top"/>
          </w:tcPr>
          <w:p w14:paraId="276A1A00">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（八）固体废物污染防治类</w:t>
            </w:r>
          </w:p>
        </w:tc>
      </w:tr>
      <w:tr w14:paraId="781E7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6" w:type="dxa"/>
            <w:noWrap w:val="0"/>
            <w:vAlign w:val="center"/>
          </w:tcPr>
          <w:p w14:paraId="468F7D3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746" w:type="dxa"/>
            <w:gridSpan w:val="2"/>
            <w:noWrap w:val="0"/>
            <w:vAlign w:val="top"/>
          </w:tcPr>
          <w:p w14:paraId="57A0BF68">
            <w:pPr>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8</w:t>
            </w:r>
          </w:p>
        </w:tc>
      </w:tr>
      <w:tr w14:paraId="776A2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6" w:type="dxa"/>
            <w:noWrap w:val="0"/>
            <w:vAlign w:val="center"/>
          </w:tcPr>
          <w:p w14:paraId="5809565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6746" w:type="dxa"/>
            <w:gridSpan w:val="2"/>
            <w:noWrap w:val="0"/>
            <w:vAlign w:val="top"/>
          </w:tcPr>
          <w:p w14:paraId="070B163F">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未经批准擅自转移危险废物的</w:t>
            </w:r>
          </w:p>
        </w:tc>
      </w:tr>
      <w:tr w14:paraId="36706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6" w:type="dxa"/>
            <w:noWrap w:val="0"/>
            <w:vAlign w:val="center"/>
          </w:tcPr>
          <w:p w14:paraId="059C16E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6746" w:type="dxa"/>
            <w:gridSpan w:val="2"/>
            <w:noWrap w:val="0"/>
            <w:vAlign w:val="top"/>
          </w:tcPr>
          <w:p w14:paraId="34A7CCAD">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《中华人民共和国生态环境法典》第五百三十六条</w:t>
            </w:r>
            <w:r>
              <w:rPr>
                <w:rFonts w:hint="eastAsia" w:ascii="宋体" w:hAnsi="宋体" w:eastAsia="宋体" w:cs="宋体"/>
                <w:color w:val="auto"/>
                <w:sz w:val="21"/>
                <w:szCs w:val="21"/>
                <w:highlight w:val="none"/>
                <w:lang w:val="en-US" w:eastAsia="zh-CN"/>
              </w:rPr>
              <w:t xml:space="preserve">第一款、第二款 </w:t>
            </w:r>
            <w:r>
              <w:rPr>
                <w:rFonts w:hint="eastAsia" w:ascii="宋体" w:hAnsi="宋体" w:eastAsia="宋体" w:cs="宋体"/>
                <w:color w:val="auto"/>
                <w:sz w:val="21"/>
                <w:szCs w:val="21"/>
                <w:highlight w:val="none"/>
              </w:rPr>
              <w:t xml:space="preserve">  转移危险废物的，应当按照国家规定填写、运行危险废物电子或者纸质转移联单。</w:t>
            </w:r>
          </w:p>
          <w:p w14:paraId="7A37638F">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跨省、自治区、直辖市转移危险废物的，应当向危险废物移出地省级人民政府生态环境主管部门申请。移出地省级人民政府生态环境主管部门应当及时商经接受地省级人民政府生态环境主管部门同意后，在规定期限内批准转移该危险废物，并将批准信息通报相关省级人民政府生态环境主管部门和交通运输主管部门。未经批准的，不得转移。</w:t>
            </w:r>
          </w:p>
        </w:tc>
      </w:tr>
      <w:tr w14:paraId="6CFFA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6" w:type="dxa"/>
            <w:noWrap w:val="0"/>
            <w:vAlign w:val="center"/>
          </w:tcPr>
          <w:p w14:paraId="43BA2E6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6746" w:type="dxa"/>
            <w:gridSpan w:val="2"/>
            <w:noWrap w:val="0"/>
            <w:vAlign w:val="top"/>
          </w:tcPr>
          <w:p w14:paraId="255F9067">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《中华人民共和国生态环境法典》第一千一百七十五条</w:t>
            </w:r>
            <w:r>
              <w:rPr>
                <w:rFonts w:hint="eastAsia" w:ascii="宋体" w:hAnsi="宋体" w:eastAsia="宋体" w:cs="宋体"/>
                <w:color w:val="auto"/>
                <w:sz w:val="21"/>
                <w:szCs w:val="21"/>
                <w:highlight w:val="none"/>
                <w:lang w:eastAsia="zh-CN"/>
              </w:rPr>
              <w:t>第一款第八项、第二款</w:t>
            </w:r>
            <w:r>
              <w:rPr>
                <w:rFonts w:hint="eastAsia" w:ascii="宋体" w:hAnsi="宋体" w:eastAsia="宋体" w:cs="宋体"/>
                <w:color w:val="auto"/>
                <w:sz w:val="21"/>
                <w:szCs w:val="21"/>
                <w:highlight w:val="none"/>
              </w:rPr>
              <w:t xml:space="preserve">  违反本法规定，有下列情形之一的，由生态环境主管部门责令改正，没收违法所得，并处以罚款</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w:t>
            </w:r>
          </w:p>
          <w:p w14:paraId="7370BC52">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（八）未经批准擅自转移危险废物；</w:t>
            </w:r>
          </w:p>
          <w:p w14:paraId="70B579E5">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有前款第一项、第二项、第三项、第四项、第六项、第七项、第九项、第十项、第十一项情形之一的，处五万元以上二十万元以下的罚款，拒不改正的，处二十万元以上一百万元以下的罚款；有前款第五项、第八项情形之一的，处二十万元以上二百万元以下的罚款。</w:t>
            </w:r>
          </w:p>
        </w:tc>
      </w:tr>
      <w:tr w14:paraId="79252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6" w:type="dxa"/>
            <w:noWrap w:val="0"/>
            <w:vAlign w:val="center"/>
          </w:tcPr>
          <w:p w14:paraId="13A43FC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4964" w:type="dxa"/>
            <w:noWrap w:val="0"/>
            <w:vAlign w:val="top"/>
          </w:tcPr>
          <w:p w14:paraId="1004102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782" w:type="dxa"/>
            <w:noWrap w:val="0"/>
            <w:vAlign w:val="top"/>
          </w:tcPr>
          <w:p w14:paraId="220C723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3B76B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6" w:type="dxa"/>
            <w:vMerge w:val="restart"/>
            <w:noWrap w:val="0"/>
            <w:vAlign w:val="center"/>
          </w:tcPr>
          <w:p w14:paraId="13B10A9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危险废物数量</w:t>
            </w:r>
          </w:p>
        </w:tc>
        <w:tc>
          <w:tcPr>
            <w:tcW w:w="4964" w:type="dxa"/>
            <w:noWrap w:val="0"/>
            <w:vAlign w:val="center"/>
          </w:tcPr>
          <w:p w14:paraId="5778B002">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不足</w:t>
            </w:r>
            <w:r>
              <w:rPr>
                <w:rFonts w:hint="eastAsia" w:ascii="宋体" w:hAnsi="宋体" w:eastAsia="宋体" w:cs="宋体"/>
                <w:color w:val="auto"/>
                <w:sz w:val="21"/>
                <w:szCs w:val="21"/>
                <w:highlight w:val="none"/>
                <w:lang w:val="en-US" w:eastAsia="zh-CN"/>
              </w:rPr>
              <w:t>0.1</w:t>
            </w:r>
            <w:r>
              <w:rPr>
                <w:rFonts w:hint="eastAsia" w:ascii="宋体" w:hAnsi="宋体" w:eastAsia="宋体" w:cs="宋体"/>
                <w:color w:val="auto"/>
                <w:sz w:val="21"/>
                <w:szCs w:val="21"/>
                <w:highlight w:val="none"/>
              </w:rPr>
              <w:t>吨</w:t>
            </w:r>
          </w:p>
        </w:tc>
        <w:tc>
          <w:tcPr>
            <w:tcW w:w="1782" w:type="dxa"/>
            <w:noWrap w:val="0"/>
            <w:vAlign w:val="top"/>
          </w:tcPr>
          <w:p w14:paraId="01A1C69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07B59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6" w:type="dxa"/>
            <w:vMerge w:val="continue"/>
            <w:noWrap w:val="0"/>
            <w:vAlign w:val="center"/>
          </w:tcPr>
          <w:p w14:paraId="0B1255F8">
            <w:pPr>
              <w:jc w:val="center"/>
              <w:rPr>
                <w:rFonts w:hint="eastAsia" w:ascii="宋体" w:hAnsi="宋体" w:eastAsia="宋体" w:cs="宋体"/>
                <w:color w:val="auto"/>
                <w:sz w:val="21"/>
                <w:szCs w:val="21"/>
                <w:highlight w:val="none"/>
              </w:rPr>
            </w:pPr>
          </w:p>
        </w:tc>
        <w:tc>
          <w:tcPr>
            <w:tcW w:w="4964" w:type="dxa"/>
            <w:noWrap w:val="0"/>
            <w:vAlign w:val="center"/>
          </w:tcPr>
          <w:p w14:paraId="1694B336">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0.1</w:t>
            </w:r>
            <w:r>
              <w:rPr>
                <w:rFonts w:hint="eastAsia" w:ascii="宋体" w:hAnsi="宋体" w:eastAsia="宋体" w:cs="宋体"/>
                <w:color w:val="auto"/>
                <w:sz w:val="21"/>
                <w:szCs w:val="21"/>
                <w:highlight w:val="none"/>
              </w:rPr>
              <w:t>吨以上不足</w:t>
            </w:r>
            <w:r>
              <w:rPr>
                <w:rFonts w:hint="eastAsia" w:ascii="宋体" w:hAnsi="宋体" w:eastAsia="宋体" w:cs="宋体"/>
                <w:color w:val="auto"/>
                <w:sz w:val="21"/>
                <w:szCs w:val="21"/>
                <w:highlight w:val="none"/>
                <w:lang w:val="en-US" w:eastAsia="zh-CN"/>
              </w:rPr>
              <w:t>0.5</w:t>
            </w:r>
            <w:r>
              <w:rPr>
                <w:rFonts w:hint="eastAsia" w:ascii="宋体" w:hAnsi="宋体" w:eastAsia="宋体" w:cs="宋体"/>
                <w:color w:val="auto"/>
                <w:sz w:val="21"/>
                <w:szCs w:val="21"/>
                <w:highlight w:val="none"/>
              </w:rPr>
              <w:t>吨</w:t>
            </w:r>
          </w:p>
        </w:tc>
        <w:tc>
          <w:tcPr>
            <w:tcW w:w="1782" w:type="dxa"/>
            <w:noWrap w:val="0"/>
            <w:vAlign w:val="top"/>
          </w:tcPr>
          <w:p w14:paraId="1BA9DF0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r>
      <w:tr w14:paraId="6211E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6" w:type="dxa"/>
            <w:vMerge w:val="continue"/>
            <w:noWrap w:val="0"/>
            <w:vAlign w:val="center"/>
          </w:tcPr>
          <w:p w14:paraId="7339DF52">
            <w:pPr>
              <w:jc w:val="center"/>
              <w:rPr>
                <w:rFonts w:hint="eastAsia" w:ascii="宋体" w:hAnsi="宋体" w:eastAsia="宋体" w:cs="宋体"/>
                <w:color w:val="auto"/>
                <w:sz w:val="21"/>
                <w:szCs w:val="21"/>
                <w:highlight w:val="none"/>
              </w:rPr>
            </w:pPr>
          </w:p>
        </w:tc>
        <w:tc>
          <w:tcPr>
            <w:tcW w:w="4964" w:type="dxa"/>
            <w:noWrap w:val="0"/>
            <w:vAlign w:val="center"/>
          </w:tcPr>
          <w:p w14:paraId="2115CB6C">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0.5</w:t>
            </w:r>
            <w:r>
              <w:rPr>
                <w:rFonts w:hint="eastAsia" w:ascii="宋体" w:hAnsi="宋体" w:eastAsia="宋体" w:cs="宋体"/>
                <w:color w:val="auto"/>
                <w:sz w:val="21"/>
                <w:szCs w:val="21"/>
                <w:highlight w:val="none"/>
              </w:rPr>
              <w:t>吨以上不足</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吨</w:t>
            </w:r>
          </w:p>
        </w:tc>
        <w:tc>
          <w:tcPr>
            <w:tcW w:w="1782" w:type="dxa"/>
            <w:noWrap w:val="0"/>
            <w:vAlign w:val="top"/>
          </w:tcPr>
          <w:p w14:paraId="4591DDE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2B74C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6" w:type="dxa"/>
            <w:vMerge w:val="continue"/>
            <w:noWrap w:val="0"/>
            <w:vAlign w:val="center"/>
          </w:tcPr>
          <w:p w14:paraId="52FB800E">
            <w:pPr>
              <w:jc w:val="center"/>
              <w:rPr>
                <w:rFonts w:hint="eastAsia" w:ascii="宋体" w:hAnsi="宋体" w:eastAsia="宋体" w:cs="宋体"/>
                <w:color w:val="auto"/>
                <w:sz w:val="21"/>
                <w:szCs w:val="21"/>
                <w:highlight w:val="none"/>
              </w:rPr>
            </w:pPr>
          </w:p>
        </w:tc>
        <w:tc>
          <w:tcPr>
            <w:tcW w:w="4964" w:type="dxa"/>
            <w:noWrap w:val="0"/>
            <w:vAlign w:val="center"/>
          </w:tcPr>
          <w:p w14:paraId="1C09E99A">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吨以上不足</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吨</w:t>
            </w:r>
          </w:p>
        </w:tc>
        <w:tc>
          <w:tcPr>
            <w:tcW w:w="1782" w:type="dxa"/>
            <w:noWrap w:val="0"/>
            <w:vAlign w:val="top"/>
          </w:tcPr>
          <w:p w14:paraId="50D4B59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r>
      <w:tr w14:paraId="04CDF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6" w:type="dxa"/>
            <w:vMerge w:val="continue"/>
            <w:noWrap w:val="0"/>
            <w:vAlign w:val="center"/>
          </w:tcPr>
          <w:p w14:paraId="045DC154">
            <w:pPr>
              <w:jc w:val="center"/>
              <w:rPr>
                <w:rFonts w:hint="eastAsia" w:ascii="宋体" w:hAnsi="宋体" w:eastAsia="宋体" w:cs="宋体"/>
                <w:color w:val="auto"/>
                <w:sz w:val="21"/>
                <w:szCs w:val="21"/>
                <w:highlight w:val="none"/>
              </w:rPr>
            </w:pPr>
          </w:p>
        </w:tc>
        <w:tc>
          <w:tcPr>
            <w:tcW w:w="4964" w:type="dxa"/>
            <w:noWrap w:val="0"/>
            <w:vAlign w:val="center"/>
          </w:tcPr>
          <w:p w14:paraId="60B5E619">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吨以上</w:t>
            </w:r>
          </w:p>
        </w:tc>
        <w:tc>
          <w:tcPr>
            <w:tcW w:w="1782" w:type="dxa"/>
            <w:noWrap w:val="0"/>
            <w:vAlign w:val="top"/>
          </w:tcPr>
          <w:p w14:paraId="71DD2F0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70168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6" w:type="dxa"/>
            <w:vMerge w:val="restart"/>
            <w:noWrap w:val="0"/>
            <w:vAlign w:val="center"/>
          </w:tcPr>
          <w:p w14:paraId="3F34675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危险废物种类</w:t>
            </w:r>
          </w:p>
        </w:tc>
        <w:tc>
          <w:tcPr>
            <w:tcW w:w="4964" w:type="dxa"/>
            <w:noWrap w:val="0"/>
            <w:vAlign w:val="top"/>
          </w:tcPr>
          <w:p w14:paraId="3FBC6CCE">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1种</w:t>
            </w:r>
          </w:p>
        </w:tc>
        <w:tc>
          <w:tcPr>
            <w:tcW w:w="1782" w:type="dxa"/>
            <w:noWrap w:val="0"/>
            <w:vAlign w:val="top"/>
          </w:tcPr>
          <w:p w14:paraId="272AF6B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p>
        </w:tc>
      </w:tr>
      <w:tr w14:paraId="13BE4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6" w:type="dxa"/>
            <w:vMerge w:val="continue"/>
            <w:noWrap w:val="0"/>
            <w:vAlign w:val="center"/>
          </w:tcPr>
          <w:p w14:paraId="6CC8BB0E">
            <w:pPr>
              <w:jc w:val="center"/>
              <w:rPr>
                <w:rFonts w:hint="eastAsia" w:ascii="宋体" w:hAnsi="宋体" w:eastAsia="宋体" w:cs="宋体"/>
                <w:color w:val="auto"/>
                <w:sz w:val="21"/>
                <w:szCs w:val="21"/>
                <w:highlight w:val="none"/>
              </w:rPr>
            </w:pPr>
          </w:p>
        </w:tc>
        <w:tc>
          <w:tcPr>
            <w:tcW w:w="4964" w:type="dxa"/>
            <w:noWrap w:val="0"/>
            <w:vAlign w:val="top"/>
          </w:tcPr>
          <w:p w14:paraId="272736F7">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2种以上不足4种</w:t>
            </w:r>
          </w:p>
        </w:tc>
        <w:tc>
          <w:tcPr>
            <w:tcW w:w="1782" w:type="dxa"/>
            <w:noWrap w:val="0"/>
            <w:vAlign w:val="top"/>
          </w:tcPr>
          <w:p w14:paraId="6ACFED1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p>
        </w:tc>
      </w:tr>
      <w:tr w14:paraId="73FF9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6" w:type="dxa"/>
            <w:vMerge w:val="continue"/>
            <w:noWrap w:val="0"/>
            <w:vAlign w:val="center"/>
          </w:tcPr>
          <w:p w14:paraId="0DFDAD6E">
            <w:pPr>
              <w:jc w:val="center"/>
              <w:rPr>
                <w:rFonts w:hint="eastAsia" w:ascii="宋体" w:hAnsi="宋体" w:eastAsia="宋体" w:cs="宋体"/>
                <w:color w:val="auto"/>
                <w:sz w:val="21"/>
                <w:szCs w:val="21"/>
                <w:highlight w:val="none"/>
              </w:rPr>
            </w:pPr>
          </w:p>
        </w:tc>
        <w:tc>
          <w:tcPr>
            <w:tcW w:w="4964" w:type="dxa"/>
            <w:noWrap w:val="0"/>
            <w:vAlign w:val="top"/>
          </w:tcPr>
          <w:p w14:paraId="74686FEE">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4种及以上</w:t>
            </w:r>
          </w:p>
        </w:tc>
        <w:tc>
          <w:tcPr>
            <w:tcW w:w="1782" w:type="dxa"/>
            <w:noWrap w:val="0"/>
            <w:vAlign w:val="top"/>
          </w:tcPr>
          <w:p w14:paraId="44195CD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p>
        </w:tc>
      </w:tr>
    </w:tbl>
    <w:p w14:paraId="173C7A9F">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498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94"/>
        <w:gridCol w:w="5784"/>
        <w:gridCol w:w="1341"/>
      </w:tblGrid>
      <w:tr w14:paraId="16B0B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8496" w:type="dxa"/>
            <w:gridSpan w:val="3"/>
            <w:noWrap w:val="0"/>
            <w:vAlign w:val="top"/>
          </w:tcPr>
          <w:p w14:paraId="099CEAA6">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（八）固体废物污染防治类</w:t>
            </w:r>
          </w:p>
        </w:tc>
      </w:tr>
      <w:tr w14:paraId="2D782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1709" w:type="dxa"/>
            <w:noWrap w:val="0"/>
            <w:vAlign w:val="center"/>
          </w:tcPr>
          <w:p w14:paraId="6D70AB4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787" w:type="dxa"/>
            <w:gridSpan w:val="2"/>
            <w:noWrap w:val="0"/>
            <w:vAlign w:val="top"/>
          </w:tcPr>
          <w:p w14:paraId="60CEAEF7">
            <w:pPr>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19</w:t>
            </w:r>
          </w:p>
        </w:tc>
      </w:tr>
      <w:tr w14:paraId="29AF7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1709" w:type="dxa"/>
            <w:noWrap w:val="0"/>
            <w:vAlign w:val="center"/>
          </w:tcPr>
          <w:p w14:paraId="6A2B971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6787" w:type="dxa"/>
            <w:gridSpan w:val="2"/>
            <w:noWrap w:val="0"/>
            <w:vAlign w:val="top"/>
          </w:tcPr>
          <w:p w14:paraId="011612B2">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将危险废物与旅客在同一运输工具上载运的</w:t>
            </w:r>
          </w:p>
        </w:tc>
      </w:tr>
      <w:tr w14:paraId="37C37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 w:hRule="atLeast"/>
          <w:jc w:val="center"/>
        </w:trPr>
        <w:tc>
          <w:tcPr>
            <w:tcW w:w="1709" w:type="dxa"/>
            <w:noWrap w:val="0"/>
            <w:vAlign w:val="center"/>
          </w:tcPr>
          <w:p w14:paraId="42598C4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6787" w:type="dxa"/>
            <w:gridSpan w:val="2"/>
            <w:noWrap w:val="0"/>
            <w:vAlign w:val="center"/>
          </w:tcPr>
          <w:p w14:paraId="7B2C8844">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《中华人民共和国生态环境法典》第五百三十七条</w:t>
            </w:r>
            <w:r>
              <w:rPr>
                <w:rFonts w:hint="eastAsia" w:ascii="宋体" w:hAnsi="宋体" w:eastAsia="宋体" w:cs="宋体"/>
                <w:color w:val="auto"/>
                <w:sz w:val="21"/>
                <w:szCs w:val="21"/>
                <w:highlight w:val="none"/>
                <w:lang w:val="en-US" w:eastAsia="zh-CN"/>
              </w:rPr>
              <w:t>第二款</w:t>
            </w:r>
            <w:r>
              <w:rPr>
                <w:rFonts w:hint="eastAsia" w:ascii="宋体" w:hAnsi="宋体" w:eastAsia="宋体" w:cs="宋体"/>
                <w:color w:val="auto"/>
                <w:sz w:val="21"/>
                <w:szCs w:val="21"/>
                <w:highlight w:val="none"/>
              </w:rPr>
              <w:t xml:space="preserve">  禁止将危险废物与旅客在同一运输工具上载运。</w:t>
            </w:r>
          </w:p>
        </w:tc>
      </w:tr>
      <w:tr w14:paraId="0962B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jc w:val="center"/>
        </w:trPr>
        <w:tc>
          <w:tcPr>
            <w:tcW w:w="1709" w:type="dxa"/>
            <w:noWrap w:val="0"/>
            <w:vAlign w:val="center"/>
          </w:tcPr>
          <w:p w14:paraId="7554A84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6787" w:type="dxa"/>
            <w:gridSpan w:val="2"/>
            <w:noWrap w:val="0"/>
            <w:vAlign w:val="center"/>
          </w:tcPr>
          <w:p w14:paraId="08E9F7EE">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《中华人民共和国生态环境法典》第一千一百七十五条</w:t>
            </w:r>
            <w:r>
              <w:rPr>
                <w:rFonts w:hint="eastAsia" w:ascii="宋体" w:hAnsi="宋体" w:eastAsia="宋体" w:cs="宋体"/>
                <w:color w:val="auto"/>
                <w:sz w:val="21"/>
                <w:szCs w:val="21"/>
                <w:highlight w:val="none"/>
                <w:lang w:eastAsia="zh-CN"/>
              </w:rPr>
              <w:t>第一款第九项、第二款</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  违反本法规定，有下列情形之一的，由生态环境主管部门责令改正，没收违法所得，并处以罚款</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w:t>
            </w:r>
          </w:p>
          <w:p w14:paraId="709A3142">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（九）将危险废物与旅客在同一运输工具上载运；</w:t>
            </w:r>
          </w:p>
          <w:p w14:paraId="1751286A">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有前款第一项、第二项、第三项、第四项、第六项、第七项、第九项、第十项、第十一项情形之一的，处五万元以上二十万元以下的罚款，拒不改正的，处二十万元以上一百万元以下的罚款；有前款第五项、第八项情形之一的，处二十万元以上二百万元以下的罚款。</w:t>
            </w:r>
          </w:p>
        </w:tc>
      </w:tr>
      <w:tr w14:paraId="68C45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1709" w:type="dxa"/>
            <w:noWrap w:val="0"/>
            <w:vAlign w:val="center"/>
          </w:tcPr>
          <w:p w14:paraId="6AA4C04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510" w:type="dxa"/>
            <w:noWrap w:val="0"/>
            <w:vAlign w:val="top"/>
          </w:tcPr>
          <w:p w14:paraId="3A9FAC5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277" w:type="dxa"/>
            <w:noWrap w:val="0"/>
            <w:vAlign w:val="top"/>
          </w:tcPr>
          <w:p w14:paraId="3A0BAC4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575B3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1709" w:type="dxa"/>
            <w:vMerge w:val="restart"/>
            <w:noWrap w:val="0"/>
            <w:vAlign w:val="center"/>
          </w:tcPr>
          <w:p w14:paraId="6094026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运载数量</w:t>
            </w:r>
          </w:p>
        </w:tc>
        <w:tc>
          <w:tcPr>
            <w:tcW w:w="5510" w:type="dxa"/>
            <w:noWrap w:val="0"/>
            <w:vAlign w:val="center"/>
          </w:tcPr>
          <w:p w14:paraId="323B7C83">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运载危险废物不足1千克</w:t>
            </w:r>
          </w:p>
        </w:tc>
        <w:tc>
          <w:tcPr>
            <w:tcW w:w="1277" w:type="dxa"/>
            <w:noWrap w:val="0"/>
            <w:vAlign w:val="center"/>
          </w:tcPr>
          <w:p w14:paraId="50DD190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64578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1709" w:type="dxa"/>
            <w:vMerge w:val="continue"/>
            <w:noWrap w:val="0"/>
            <w:vAlign w:val="center"/>
          </w:tcPr>
          <w:p w14:paraId="62EECFFA">
            <w:pPr>
              <w:jc w:val="center"/>
              <w:rPr>
                <w:rFonts w:hint="eastAsia" w:ascii="宋体" w:hAnsi="宋体" w:eastAsia="宋体" w:cs="宋体"/>
                <w:color w:val="auto"/>
                <w:sz w:val="21"/>
                <w:szCs w:val="21"/>
                <w:highlight w:val="none"/>
              </w:rPr>
            </w:pPr>
          </w:p>
        </w:tc>
        <w:tc>
          <w:tcPr>
            <w:tcW w:w="5510" w:type="dxa"/>
            <w:noWrap w:val="0"/>
            <w:vAlign w:val="center"/>
          </w:tcPr>
          <w:p w14:paraId="372CC724">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运载危险废物1千克以上不足5千克</w:t>
            </w:r>
          </w:p>
        </w:tc>
        <w:tc>
          <w:tcPr>
            <w:tcW w:w="1277" w:type="dxa"/>
            <w:noWrap w:val="0"/>
            <w:vAlign w:val="center"/>
          </w:tcPr>
          <w:p w14:paraId="7991704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r>
      <w:tr w14:paraId="7AB82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1709" w:type="dxa"/>
            <w:vMerge w:val="continue"/>
            <w:noWrap w:val="0"/>
            <w:vAlign w:val="center"/>
          </w:tcPr>
          <w:p w14:paraId="1BFDBB80">
            <w:pPr>
              <w:jc w:val="center"/>
              <w:rPr>
                <w:rFonts w:hint="eastAsia" w:ascii="宋体" w:hAnsi="宋体" w:eastAsia="宋体" w:cs="宋体"/>
                <w:color w:val="auto"/>
                <w:sz w:val="21"/>
                <w:szCs w:val="21"/>
                <w:highlight w:val="none"/>
              </w:rPr>
            </w:pPr>
          </w:p>
        </w:tc>
        <w:tc>
          <w:tcPr>
            <w:tcW w:w="5510" w:type="dxa"/>
            <w:noWrap w:val="0"/>
            <w:vAlign w:val="center"/>
          </w:tcPr>
          <w:p w14:paraId="45D2D431">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运载危险废物5千克以上不足10千克</w:t>
            </w:r>
          </w:p>
        </w:tc>
        <w:tc>
          <w:tcPr>
            <w:tcW w:w="1277" w:type="dxa"/>
            <w:noWrap w:val="0"/>
            <w:vAlign w:val="center"/>
          </w:tcPr>
          <w:p w14:paraId="6CBFC0D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36874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1709" w:type="dxa"/>
            <w:vMerge w:val="continue"/>
            <w:noWrap w:val="0"/>
            <w:vAlign w:val="center"/>
          </w:tcPr>
          <w:p w14:paraId="014D4881">
            <w:pPr>
              <w:jc w:val="center"/>
              <w:rPr>
                <w:rFonts w:hint="eastAsia" w:ascii="宋体" w:hAnsi="宋体" w:eastAsia="宋体" w:cs="宋体"/>
                <w:color w:val="auto"/>
                <w:sz w:val="21"/>
                <w:szCs w:val="21"/>
                <w:highlight w:val="none"/>
              </w:rPr>
            </w:pPr>
          </w:p>
        </w:tc>
        <w:tc>
          <w:tcPr>
            <w:tcW w:w="5510" w:type="dxa"/>
            <w:noWrap w:val="0"/>
            <w:vAlign w:val="center"/>
          </w:tcPr>
          <w:p w14:paraId="28DADAC6">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运载危险废物10千克以上不足20千克</w:t>
            </w:r>
          </w:p>
        </w:tc>
        <w:tc>
          <w:tcPr>
            <w:tcW w:w="1277" w:type="dxa"/>
            <w:noWrap w:val="0"/>
            <w:vAlign w:val="center"/>
          </w:tcPr>
          <w:p w14:paraId="4F0096E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r>
      <w:tr w14:paraId="11A39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1709" w:type="dxa"/>
            <w:vMerge w:val="continue"/>
            <w:noWrap w:val="0"/>
            <w:vAlign w:val="center"/>
          </w:tcPr>
          <w:p w14:paraId="669D1B9A">
            <w:pPr>
              <w:jc w:val="center"/>
              <w:rPr>
                <w:rFonts w:hint="eastAsia" w:ascii="宋体" w:hAnsi="宋体" w:eastAsia="宋体" w:cs="宋体"/>
                <w:color w:val="auto"/>
                <w:sz w:val="21"/>
                <w:szCs w:val="21"/>
                <w:highlight w:val="none"/>
              </w:rPr>
            </w:pPr>
          </w:p>
        </w:tc>
        <w:tc>
          <w:tcPr>
            <w:tcW w:w="5510" w:type="dxa"/>
            <w:noWrap w:val="0"/>
            <w:vAlign w:val="center"/>
          </w:tcPr>
          <w:p w14:paraId="76885E24">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运载危险废物20千克以上</w:t>
            </w:r>
          </w:p>
        </w:tc>
        <w:tc>
          <w:tcPr>
            <w:tcW w:w="1277" w:type="dxa"/>
            <w:noWrap w:val="0"/>
            <w:vAlign w:val="center"/>
          </w:tcPr>
          <w:p w14:paraId="628931D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56358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1709" w:type="dxa"/>
            <w:vMerge w:val="restart"/>
            <w:noWrap w:val="0"/>
            <w:vAlign w:val="center"/>
          </w:tcPr>
          <w:p w14:paraId="043DFC5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同载旅客人数</w:t>
            </w:r>
          </w:p>
        </w:tc>
        <w:tc>
          <w:tcPr>
            <w:tcW w:w="5510" w:type="dxa"/>
            <w:noWrap w:val="0"/>
            <w:vAlign w:val="center"/>
          </w:tcPr>
          <w:p w14:paraId="485317F0">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同载旅客≤5人</w:t>
            </w:r>
          </w:p>
        </w:tc>
        <w:tc>
          <w:tcPr>
            <w:tcW w:w="1277" w:type="dxa"/>
            <w:noWrap w:val="0"/>
            <w:vAlign w:val="center"/>
          </w:tcPr>
          <w:p w14:paraId="1B42DDD8">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r>
      <w:tr w14:paraId="02ADD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1709" w:type="dxa"/>
            <w:vMerge w:val="continue"/>
            <w:noWrap w:val="0"/>
            <w:vAlign w:val="center"/>
          </w:tcPr>
          <w:p w14:paraId="2AEBAFB0">
            <w:pPr>
              <w:jc w:val="center"/>
              <w:rPr>
                <w:rFonts w:hint="eastAsia" w:ascii="宋体" w:hAnsi="宋体" w:eastAsia="宋体" w:cs="宋体"/>
                <w:color w:val="auto"/>
                <w:sz w:val="21"/>
                <w:szCs w:val="21"/>
                <w:highlight w:val="none"/>
              </w:rPr>
            </w:pPr>
          </w:p>
        </w:tc>
        <w:tc>
          <w:tcPr>
            <w:tcW w:w="5510" w:type="dxa"/>
            <w:noWrap w:val="0"/>
            <w:vAlign w:val="center"/>
          </w:tcPr>
          <w:p w14:paraId="602883B3">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5人＜同载旅客≤20人</w:t>
            </w:r>
          </w:p>
        </w:tc>
        <w:tc>
          <w:tcPr>
            <w:tcW w:w="1277" w:type="dxa"/>
            <w:noWrap w:val="0"/>
            <w:vAlign w:val="center"/>
          </w:tcPr>
          <w:p w14:paraId="67DD3558">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r>
      <w:tr w14:paraId="5E294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1709" w:type="dxa"/>
            <w:vMerge w:val="continue"/>
            <w:noWrap w:val="0"/>
            <w:vAlign w:val="center"/>
          </w:tcPr>
          <w:p w14:paraId="41D22FFF">
            <w:pPr>
              <w:jc w:val="center"/>
              <w:rPr>
                <w:rFonts w:hint="eastAsia" w:ascii="宋体" w:hAnsi="宋体" w:eastAsia="宋体" w:cs="宋体"/>
                <w:color w:val="auto"/>
                <w:sz w:val="21"/>
                <w:szCs w:val="21"/>
                <w:highlight w:val="none"/>
              </w:rPr>
            </w:pPr>
          </w:p>
        </w:tc>
        <w:tc>
          <w:tcPr>
            <w:tcW w:w="5510" w:type="dxa"/>
            <w:noWrap w:val="0"/>
            <w:vAlign w:val="center"/>
          </w:tcPr>
          <w:p w14:paraId="727D33BD">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20人＜同载旅客≤50人</w:t>
            </w:r>
          </w:p>
        </w:tc>
        <w:tc>
          <w:tcPr>
            <w:tcW w:w="1277" w:type="dxa"/>
            <w:noWrap w:val="0"/>
            <w:vAlign w:val="center"/>
          </w:tcPr>
          <w:p w14:paraId="132551D0">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r>
      <w:tr w14:paraId="65BF8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1709" w:type="dxa"/>
            <w:vMerge w:val="continue"/>
            <w:noWrap w:val="0"/>
            <w:vAlign w:val="center"/>
          </w:tcPr>
          <w:p w14:paraId="2654D6E2">
            <w:pPr>
              <w:jc w:val="center"/>
              <w:rPr>
                <w:rFonts w:hint="eastAsia" w:ascii="宋体" w:hAnsi="宋体" w:eastAsia="宋体" w:cs="宋体"/>
                <w:color w:val="auto"/>
                <w:sz w:val="21"/>
                <w:szCs w:val="21"/>
                <w:highlight w:val="none"/>
              </w:rPr>
            </w:pPr>
          </w:p>
        </w:tc>
        <w:tc>
          <w:tcPr>
            <w:tcW w:w="5510" w:type="dxa"/>
            <w:noWrap w:val="0"/>
            <w:vAlign w:val="center"/>
          </w:tcPr>
          <w:p w14:paraId="3FB759DB">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同载旅客&gt;50人</w:t>
            </w:r>
          </w:p>
        </w:tc>
        <w:tc>
          <w:tcPr>
            <w:tcW w:w="1277" w:type="dxa"/>
            <w:noWrap w:val="0"/>
            <w:vAlign w:val="center"/>
          </w:tcPr>
          <w:p w14:paraId="74278871">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r>
    </w:tbl>
    <w:p w14:paraId="46FF2C26">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502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14"/>
        <w:gridCol w:w="5819"/>
        <w:gridCol w:w="1353"/>
      </w:tblGrid>
      <w:tr w14:paraId="6A746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8558" w:type="dxa"/>
            <w:gridSpan w:val="3"/>
            <w:noWrap w:val="0"/>
            <w:vAlign w:val="top"/>
          </w:tcPr>
          <w:p w14:paraId="25097393">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（八）固体废物污染防治类</w:t>
            </w:r>
          </w:p>
        </w:tc>
      </w:tr>
      <w:tr w14:paraId="63E6E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1728" w:type="dxa"/>
            <w:noWrap w:val="0"/>
            <w:vAlign w:val="center"/>
          </w:tcPr>
          <w:p w14:paraId="2FCC51A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830" w:type="dxa"/>
            <w:gridSpan w:val="2"/>
            <w:noWrap w:val="0"/>
            <w:vAlign w:val="top"/>
          </w:tcPr>
          <w:p w14:paraId="07C1270D">
            <w:pPr>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r>
              <w:rPr>
                <w:rFonts w:hint="eastAsia" w:ascii="宋体" w:hAnsi="宋体" w:cs="宋体"/>
                <w:color w:val="auto"/>
                <w:sz w:val="21"/>
                <w:szCs w:val="21"/>
                <w:highlight w:val="none"/>
                <w:lang w:val="en-US" w:eastAsia="zh-CN"/>
              </w:rPr>
              <w:t>0</w:t>
            </w:r>
          </w:p>
        </w:tc>
      </w:tr>
      <w:tr w14:paraId="099C4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1728" w:type="dxa"/>
            <w:noWrap w:val="0"/>
            <w:vAlign w:val="center"/>
          </w:tcPr>
          <w:p w14:paraId="2E56E59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6830" w:type="dxa"/>
            <w:gridSpan w:val="2"/>
            <w:noWrap w:val="0"/>
            <w:vAlign w:val="center"/>
          </w:tcPr>
          <w:p w14:paraId="36A37FD1">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未经过消除污染处理，将收集、贮存、运输、利用、处置危险废物的场所、设施、设备和容器、包装物及其他物品转作他用的</w:t>
            </w:r>
          </w:p>
        </w:tc>
      </w:tr>
      <w:tr w14:paraId="14FA8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8" w:hRule="atLeast"/>
          <w:jc w:val="center"/>
        </w:trPr>
        <w:tc>
          <w:tcPr>
            <w:tcW w:w="1728" w:type="dxa"/>
            <w:noWrap w:val="0"/>
            <w:vAlign w:val="center"/>
          </w:tcPr>
          <w:p w14:paraId="768736F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6830" w:type="dxa"/>
            <w:gridSpan w:val="2"/>
            <w:noWrap w:val="0"/>
            <w:vAlign w:val="center"/>
          </w:tcPr>
          <w:p w14:paraId="1B12E08A">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《中华人民共和国生态环境法典》第五百三十八条  收集、贮存、运输、利用、处置危险废物的场所、设施、设备和容器、包装物及其他物品转作他用时，应当按照国家规定经过消除污染处理，方可使用。</w:t>
            </w:r>
          </w:p>
        </w:tc>
      </w:tr>
      <w:tr w14:paraId="35BF1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9" w:hRule="atLeast"/>
          <w:jc w:val="center"/>
        </w:trPr>
        <w:tc>
          <w:tcPr>
            <w:tcW w:w="1728" w:type="dxa"/>
            <w:noWrap w:val="0"/>
            <w:vAlign w:val="center"/>
          </w:tcPr>
          <w:p w14:paraId="06972A0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6830" w:type="dxa"/>
            <w:gridSpan w:val="2"/>
            <w:noWrap w:val="0"/>
            <w:vAlign w:val="center"/>
          </w:tcPr>
          <w:p w14:paraId="752B9583">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《中华人民共和国生态环境法典》第一千一百七十五条</w:t>
            </w:r>
            <w:r>
              <w:rPr>
                <w:rFonts w:hint="eastAsia" w:ascii="宋体" w:hAnsi="宋体" w:eastAsia="宋体" w:cs="宋体"/>
                <w:color w:val="auto"/>
                <w:sz w:val="21"/>
                <w:szCs w:val="21"/>
                <w:highlight w:val="none"/>
                <w:lang w:eastAsia="zh-CN"/>
              </w:rPr>
              <w:t>第一款第十项、第二款</w:t>
            </w:r>
            <w:r>
              <w:rPr>
                <w:rFonts w:hint="eastAsia" w:ascii="宋体" w:hAnsi="宋体" w:eastAsia="宋体" w:cs="宋体"/>
                <w:color w:val="auto"/>
                <w:sz w:val="21"/>
                <w:szCs w:val="21"/>
                <w:highlight w:val="none"/>
              </w:rPr>
              <w:t xml:space="preserve">  违反本法规定，有下列情形之一的，由生态环境主管部门责令改正，没收违法所得，并处以罚款</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w:t>
            </w:r>
          </w:p>
          <w:p w14:paraId="10DC6080">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（十）未经过消除污染处理，将收集、贮存、运输、利用、处置危险废物的场所、设施、设备和容器、包装物及其他物品转作他用；</w:t>
            </w:r>
          </w:p>
          <w:p w14:paraId="05196615">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有前款第一项、第二项、第三项、第四项、第六项、第七项、第九项、第十项、第十一项情形之一的，处五万元以上二十万元以下的罚款，拒不改正的，处二十万元以上一百万元以下的罚款；有前款第五项、第八项情形之一的，处二十万元以上二百万元以下的罚款。</w:t>
            </w:r>
          </w:p>
        </w:tc>
      </w:tr>
      <w:tr w14:paraId="15659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1728" w:type="dxa"/>
            <w:noWrap w:val="0"/>
            <w:vAlign w:val="center"/>
          </w:tcPr>
          <w:p w14:paraId="2104807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542" w:type="dxa"/>
            <w:noWrap w:val="0"/>
            <w:vAlign w:val="center"/>
          </w:tcPr>
          <w:p w14:paraId="472C1F6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288" w:type="dxa"/>
            <w:noWrap w:val="0"/>
            <w:vAlign w:val="center"/>
          </w:tcPr>
          <w:p w14:paraId="055A7C21">
            <w:pPr>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61A67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jc w:val="center"/>
        </w:trPr>
        <w:tc>
          <w:tcPr>
            <w:tcW w:w="1728" w:type="dxa"/>
            <w:vMerge w:val="restart"/>
            <w:noWrap w:val="0"/>
            <w:vAlign w:val="center"/>
          </w:tcPr>
          <w:p w14:paraId="63160BBC">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违法事实</w:t>
            </w:r>
          </w:p>
        </w:tc>
        <w:tc>
          <w:tcPr>
            <w:tcW w:w="5542" w:type="dxa"/>
            <w:noWrap w:val="0"/>
            <w:vAlign w:val="center"/>
          </w:tcPr>
          <w:p w14:paraId="091F81C7">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面积不足10平方米/数量1台（套）/容量不足30立方米/重量不足10千克</w:t>
            </w:r>
          </w:p>
        </w:tc>
        <w:tc>
          <w:tcPr>
            <w:tcW w:w="1288" w:type="dxa"/>
            <w:noWrap w:val="0"/>
            <w:vAlign w:val="center"/>
          </w:tcPr>
          <w:p w14:paraId="30F0A66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2590D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 w:hRule="atLeast"/>
          <w:jc w:val="center"/>
        </w:trPr>
        <w:tc>
          <w:tcPr>
            <w:tcW w:w="1728" w:type="dxa"/>
            <w:vMerge w:val="continue"/>
            <w:noWrap w:val="0"/>
            <w:vAlign w:val="center"/>
          </w:tcPr>
          <w:p w14:paraId="7F823826">
            <w:pPr>
              <w:jc w:val="center"/>
              <w:rPr>
                <w:rFonts w:hint="eastAsia" w:ascii="宋体" w:hAnsi="宋体" w:eastAsia="宋体" w:cs="宋体"/>
                <w:color w:val="auto"/>
                <w:sz w:val="21"/>
                <w:szCs w:val="21"/>
                <w:highlight w:val="none"/>
              </w:rPr>
            </w:pPr>
          </w:p>
        </w:tc>
        <w:tc>
          <w:tcPr>
            <w:tcW w:w="5542" w:type="dxa"/>
            <w:noWrap w:val="0"/>
            <w:vAlign w:val="center"/>
          </w:tcPr>
          <w:p w14:paraId="09B857C9">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面积10平方米以上不足20平方米/数量2-5台（套）/容量30立方米以上不足100立方米/重量10千克以上不足30千克</w:t>
            </w:r>
          </w:p>
        </w:tc>
        <w:tc>
          <w:tcPr>
            <w:tcW w:w="1288" w:type="dxa"/>
            <w:noWrap w:val="0"/>
            <w:vAlign w:val="center"/>
          </w:tcPr>
          <w:p w14:paraId="6D3650B8">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w:t>
            </w:r>
          </w:p>
        </w:tc>
      </w:tr>
      <w:tr w14:paraId="2E732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 w:hRule="atLeast"/>
          <w:jc w:val="center"/>
        </w:trPr>
        <w:tc>
          <w:tcPr>
            <w:tcW w:w="1728" w:type="dxa"/>
            <w:vMerge w:val="continue"/>
            <w:noWrap w:val="0"/>
            <w:vAlign w:val="center"/>
          </w:tcPr>
          <w:p w14:paraId="06C89564">
            <w:pPr>
              <w:jc w:val="center"/>
              <w:rPr>
                <w:rFonts w:hint="eastAsia" w:ascii="宋体" w:hAnsi="宋体" w:eastAsia="宋体" w:cs="宋体"/>
                <w:color w:val="auto"/>
                <w:sz w:val="21"/>
                <w:szCs w:val="21"/>
                <w:highlight w:val="none"/>
              </w:rPr>
            </w:pPr>
          </w:p>
        </w:tc>
        <w:tc>
          <w:tcPr>
            <w:tcW w:w="5542" w:type="dxa"/>
            <w:noWrap w:val="0"/>
            <w:vAlign w:val="center"/>
          </w:tcPr>
          <w:p w14:paraId="55A0DC86">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面积20平方米以上不足30平方米/数量6-10台（套）/容量100立方米以上不足500立方米/重量30千克以上不足50千克</w:t>
            </w:r>
          </w:p>
        </w:tc>
        <w:tc>
          <w:tcPr>
            <w:tcW w:w="1288" w:type="dxa"/>
            <w:noWrap w:val="0"/>
            <w:vAlign w:val="center"/>
          </w:tcPr>
          <w:p w14:paraId="358FF777">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3</w:t>
            </w:r>
          </w:p>
        </w:tc>
      </w:tr>
      <w:tr w14:paraId="65DAC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 w:hRule="atLeast"/>
          <w:jc w:val="center"/>
        </w:trPr>
        <w:tc>
          <w:tcPr>
            <w:tcW w:w="1728" w:type="dxa"/>
            <w:vMerge w:val="continue"/>
            <w:noWrap w:val="0"/>
            <w:vAlign w:val="center"/>
          </w:tcPr>
          <w:p w14:paraId="2ED48442">
            <w:pPr>
              <w:jc w:val="center"/>
              <w:rPr>
                <w:rFonts w:hint="eastAsia" w:ascii="宋体" w:hAnsi="宋体" w:eastAsia="宋体" w:cs="宋体"/>
                <w:color w:val="auto"/>
                <w:sz w:val="21"/>
                <w:szCs w:val="21"/>
                <w:highlight w:val="none"/>
              </w:rPr>
            </w:pPr>
          </w:p>
        </w:tc>
        <w:tc>
          <w:tcPr>
            <w:tcW w:w="5542" w:type="dxa"/>
            <w:noWrap w:val="0"/>
            <w:vAlign w:val="center"/>
          </w:tcPr>
          <w:p w14:paraId="45F3F05D">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面积30平方米以上不足50平方米/数量11-15台（套）以上/容量500立方米以上不足1000立方米/重量50千克以上不足100千克</w:t>
            </w:r>
          </w:p>
        </w:tc>
        <w:tc>
          <w:tcPr>
            <w:tcW w:w="1288" w:type="dxa"/>
            <w:noWrap w:val="0"/>
            <w:vAlign w:val="center"/>
          </w:tcPr>
          <w:p w14:paraId="5B7C0D13">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4</w:t>
            </w:r>
          </w:p>
        </w:tc>
      </w:tr>
      <w:tr w14:paraId="53079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 w:hRule="atLeast"/>
          <w:jc w:val="center"/>
        </w:trPr>
        <w:tc>
          <w:tcPr>
            <w:tcW w:w="1728" w:type="dxa"/>
            <w:vMerge w:val="continue"/>
            <w:noWrap w:val="0"/>
            <w:vAlign w:val="center"/>
          </w:tcPr>
          <w:p w14:paraId="20AF7A56">
            <w:pPr>
              <w:jc w:val="center"/>
              <w:rPr>
                <w:rFonts w:hint="eastAsia" w:ascii="宋体" w:hAnsi="宋体" w:eastAsia="宋体" w:cs="宋体"/>
                <w:color w:val="auto"/>
                <w:sz w:val="21"/>
                <w:szCs w:val="21"/>
                <w:highlight w:val="none"/>
              </w:rPr>
            </w:pPr>
          </w:p>
        </w:tc>
        <w:tc>
          <w:tcPr>
            <w:tcW w:w="5542" w:type="dxa"/>
            <w:noWrap w:val="0"/>
            <w:vAlign w:val="center"/>
          </w:tcPr>
          <w:p w14:paraId="0FD93DB6">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面积50平方米以上/数量15台（套）以上/容量1000立方米以上/重量100千克以上</w:t>
            </w:r>
          </w:p>
        </w:tc>
        <w:tc>
          <w:tcPr>
            <w:tcW w:w="1288" w:type="dxa"/>
            <w:noWrap w:val="0"/>
            <w:vAlign w:val="center"/>
          </w:tcPr>
          <w:p w14:paraId="2413F4D0">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r>
      <w:tr w14:paraId="10998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1728" w:type="dxa"/>
            <w:noWrap w:val="0"/>
            <w:vAlign w:val="center"/>
          </w:tcPr>
          <w:p w14:paraId="68F7C61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备注</w:t>
            </w:r>
          </w:p>
        </w:tc>
        <w:tc>
          <w:tcPr>
            <w:tcW w:w="6830" w:type="dxa"/>
            <w:gridSpan w:val="2"/>
            <w:noWrap w:val="0"/>
            <w:vAlign w:val="top"/>
          </w:tcPr>
          <w:p w14:paraId="3CC18AED">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涉及多种违法情形时，裁量标准以裁量等级最高为准</w:t>
            </w:r>
          </w:p>
        </w:tc>
      </w:tr>
    </w:tbl>
    <w:p w14:paraId="7D854E40">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512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1"/>
        <w:gridCol w:w="5793"/>
        <w:gridCol w:w="1529"/>
      </w:tblGrid>
      <w:tr w14:paraId="39213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8737" w:type="dxa"/>
            <w:gridSpan w:val="3"/>
            <w:noWrap w:val="0"/>
            <w:vAlign w:val="top"/>
          </w:tcPr>
          <w:p w14:paraId="09194B97">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（八）固体废物污染防治类</w:t>
            </w:r>
          </w:p>
        </w:tc>
      </w:tr>
      <w:tr w14:paraId="7D112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763" w:type="dxa"/>
            <w:noWrap w:val="0"/>
            <w:vAlign w:val="center"/>
          </w:tcPr>
          <w:p w14:paraId="6B80AC8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974" w:type="dxa"/>
            <w:gridSpan w:val="2"/>
            <w:noWrap w:val="0"/>
            <w:vAlign w:val="top"/>
          </w:tcPr>
          <w:p w14:paraId="1EA5469A">
            <w:pPr>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r>
              <w:rPr>
                <w:rFonts w:hint="eastAsia" w:ascii="宋体" w:hAnsi="宋体" w:cs="宋体"/>
                <w:color w:val="auto"/>
                <w:sz w:val="21"/>
                <w:szCs w:val="21"/>
                <w:highlight w:val="none"/>
                <w:lang w:val="en-US" w:eastAsia="zh-CN"/>
              </w:rPr>
              <w:t>1</w:t>
            </w:r>
          </w:p>
        </w:tc>
      </w:tr>
      <w:tr w14:paraId="7A0A5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763" w:type="dxa"/>
            <w:noWrap w:val="0"/>
            <w:vAlign w:val="center"/>
          </w:tcPr>
          <w:p w14:paraId="291137C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6974" w:type="dxa"/>
            <w:gridSpan w:val="2"/>
            <w:noWrap w:val="0"/>
            <w:vAlign w:val="top"/>
          </w:tcPr>
          <w:p w14:paraId="093A2A98">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未制定危险废物意外事故防范措施和应急预案的</w:t>
            </w:r>
          </w:p>
        </w:tc>
      </w:tr>
      <w:tr w14:paraId="7F33A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4" w:hRule="atLeast"/>
          <w:jc w:val="center"/>
        </w:trPr>
        <w:tc>
          <w:tcPr>
            <w:tcW w:w="1763" w:type="dxa"/>
            <w:noWrap w:val="0"/>
            <w:vAlign w:val="center"/>
          </w:tcPr>
          <w:p w14:paraId="09CEBC7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6974" w:type="dxa"/>
            <w:gridSpan w:val="2"/>
            <w:noWrap w:val="0"/>
            <w:vAlign w:val="center"/>
          </w:tcPr>
          <w:p w14:paraId="33E544E7">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《中华人民共和国生态环境法典》第五百三十九条  产生、收集、贮存、运输、利用、处置危险废物的单位，应当依法制定意外事故的防范措施和应急预案，并报所在地生态环境主管部门和其他负有固体废物污染防治监督管理职责的部门备案；生态环境主管部门和其他负有固体废物污染防治监督管理职责的部门应当在各自职责范围内进行监督检查。</w:t>
            </w:r>
          </w:p>
        </w:tc>
      </w:tr>
      <w:tr w14:paraId="7CBEA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763" w:type="dxa"/>
            <w:noWrap w:val="0"/>
            <w:vAlign w:val="center"/>
          </w:tcPr>
          <w:p w14:paraId="0401101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6974" w:type="dxa"/>
            <w:gridSpan w:val="2"/>
            <w:noWrap w:val="0"/>
            <w:vAlign w:val="center"/>
          </w:tcPr>
          <w:p w14:paraId="207223C1">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《中华人民共和国生态环境法典》第一千一百七十五条</w:t>
            </w:r>
            <w:r>
              <w:rPr>
                <w:rFonts w:hint="eastAsia" w:ascii="宋体" w:hAnsi="宋体" w:eastAsia="宋体" w:cs="宋体"/>
                <w:color w:val="auto"/>
                <w:sz w:val="21"/>
                <w:szCs w:val="21"/>
                <w:highlight w:val="none"/>
                <w:lang w:eastAsia="zh-CN"/>
              </w:rPr>
              <w:t>第一款第十一项、第二款</w:t>
            </w:r>
            <w:r>
              <w:rPr>
                <w:rFonts w:hint="eastAsia" w:ascii="宋体" w:hAnsi="宋体" w:eastAsia="宋体" w:cs="宋体"/>
                <w:color w:val="auto"/>
                <w:sz w:val="21"/>
                <w:szCs w:val="21"/>
                <w:highlight w:val="none"/>
              </w:rPr>
              <w:t xml:space="preserve">  违反本法规定，有下列情形之一的，由生态环境主管部门责令改正，没收违法所得，并处以罚款</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w:t>
            </w:r>
          </w:p>
          <w:p w14:paraId="704C45CC">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（十一）未制定危险废物意外事故防范措施和应急预案。</w:t>
            </w:r>
          </w:p>
          <w:p w14:paraId="01C16D90">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有前款第一项、第二项、第三项、第四项、第六项、第七项、第九项、第十项、第十一项情形之一的，处五万元以上二十万元以下的罚款，拒不改正的，处二十万元以上一百万元以下的罚款；有前款第五项、第八项情形之一的，处二十万元以上二百万元以下的罚款。</w:t>
            </w:r>
          </w:p>
        </w:tc>
      </w:tr>
      <w:tr w14:paraId="004D3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763" w:type="dxa"/>
            <w:noWrap w:val="0"/>
            <w:vAlign w:val="center"/>
          </w:tcPr>
          <w:p w14:paraId="46555BD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518" w:type="dxa"/>
            <w:noWrap w:val="0"/>
            <w:vAlign w:val="top"/>
          </w:tcPr>
          <w:p w14:paraId="61C824A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456" w:type="dxa"/>
            <w:noWrap w:val="0"/>
            <w:vAlign w:val="top"/>
          </w:tcPr>
          <w:p w14:paraId="5CF669C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6D8CA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763" w:type="dxa"/>
            <w:vMerge w:val="restart"/>
            <w:noWrap w:val="0"/>
            <w:vAlign w:val="center"/>
          </w:tcPr>
          <w:p w14:paraId="56117E6C">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违法</w:t>
            </w:r>
            <w:r>
              <w:rPr>
                <w:rFonts w:hint="eastAsia" w:ascii="宋体" w:hAnsi="宋体" w:eastAsia="宋体" w:cs="宋体"/>
                <w:color w:val="auto"/>
                <w:sz w:val="21"/>
                <w:szCs w:val="21"/>
                <w:highlight w:val="none"/>
                <w:lang w:val="en-US" w:eastAsia="zh-CN"/>
              </w:rPr>
              <w:t>事实</w:t>
            </w:r>
          </w:p>
        </w:tc>
        <w:tc>
          <w:tcPr>
            <w:tcW w:w="5518" w:type="dxa"/>
            <w:noWrap w:val="0"/>
            <w:vAlign w:val="center"/>
          </w:tcPr>
          <w:p w14:paraId="370EBF4E">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未制定危险废物意外事故防范措施或应急预案</w:t>
            </w:r>
          </w:p>
        </w:tc>
        <w:tc>
          <w:tcPr>
            <w:tcW w:w="1456" w:type="dxa"/>
            <w:noWrap w:val="0"/>
            <w:vAlign w:val="center"/>
          </w:tcPr>
          <w:p w14:paraId="4E5196CA">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w:t>
            </w:r>
          </w:p>
        </w:tc>
      </w:tr>
      <w:tr w14:paraId="58F3A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 w:hRule="atLeast"/>
          <w:jc w:val="center"/>
        </w:trPr>
        <w:tc>
          <w:tcPr>
            <w:tcW w:w="1763" w:type="dxa"/>
            <w:vMerge w:val="continue"/>
            <w:noWrap w:val="0"/>
            <w:vAlign w:val="center"/>
          </w:tcPr>
          <w:p w14:paraId="35F6EFE9">
            <w:pPr>
              <w:jc w:val="center"/>
              <w:rPr>
                <w:rFonts w:hint="eastAsia" w:ascii="宋体" w:hAnsi="宋体" w:eastAsia="宋体" w:cs="宋体"/>
                <w:color w:val="auto"/>
                <w:sz w:val="21"/>
                <w:szCs w:val="21"/>
                <w:highlight w:val="none"/>
              </w:rPr>
            </w:pPr>
          </w:p>
        </w:tc>
        <w:tc>
          <w:tcPr>
            <w:tcW w:w="5518" w:type="dxa"/>
            <w:noWrap w:val="0"/>
            <w:vAlign w:val="center"/>
          </w:tcPr>
          <w:p w14:paraId="71D61972">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未制定危险废物意外事故防范措施和应急预案</w:t>
            </w:r>
          </w:p>
        </w:tc>
        <w:tc>
          <w:tcPr>
            <w:tcW w:w="1456" w:type="dxa"/>
            <w:noWrap w:val="0"/>
            <w:vAlign w:val="center"/>
          </w:tcPr>
          <w:p w14:paraId="4C6BAABD">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5</w:t>
            </w:r>
          </w:p>
        </w:tc>
      </w:tr>
      <w:tr w14:paraId="0CB29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763" w:type="dxa"/>
            <w:vMerge w:val="restart"/>
            <w:noWrap w:val="0"/>
            <w:vAlign w:val="center"/>
          </w:tcPr>
          <w:p w14:paraId="1643BD8B">
            <w:pPr>
              <w:jc w:val="center"/>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危险废物种类</w:t>
            </w:r>
          </w:p>
        </w:tc>
        <w:tc>
          <w:tcPr>
            <w:tcW w:w="5518" w:type="dxa"/>
            <w:noWrap w:val="0"/>
            <w:vAlign w:val="top"/>
          </w:tcPr>
          <w:p w14:paraId="0562378B">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1种</w:t>
            </w:r>
          </w:p>
        </w:tc>
        <w:tc>
          <w:tcPr>
            <w:tcW w:w="1456" w:type="dxa"/>
            <w:noWrap w:val="0"/>
            <w:vAlign w:val="top"/>
          </w:tcPr>
          <w:p w14:paraId="10B4EF5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p>
        </w:tc>
      </w:tr>
      <w:tr w14:paraId="7B22A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763" w:type="dxa"/>
            <w:vMerge w:val="continue"/>
            <w:noWrap w:val="0"/>
            <w:vAlign w:val="center"/>
          </w:tcPr>
          <w:p w14:paraId="3C378468">
            <w:pPr>
              <w:jc w:val="center"/>
              <w:rPr>
                <w:rFonts w:hint="eastAsia" w:ascii="宋体" w:hAnsi="宋体" w:eastAsia="宋体" w:cs="宋体"/>
                <w:color w:val="auto"/>
                <w:sz w:val="21"/>
                <w:szCs w:val="21"/>
                <w:highlight w:val="none"/>
              </w:rPr>
            </w:pPr>
          </w:p>
        </w:tc>
        <w:tc>
          <w:tcPr>
            <w:tcW w:w="5518" w:type="dxa"/>
            <w:noWrap w:val="0"/>
            <w:vAlign w:val="top"/>
          </w:tcPr>
          <w:p w14:paraId="4265EB90">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2种以上不足4种</w:t>
            </w:r>
          </w:p>
        </w:tc>
        <w:tc>
          <w:tcPr>
            <w:tcW w:w="1456" w:type="dxa"/>
            <w:noWrap w:val="0"/>
            <w:vAlign w:val="top"/>
          </w:tcPr>
          <w:p w14:paraId="0D126CB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p>
        </w:tc>
      </w:tr>
      <w:tr w14:paraId="7BC81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763" w:type="dxa"/>
            <w:vMerge w:val="continue"/>
            <w:noWrap w:val="0"/>
            <w:vAlign w:val="center"/>
          </w:tcPr>
          <w:p w14:paraId="47E97D80">
            <w:pPr>
              <w:jc w:val="center"/>
              <w:rPr>
                <w:rFonts w:hint="eastAsia" w:ascii="宋体" w:hAnsi="宋体" w:eastAsia="宋体" w:cs="宋体"/>
                <w:color w:val="auto"/>
                <w:sz w:val="21"/>
                <w:szCs w:val="21"/>
                <w:highlight w:val="none"/>
              </w:rPr>
            </w:pPr>
          </w:p>
        </w:tc>
        <w:tc>
          <w:tcPr>
            <w:tcW w:w="5518" w:type="dxa"/>
            <w:noWrap w:val="0"/>
            <w:vAlign w:val="top"/>
          </w:tcPr>
          <w:p w14:paraId="1F380F47">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4种及以上</w:t>
            </w:r>
          </w:p>
        </w:tc>
        <w:tc>
          <w:tcPr>
            <w:tcW w:w="1456" w:type="dxa"/>
            <w:noWrap w:val="0"/>
            <w:vAlign w:val="top"/>
          </w:tcPr>
          <w:p w14:paraId="69D0232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p>
        </w:tc>
      </w:tr>
    </w:tbl>
    <w:p w14:paraId="6B49C44A">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511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47"/>
        <w:gridCol w:w="5931"/>
        <w:gridCol w:w="1372"/>
      </w:tblGrid>
      <w:tr w14:paraId="485B3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715" w:type="dxa"/>
            <w:gridSpan w:val="3"/>
            <w:noWrap w:val="0"/>
            <w:vAlign w:val="center"/>
          </w:tcPr>
          <w:p w14:paraId="038F4093">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（八）固体废物污染防治类</w:t>
            </w:r>
          </w:p>
        </w:tc>
      </w:tr>
      <w:tr w14:paraId="38437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1759" w:type="dxa"/>
            <w:noWrap w:val="0"/>
            <w:vAlign w:val="center"/>
          </w:tcPr>
          <w:p w14:paraId="2815A4D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956" w:type="dxa"/>
            <w:gridSpan w:val="2"/>
            <w:noWrap w:val="0"/>
            <w:vAlign w:val="center"/>
          </w:tcPr>
          <w:p w14:paraId="46880C9B">
            <w:pPr>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r>
              <w:rPr>
                <w:rFonts w:hint="eastAsia" w:ascii="宋体" w:hAnsi="宋体" w:cs="宋体"/>
                <w:color w:val="auto"/>
                <w:sz w:val="21"/>
                <w:szCs w:val="21"/>
                <w:highlight w:val="none"/>
                <w:lang w:val="en-US" w:eastAsia="zh-CN"/>
              </w:rPr>
              <w:t>2</w:t>
            </w:r>
          </w:p>
        </w:tc>
      </w:tr>
      <w:tr w14:paraId="78431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1759" w:type="dxa"/>
            <w:noWrap w:val="0"/>
            <w:vAlign w:val="center"/>
          </w:tcPr>
          <w:p w14:paraId="22EAF00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6956" w:type="dxa"/>
            <w:gridSpan w:val="2"/>
            <w:noWrap w:val="0"/>
            <w:vAlign w:val="center"/>
          </w:tcPr>
          <w:p w14:paraId="3F8DB39A">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危险废物产生者未按照规定处置其产生的危险废物，被责令改正后拒不改正的</w:t>
            </w:r>
          </w:p>
        </w:tc>
      </w:tr>
      <w:tr w14:paraId="413F5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9" w:hRule="atLeast"/>
          <w:jc w:val="center"/>
        </w:trPr>
        <w:tc>
          <w:tcPr>
            <w:tcW w:w="1759" w:type="dxa"/>
            <w:noWrap w:val="0"/>
            <w:vAlign w:val="center"/>
          </w:tcPr>
          <w:p w14:paraId="6E8A2B4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6956" w:type="dxa"/>
            <w:gridSpan w:val="2"/>
            <w:noWrap w:val="0"/>
            <w:vAlign w:val="center"/>
          </w:tcPr>
          <w:p w14:paraId="01712630">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《中华人民共和国生态环境法典》第五百三十三条</w:t>
            </w:r>
            <w:r>
              <w:rPr>
                <w:rFonts w:hint="eastAsia" w:ascii="宋体" w:hAnsi="宋体" w:eastAsia="宋体" w:cs="宋体"/>
                <w:color w:val="auto"/>
                <w:sz w:val="21"/>
                <w:szCs w:val="21"/>
                <w:highlight w:val="none"/>
                <w:lang w:val="en-US" w:eastAsia="zh-CN"/>
              </w:rPr>
              <w:t xml:space="preserve">第一款 </w:t>
            </w:r>
            <w:r>
              <w:rPr>
                <w:rFonts w:hint="eastAsia" w:ascii="宋体" w:hAnsi="宋体" w:eastAsia="宋体" w:cs="宋体"/>
                <w:color w:val="auto"/>
                <w:sz w:val="21"/>
                <w:szCs w:val="21"/>
                <w:highlight w:val="none"/>
              </w:rPr>
              <w:t xml:space="preserve"> 产生危险废物的单位，应当按照国家规定和生态环境保护标准的要求贮存、利用、处置危险废物。</w:t>
            </w:r>
          </w:p>
        </w:tc>
      </w:tr>
      <w:tr w14:paraId="34A89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1" w:hRule="atLeast"/>
          <w:jc w:val="center"/>
        </w:trPr>
        <w:tc>
          <w:tcPr>
            <w:tcW w:w="1759" w:type="dxa"/>
            <w:noWrap w:val="0"/>
            <w:vAlign w:val="center"/>
          </w:tcPr>
          <w:p w14:paraId="02F3A4F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6956" w:type="dxa"/>
            <w:gridSpan w:val="2"/>
            <w:noWrap w:val="0"/>
            <w:vAlign w:val="center"/>
          </w:tcPr>
          <w:p w14:paraId="5C4A17DA">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《中华人民共和国生态环境法典》第一千一百七十七条 违反本法规定，危险废物产生者未按照规定处置其产生的危险废物，被责令改正后拒不改正的，由生态环境主管部门组织代为处置，处置费用由危险废物产生者承担，处十万元以上一百万元以下的罚款。</w:t>
            </w:r>
          </w:p>
        </w:tc>
      </w:tr>
      <w:tr w14:paraId="27B89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1759" w:type="dxa"/>
            <w:noWrap w:val="0"/>
            <w:vAlign w:val="center"/>
          </w:tcPr>
          <w:p w14:paraId="390B5F7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649" w:type="dxa"/>
            <w:noWrap w:val="0"/>
            <w:vAlign w:val="center"/>
          </w:tcPr>
          <w:p w14:paraId="52F2349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307" w:type="dxa"/>
            <w:noWrap w:val="0"/>
            <w:vAlign w:val="center"/>
          </w:tcPr>
          <w:p w14:paraId="79B720B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6B7D7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1759" w:type="dxa"/>
            <w:vMerge w:val="restart"/>
            <w:noWrap w:val="0"/>
            <w:vAlign w:val="center"/>
          </w:tcPr>
          <w:p w14:paraId="45EBDAD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危险废物数量</w:t>
            </w:r>
          </w:p>
        </w:tc>
        <w:tc>
          <w:tcPr>
            <w:tcW w:w="5649" w:type="dxa"/>
            <w:noWrap w:val="0"/>
            <w:vAlign w:val="center"/>
          </w:tcPr>
          <w:p w14:paraId="28C8B88A">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不足</w:t>
            </w:r>
            <w:r>
              <w:rPr>
                <w:rFonts w:hint="eastAsia" w:ascii="宋体" w:hAnsi="宋体" w:eastAsia="宋体" w:cs="宋体"/>
                <w:color w:val="auto"/>
                <w:sz w:val="21"/>
                <w:szCs w:val="21"/>
                <w:highlight w:val="none"/>
                <w:lang w:val="en-US" w:eastAsia="zh-CN"/>
              </w:rPr>
              <w:t>0.1</w:t>
            </w:r>
            <w:r>
              <w:rPr>
                <w:rFonts w:hint="eastAsia" w:ascii="宋体" w:hAnsi="宋体" w:eastAsia="宋体" w:cs="宋体"/>
                <w:color w:val="auto"/>
                <w:sz w:val="21"/>
                <w:szCs w:val="21"/>
                <w:highlight w:val="none"/>
              </w:rPr>
              <w:t>吨</w:t>
            </w:r>
          </w:p>
        </w:tc>
        <w:tc>
          <w:tcPr>
            <w:tcW w:w="1307" w:type="dxa"/>
            <w:noWrap w:val="0"/>
            <w:vAlign w:val="top"/>
          </w:tcPr>
          <w:p w14:paraId="5602D5E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5DEBD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1759" w:type="dxa"/>
            <w:vMerge w:val="continue"/>
            <w:noWrap w:val="0"/>
            <w:vAlign w:val="center"/>
          </w:tcPr>
          <w:p w14:paraId="4642CBA2">
            <w:pPr>
              <w:rPr>
                <w:rFonts w:hint="eastAsia" w:ascii="宋体" w:hAnsi="宋体" w:eastAsia="宋体" w:cs="宋体"/>
                <w:color w:val="auto"/>
                <w:sz w:val="21"/>
                <w:szCs w:val="21"/>
                <w:highlight w:val="none"/>
              </w:rPr>
            </w:pPr>
          </w:p>
        </w:tc>
        <w:tc>
          <w:tcPr>
            <w:tcW w:w="5649" w:type="dxa"/>
            <w:noWrap w:val="0"/>
            <w:vAlign w:val="center"/>
          </w:tcPr>
          <w:p w14:paraId="0878CE93">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0.1</w:t>
            </w:r>
            <w:r>
              <w:rPr>
                <w:rFonts w:hint="eastAsia" w:ascii="宋体" w:hAnsi="宋体" w:eastAsia="宋体" w:cs="宋体"/>
                <w:color w:val="auto"/>
                <w:sz w:val="21"/>
                <w:szCs w:val="21"/>
                <w:highlight w:val="none"/>
              </w:rPr>
              <w:t>吨以上不足</w:t>
            </w:r>
            <w:r>
              <w:rPr>
                <w:rFonts w:hint="eastAsia" w:ascii="宋体" w:hAnsi="宋体" w:eastAsia="宋体" w:cs="宋体"/>
                <w:color w:val="auto"/>
                <w:sz w:val="21"/>
                <w:szCs w:val="21"/>
                <w:highlight w:val="none"/>
                <w:lang w:val="en-US" w:eastAsia="zh-CN"/>
              </w:rPr>
              <w:t>0.5</w:t>
            </w:r>
            <w:r>
              <w:rPr>
                <w:rFonts w:hint="eastAsia" w:ascii="宋体" w:hAnsi="宋体" w:eastAsia="宋体" w:cs="宋体"/>
                <w:color w:val="auto"/>
                <w:sz w:val="21"/>
                <w:szCs w:val="21"/>
                <w:highlight w:val="none"/>
              </w:rPr>
              <w:t>吨</w:t>
            </w:r>
          </w:p>
        </w:tc>
        <w:tc>
          <w:tcPr>
            <w:tcW w:w="1307" w:type="dxa"/>
            <w:noWrap w:val="0"/>
            <w:vAlign w:val="top"/>
          </w:tcPr>
          <w:p w14:paraId="7859B67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r>
      <w:tr w14:paraId="70BED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1759" w:type="dxa"/>
            <w:vMerge w:val="continue"/>
            <w:noWrap w:val="0"/>
            <w:vAlign w:val="center"/>
          </w:tcPr>
          <w:p w14:paraId="6C175992">
            <w:pPr>
              <w:rPr>
                <w:rFonts w:hint="eastAsia" w:ascii="宋体" w:hAnsi="宋体" w:eastAsia="宋体" w:cs="宋体"/>
                <w:color w:val="auto"/>
                <w:sz w:val="21"/>
                <w:szCs w:val="21"/>
                <w:highlight w:val="none"/>
              </w:rPr>
            </w:pPr>
          </w:p>
        </w:tc>
        <w:tc>
          <w:tcPr>
            <w:tcW w:w="5649" w:type="dxa"/>
            <w:noWrap w:val="0"/>
            <w:vAlign w:val="center"/>
          </w:tcPr>
          <w:p w14:paraId="194BA819">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0.5</w:t>
            </w:r>
            <w:r>
              <w:rPr>
                <w:rFonts w:hint="eastAsia" w:ascii="宋体" w:hAnsi="宋体" w:eastAsia="宋体" w:cs="宋体"/>
                <w:color w:val="auto"/>
                <w:sz w:val="21"/>
                <w:szCs w:val="21"/>
                <w:highlight w:val="none"/>
              </w:rPr>
              <w:t>吨以上不足</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吨</w:t>
            </w:r>
          </w:p>
        </w:tc>
        <w:tc>
          <w:tcPr>
            <w:tcW w:w="1307" w:type="dxa"/>
            <w:noWrap w:val="0"/>
            <w:vAlign w:val="top"/>
          </w:tcPr>
          <w:p w14:paraId="54EA9D9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2E0A1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1759" w:type="dxa"/>
            <w:vMerge w:val="continue"/>
            <w:noWrap w:val="0"/>
            <w:vAlign w:val="center"/>
          </w:tcPr>
          <w:p w14:paraId="4E6FC704">
            <w:pPr>
              <w:rPr>
                <w:rFonts w:hint="eastAsia" w:ascii="宋体" w:hAnsi="宋体" w:eastAsia="宋体" w:cs="宋体"/>
                <w:color w:val="auto"/>
                <w:sz w:val="21"/>
                <w:szCs w:val="21"/>
                <w:highlight w:val="none"/>
              </w:rPr>
            </w:pPr>
          </w:p>
        </w:tc>
        <w:tc>
          <w:tcPr>
            <w:tcW w:w="5649" w:type="dxa"/>
            <w:noWrap w:val="0"/>
            <w:vAlign w:val="center"/>
          </w:tcPr>
          <w:p w14:paraId="7AE38583">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吨以上不足</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吨</w:t>
            </w:r>
          </w:p>
        </w:tc>
        <w:tc>
          <w:tcPr>
            <w:tcW w:w="1307" w:type="dxa"/>
            <w:noWrap w:val="0"/>
            <w:vAlign w:val="top"/>
          </w:tcPr>
          <w:p w14:paraId="6175557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r>
      <w:tr w14:paraId="057A3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1759" w:type="dxa"/>
            <w:vMerge w:val="continue"/>
            <w:noWrap w:val="0"/>
            <w:vAlign w:val="center"/>
          </w:tcPr>
          <w:p w14:paraId="3AC4739B">
            <w:pPr>
              <w:rPr>
                <w:rFonts w:hint="eastAsia" w:ascii="宋体" w:hAnsi="宋体" w:eastAsia="宋体" w:cs="宋体"/>
                <w:color w:val="auto"/>
                <w:sz w:val="21"/>
                <w:szCs w:val="21"/>
                <w:highlight w:val="none"/>
              </w:rPr>
            </w:pPr>
          </w:p>
        </w:tc>
        <w:tc>
          <w:tcPr>
            <w:tcW w:w="5649" w:type="dxa"/>
            <w:noWrap w:val="0"/>
            <w:vAlign w:val="center"/>
          </w:tcPr>
          <w:p w14:paraId="5625F9AF">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吨以上</w:t>
            </w:r>
          </w:p>
        </w:tc>
        <w:tc>
          <w:tcPr>
            <w:tcW w:w="1307" w:type="dxa"/>
            <w:noWrap w:val="0"/>
            <w:vAlign w:val="top"/>
          </w:tcPr>
          <w:p w14:paraId="2BB6E5B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2BDEF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1759" w:type="dxa"/>
            <w:vMerge w:val="restart"/>
            <w:noWrap w:val="0"/>
            <w:vAlign w:val="center"/>
          </w:tcPr>
          <w:p w14:paraId="3778A2D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危险废物种类</w:t>
            </w:r>
          </w:p>
        </w:tc>
        <w:tc>
          <w:tcPr>
            <w:tcW w:w="5649" w:type="dxa"/>
            <w:noWrap w:val="0"/>
            <w:vAlign w:val="top"/>
          </w:tcPr>
          <w:p w14:paraId="678CDC7F">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1种</w:t>
            </w:r>
          </w:p>
        </w:tc>
        <w:tc>
          <w:tcPr>
            <w:tcW w:w="1307" w:type="dxa"/>
            <w:noWrap w:val="0"/>
            <w:vAlign w:val="top"/>
          </w:tcPr>
          <w:p w14:paraId="1A1A065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22300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1759" w:type="dxa"/>
            <w:vMerge w:val="continue"/>
            <w:noWrap w:val="0"/>
            <w:vAlign w:val="center"/>
          </w:tcPr>
          <w:p w14:paraId="1FE9AA52">
            <w:pPr>
              <w:rPr>
                <w:rFonts w:hint="eastAsia" w:ascii="宋体" w:hAnsi="宋体" w:eastAsia="宋体" w:cs="宋体"/>
                <w:color w:val="auto"/>
                <w:sz w:val="21"/>
                <w:szCs w:val="21"/>
                <w:highlight w:val="none"/>
              </w:rPr>
            </w:pPr>
          </w:p>
        </w:tc>
        <w:tc>
          <w:tcPr>
            <w:tcW w:w="5649" w:type="dxa"/>
            <w:noWrap w:val="0"/>
            <w:vAlign w:val="top"/>
          </w:tcPr>
          <w:p w14:paraId="42C056D9">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2种以上不足4种</w:t>
            </w:r>
          </w:p>
        </w:tc>
        <w:tc>
          <w:tcPr>
            <w:tcW w:w="1307" w:type="dxa"/>
            <w:noWrap w:val="0"/>
            <w:vAlign w:val="top"/>
          </w:tcPr>
          <w:p w14:paraId="60DF9F0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53DB2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1759" w:type="dxa"/>
            <w:vMerge w:val="continue"/>
            <w:noWrap w:val="0"/>
            <w:vAlign w:val="center"/>
          </w:tcPr>
          <w:p w14:paraId="007E7880">
            <w:pPr>
              <w:rPr>
                <w:rFonts w:hint="eastAsia" w:ascii="宋体" w:hAnsi="宋体" w:eastAsia="宋体" w:cs="宋体"/>
                <w:color w:val="auto"/>
                <w:sz w:val="21"/>
                <w:szCs w:val="21"/>
                <w:highlight w:val="none"/>
              </w:rPr>
            </w:pPr>
          </w:p>
        </w:tc>
        <w:tc>
          <w:tcPr>
            <w:tcW w:w="5649" w:type="dxa"/>
            <w:noWrap w:val="0"/>
            <w:vAlign w:val="top"/>
          </w:tcPr>
          <w:p w14:paraId="2DA23A9E">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4种及以上</w:t>
            </w:r>
          </w:p>
        </w:tc>
        <w:tc>
          <w:tcPr>
            <w:tcW w:w="1307" w:type="dxa"/>
            <w:noWrap w:val="0"/>
            <w:vAlign w:val="top"/>
          </w:tcPr>
          <w:p w14:paraId="25D9217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bl>
    <w:p w14:paraId="6D4B9907">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32"/>
        <w:gridCol w:w="5630"/>
        <w:gridCol w:w="1486"/>
      </w:tblGrid>
      <w:tr w14:paraId="28B7A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3"/>
            <w:tcBorders>
              <w:top w:val="single" w:color="auto" w:sz="4" w:space="0"/>
              <w:left w:val="single" w:color="auto" w:sz="4" w:space="0"/>
              <w:bottom w:val="single" w:color="auto" w:sz="4" w:space="0"/>
              <w:right w:val="single" w:color="auto" w:sz="4" w:space="0"/>
            </w:tcBorders>
            <w:noWrap w:val="0"/>
            <w:vAlign w:val="top"/>
          </w:tcPr>
          <w:p w14:paraId="0F0F8D6E">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（八）固体废物污染防治类</w:t>
            </w:r>
          </w:p>
        </w:tc>
      </w:tr>
      <w:tr w14:paraId="7EBBC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14:paraId="1FBC60F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777" w:type="dxa"/>
            <w:gridSpan w:val="2"/>
            <w:tcBorders>
              <w:top w:val="single" w:color="auto" w:sz="4" w:space="0"/>
              <w:left w:val="single" w:color="auto" w:sz="4" w:space="0"/>
              <w:bottom w:val="single" w:color="auto" w:sz="4" w:space="0"/>
              <w:right w:val="single" w:color="auto" w:sz="4" w:space="0"/>
            </w:tcBorders>
            <w:noWrap w:val="0"/>
            <w:vAlign w:val="top"/>
          </w:tcPr>
          <w:p w14:paraId="40101C27">
            <w:pPr>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r>
              <w:rPr>
                <w:rFonts w:hint="eastAsia" w:ascii="宋体" w:hAnsi="宋体" w:cs="宋体"/>
                <w:color w:val="auto"/>
                <w:sz w:val="21"/>
                <w:szCs w:val="21"/>
                <w:highlight w:val="none"/>
                <w:lang w:val="en-US" w:eastAsia="zh-CN"/>
              </w:rPr>
              <w:t>3</w:t>
            </w:r>
          </w:p>
        </w:tc>
      </w:tr>
      <w:tr w14:paraId="39312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14:paraId="3500A6D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6777" w:type="dxa"/>
            <w:gridSpan w:val="2"/>
            <w:tcBorders>
              <w:top w:val="single" w:color="auto" w:sz="4" w:space="0"/>
              <w:left w:val="single" w:color="auto" w:sz="4" w:space="0"/>
              <w:bottom w:val="single" w:color="auto" w:sz="4" w:space="0"/>
              <w:right w:val="single" w:color="auto" w:sz="4" w:space="0"/>
            </w:tcBorders>
            <w:noWrap w:val="0"/>
            <w:vAlign w:val="center"/>
          </w:tcPr>
          <w:p w14:paraId="1C45FAE1">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企业事业单位无许可证从事收集、贮存、利用、处置危险废物经营活动的</w:t>
            </w:r>
          </w:p>
        </w:tc>
      </w:tr>
      <w:tr w14:paraId="3999D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14:paraId="568D7E7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6777" w:type="dxa"/>
            <w:gridSpan w:val="2"/>
            <w:tcBorders>
              <w:top w:val="single" w:color="auto" w:sz="4" w:space="0"/>
              <w:left w:val="single" w:color="auto" w:sz="4" w:space="0"/>
              <w:bottom w:val="single" w:color="auto" w:sz="4" w:space="0"/>
              <w:right w:val="single" w:color="auto" w:sz="4" w:space="0"/>
            </w:tcBorders>
            <w:noWrap w:val="0"/>
            <w:vAlign w:val="center"/>
          </w:tcPr>
          <w:p w14:paraId="434C2E33">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《中华人民共和国生态环境法典》第五百三十四条</w:t>
            </w:r>
            <w:r>
              <w:rPr>
                <w:rFonts w:hint="eastAsia" w:ascii="宋体" w:hAnsi="宋体" w:eastAsia="宋体" w:cs="宋体"/>
                <w:color w:val="auto"/>
                <w:sz w:val="21"/>
                <w:szCs w:val="21"/>
                <w:highlight w:val="none"/>
                <w:lang w:eastAsia="zh-CN"/>
              </w:rPr>
              <w:t>第一款、第二款</w:t>
            </w:r>
            <w:r>
              <w:rPr>
                <w:rFonts w:hint="eastAsia" w:ascii="宋体" w:hAnsi="宋体" w:eastAsia="宋体" w:cs="宋体"/>
                <w:color w:val="auto"/>
                <w:sz w:val="21"/>
                <w:szCs w:val="21"/>
                <w:highlight w:val="none"/>
              </w:rPr>
              <w:t xml:space="preserve">  从事收集、贮存、利用、处置危险废物经营活动的单位，应当按照国家规定取得许可证。许可证的具体管理办法由国务院制定。</w:t>
            </w:r>
          </w:p>
          <w:p w14:paraId="3F49071C">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禁止无许可证或者不按照许可证的要求从事危险废物收集、贮存、利用、处置的经营活动。</w:t>
            </w:r>
          </w:p>
        </w:tc>
      </w:tr>
      <w:tr w14:paraId="238E9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14:paraId="19D68F4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6777" w:type="dxa"/>
            <w:gridSpan w:val="2"/>
            <w:tcBorders>
              <w:top w:val="single" w:color="auto" w:sz="4" w:space="0"/>
              <w:left w:val="single" w:color="auto" w:sz="4" w:space="0"/>
              <w:bottom w:val="single" w:color="auto" w:sz="4" w:space="0"/>
              <w:right w:val="single" w:color="auto" w:sz="4" w:space="0"/>
            </w:tcBorders>
            <w:noWrap w:val="0"/>
            <w:vAlign w:val="center"/>
          </w:tcPr>
          <w:p w14:paraId="6B057505">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《中华人民共和国生态环境法典》第一千一百七十八条第一款  违反本法规定，企业事业单位无许可证从事收集、贮存、利用、处置危险废物经营活动的，由生态环境主管部门责令改正，没收违法所得，对收集、贮存危险废物经营活动并处二十万元以上一百万元以下的罚款，对利用、处置危险废物经营活动并处一百万元以上五百万元以下的罚款，报经有批准权的人民政府批准，责令停业、关闭；对法定代表人、主要负责人、直接负责的主管人员和其他直接责任人员，处十万元以上一百万元以下的罚款。</w:t>
            </w:r>
          </w:p>
        </w:tc>
      </w:tr>
      <w:tr w14:paraId="33EB0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14:paraId="0B7BFD5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362" w:type="dxa"/>
            <w:tcBorders>
              <w:top w:val="single" w:color="auto" w:sz="4" w:space="0"/>
              <w:left w:val="single" w:color="auto" w:sz="4" w:space="0"/>
              <w:bottom w:val="single" w:color="auto" w:sz="4" w:space="0"/>
              <w:right w:val="single" w:color="auto" w:sz="4" w:space="0"/>
            </w:tcBorders>
            <w:noWrap w:val="0"/>
            <w:vAlign w:val="top"/>
          </w:tcPr>
          <w:p w14:paraId="5821E4F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415" w:type="dxa"/>
            <w:tcBorders>
              <w:top w:val="single" w:color="auto" w:sz="4" w:space="0"/>
              <w:left w:val="single" w:color="auto" w:sz="4" w:space="0"/>
              <w:bottom w:val="single" w:color="auto" w:sz="4" w:space="0"/>
              <w:right w:val="single" w:color="auto" w:sz="4" w:space="0"/>
            </w:tcBorders>
            <w:noWrap w:val="0"/>
            <w:vAlign w:val="top"/>
          </w:tcPr>
          <w:p w14:paraId="32CA430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0C43B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5" w:type="dxa"/>
            <w:vMerge w:val="restart"/>
            <w:tcBorders>
              <w:top w:val="single" w:color="auto" w:sz="4" w:space="0"/>
              <w:left w:val="single" w:color="auto" w:sz="4" w:space="0"/>
              <w:bottom w:val="single" w:color="auto" w:sz="4" w:space="0"/>
              <w:right w:val="single" w:color="auto" w:sz="4" w:space="0"/>
            </w:tcBorders>
            <w:noWrap w:val="0"/>
            <w:vAlign w:val="center"/>
          </w:tcPr>
          <w:p w14:paraId="4855E3F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危险废物数量</w:t>
            </w:r>
          </w:p>
        </w:tc>
        <w:tc>
          <w:tcPr>
            <w:tcW w:w="5362" w:type="dxa"/>
            <w:tcBorders>
              <w:top w:val="single" w:color="auto" w:sz="4" w:space="0"/>
              <w:left w:val="single" w:color="auto" w:sz="4" w:space="0"/>
              <w:bottom w:val="single" w:color="auto" w:sz="4" w:space="0"/>
              <w:right w:val="single" w:color="auto" w:sz="4" w:space="0"/>
            </w:tcBorders>
            <w:noWrap w:val="0"/>
            <w:vAlign w:val="center"/>
          </w:tcPr>
          <w:p w14:paraId="49EF31D5">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不足</w:t>
            </w:r>
            <w:r>
              <w:rPr>
                <w:rFonts w:hint="eastAsia" w:ascii="宋体" w:hAnsi="宋体" w:eastAsia="宋体" w:cs="宋体"/>
                <w:color w:val="auto"/>
                <w:sz w:val="21"/>
                <w:szCs w:val="21"/>
                <w:highlight w:val="none"/>
                <w:lang w:val="en-US" w:eastAsia="zh-CN"/>
              </w:rPr>
              <w:t>0.1</w:t>
            </w:r>
            <w:r>
              <w:rPr>
                <w:rFonts w:hint="eastAsia" w:ascii="宋体" w:hAnsi="宋体" w:eastAsia="宋体" w:cs="宋体"/>
                <w:color w:val="auto"/>
                <w:sz w:val="21"/>
                <w:szCs w:val="21"/>
                <w:highlight w:val="none"/>
              </w:rPr>
              <w:t>吨</w:t>
            </w:r>
          </w:p>
        </w:tc>
        <w:tc>
          <w:tcPr>
            <w:tcW w:w="1415" w:type="dxa"/>
            <w:tcBorders>
              <w:top w:val="single" w:color="auto" w:sz="4" w:space="0"/>
              <w:left w:val="single" w:color="auto" w:sz="4" w:space="0"/>
              <w:bottom w:val="single" w:color="auto" w:sz="4" w:space="0"/>
              <w:right w:val="single" w:color="auto" w:sz="4" w:space="0"/>
            </w:tcBorders>
            <w:noWrap w:val="0"/>
            <w:vAlign w:val="top"/>
          </w:tcPr>
          <w:p w14:paraId="15B3357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74E81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5" w:type="dxa"/>
            <w:vMerge w:val="continue"/>
            <w:tcBorders>
              <w:left w:val="single" w:color="auto" w:sz="4" w:space="0"/>
              <w:right w:val="single" w:color="auto" w:sz="4" w:space="0"/>
            </w:tcBorders>
            <w:noWrap w:val="0"/>
            <w:vAlign w:val="center"/>
          </w:tcPr>
          <w:p w14:paraId="0D598BD9">
            <w:pPr>
              <w:rPr>
                <w:rFonts w:hint="eastAsia" w:ascii="宋体" w:hAnsi="宋体" w:eastAsia="宋体" w:cs="宋体"/>
                <w:color w:val="auto"/>
                <w:sz w:val="21"/>
                <w:szCs w:val="21"/>
                <w:highlight w:val="none"/>
              </w:rPr>
            </w:pPr>
          </w:p>
        </w:tc>
        <w:tc>
          <w:tcPr>
            <w:tcW w:w="5362" w:type="dxa"/>
            <w:tcBorders>
              <w:top w:val="single" w:color="auto" w:sz="4" w:space="0"/>
              <w:left w:val="single" w:color="auto" w:sz="4" w:space="0"/>
              <w:bottom w:val="single" w:color="auto" w:sz="4" w:space="0"/>
              <w:right w:val="single" w:color="auto" w:sz="4" w:space="0"/>
            </w:tcBorders>
            <w:noWrap w:val="0"/>
            <w:vAlign w:val="center"/>
          </w:tcPr>
          <w:p w14:paraId="10DFBFE7">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0.1</w:t>
            </w:r>
            <w:r>
              <w:rPr>
                <w:rFonts w:hint="eastAsia" w:ascii="宋体" w:hAnsi="宋体" w:eastAsia="宋体" w:cs="宋体"/>
                <w:color w:val="auto"/>
                <w:sz w:val="21"/>
                <w:szCs w:val="21"/>
                <w:highlight w:val="none"/>
              </w:rPr>
              <w:t>吨以上不足</w:t>
            </w:r>
            <w:r>
              <w:rPr>
                <w:rFonts w:hint="eastAsia" w:ascii="宋体" w:hAnsi="宋体" w:eastAsia="宋体" w:cs="宋体"/>
                <w:color w:val="auto"/>
                <w:sz w:val="21"/>
                <w:szCs w:val="21"/>
                <w:highlight w:val="none"/>
                <w:lang w:val="en-US" w:eastAsia="zh-CN"/>
              </w:rPr>
              <w:t>0.5</w:t>
            </w:r>
            <w:r>
              <w:rPr>
                <w:rFonts w:hint="eastAsia" w:ascii="宋体" w:hAnsi="宋体" w:eastAsia="宋体" w:cs="宋体"/>
                <w:color w:val="auto"/>
                <w:sz w:val="21"/>
                <w:szCs w:val="21"/>
                <w:highlight w:val="none"/>
              </w:rPr>
              <w:t>吨</w:t>
            </w:r>
          </w:p>
        </w:tc>
        <w:tc>
          <w:tcPr>
            <w:tcW w:w="1415" w:type="dxa"/>
            <w:tcBorders>
              <w:top w:val="single" w:color="auto" w:sz="4" w:space="0"/>
              <w:left w:val="single" w:color="auto" w:sz="4" w:space="0"/>
              <w:bottom w:val="single" w:color="auto" w:sz="4" w:space="0"/>
              <w:right w:val="single" w:color="auto" w:sz="4" w:space="0"/>
            </w:tcBorders>
            <w:noWrap w:val="0"/>
            <w:vAlign w:val="top"/>
          </w:tcPr>
          <w:p w14:paraId="080ED26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r>
      <w:tr w14:paraId="059C0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5" w:type="dxa"/>
            <w:vMerge w:val="continue"/>
            <w:tcBorders>
              <w:left w:val="single" w:color="auto" w:sz="4" w:space="0"/>
              <w:right w:val="single" w:color="auto" w:sz="4" w:space="0"/>
            </w:tcBorders>
            <w:noWrap w:val="0"/>
            <w:vAlign w:val="center"/>
          </w:tcPr>
          <w:p w14:paraId="5F9F49B0">
            <w:pPr>
              <w:rPr>
                <w:rFonts w:hint="eastAsia" w:ascii="宋体" w:hAnsi="宋体" w:eastAsia="宋体" w:cs="宋体"/>
                <w:color w:val="auto"/>
                <w:sz w:val="21"/>
                <w:szCs w:val="21"/>
                <w:highlight w:val="none"/>
              </w:rPr>
            </w:pPr>
          </w:p>
        </w:tc>
        <w:tc>
          <w:tcPr>
            <w:tcW w:w="5362" w:type="dxa"/>
            <w:tcBorders>
              <w:top w:val="single" w:color="auto" w:sz="4" w:space="0"/>
              <w:left w:val="single" w:color="auto" w:sz="4" w:space="0"/>
              <w:bottom w:val="single" w:color="auto" w:sz="4" w:space="0"/>
              <w:right w:val="single" w:color="auto" w:sz="4" w:space="0"/>
            </w:tcBorders>
            <w:noWrap w:val="0"/>
            <w:vAlign w:val="center"/>
          </w:tcPr>
          <w:p w14:paraId="1EBB9C42">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0.5</w:t>
            </w:r>
            <w:r>
              <w:rPr>
                <w:rFonts w:hint="eastAsia" w:ascii="宋体" w:hAnsi="宋体" w:eastAsia="宋体" w:cs="宋体"/>
                <w:color w:val="auto"/>
                <w:sz w:val="21"/>
                <w:szCs w:val="21"/>
                <w:highlight w:val="none"/>
              </w:rPr>
              <w:t>吨以上不足</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吨</w:t>
            </w:r>
          </w:p>
        </w:tc>
        <w:tc>
          <w:tcPr>
            <w:tcW w:w="1415" w:type="dxa"/>
            <w:tcBorders>
              <w:top w:val="single" w:color="auto" w:sz="4" w:space="0"/>
              <w:left w:val="single" w:color="auto" w:sz="4" w:space="0"/>
              <w:bottom w:val="single" w:color="auto" w:sz="4" w:space="0"/>
              <w:right w:val="single" w:color="auto" w:sz="4" w:space="0"/>
            </w:tcBorders>
            <w:noWrap w:val="0"/>
            <w:vAlign w:val="top"/>
          </w:tcPr>
          <w:p w14:paraId="00D2BDE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39C98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5" w:type="dxa"/>
            <w:vMerge w:val="continue"/>
            <w:tcBorders>
              <w:top w:val="single" w:color="auto" w:sz="4" w:space="0"/>
              <w:left w:val="single" w:color="auto" w:sz="4" w:space="0"/>
              <w:bottom w:val="single" w:color="auto" w:sz="4" w:space="0"/>
              <w:right w:val="single" w:color="auto" w:sz="4" w:space="0"/>
            </w:tcBorders>
            <w:noWrap w:val="0"/>
            <w:vAlign w:val="center"/>
          </w:tcPr>
          <w:p w14:paraId="7ED0D63F">
            <w:pPr>
              <w:rPr>
                <w:rFonts w:hint="eastAsia" w:ascii="宋体" w:hAnsi="宋体" w:eastAsia="宋体" w:cs="宋体"/>
                <w:color w:val="auto"/>
                <w:sz w:val="21"/>
                <w:szCs w:val="21"/>
                <w:highlight w:val="none"/>
              </w:rPr>
            </w:pPr>
          </w:p>
        </w:tc>
        <w:tc>
          <w:tcPr>
            <w:tcW w:w="5362" w:type="dxa"/>
            <w:tcBorders>
              <w:top w:val="single" w:color="auto" w:sz="4" w:space="0"/>
              <w:left w:val="single" w:color="auto" w:sz="4" w:space="0"/>
              <w:bottom w:val="single" w:color="auto" w:sz="4" w:space="0"/>
              <w:right w:val="single" w:color="auto" w:sz="4" w:space="0"/>
            </w:tcBorders>
            <w:noWrap w:val="0"/>
            <w:vAlign w:val="center"/>
          </w:tcPr>
          <w:p w14:paraId="50ACCDF2">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吨以上不足</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吨</w:t>
            </w:r>
          </w:p>
        </w:tc>
        <w:tc>
          <w:tcPr>
            <w:tcW w:w="1415" w:type="dxa"/>
            <w:tcBorders>
              <w:top w:val="single" w:color="auto" w:sz="4" w:space="0"/>
              <w:left w:val="single" w:color="auto" w:sz="4" w:space="0"/>
              <w:bottom w:val="single" w:color="auto" w:sz="4" w:space="0"/>
              <w:right w:val="single" w:color="auto" w:sz="4" w:space="0"/>
            </w:tcBorders>
            <w:noWrap w:val="0"/>
            <w:vAlign w:val="top"/>
          </w:tcPr>
          <w:p w14:paraId="29CE545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r>
      <w:tr w14:paraId="56B60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5" w:type="dxa"/>
            <w:vMerge w:val="continue"/>
            <w:tcBorders>
              <w:top w:val="single" w:color="auto" w:sz="4" w:space="0"/>
              <w:left w:val="single" w:color="auto" w:sz="4" w:space="0"/>
              <w:bottom w:val="single" w:color="auto" w:sz="4" w:space="0"/>
              <w:right w:val="single" w:color="auto" w:sz="4" w:space="0"/>
            </w:tcBorders>
            <w:noWrap w:val="0"/>
            <w:vAlign w:val="center"/>
          </w:tcPr>
          <w:p w14:paraId="147F1CFB">
            <w:pPr>
              <w:rPr>
                <w:rFonts w:hint="eastAsia" w:ascii="宋体" w:hAnsi="宋体" w:eastAsia="宋体" w:cs="宋体"/>
                <w:color w:val="auto"/>
                <w:sz w:val="21"/>
                <w:szCs w:val="21"/>
                <w:highlight w:val="none"/>
              </w:rPr>
            </w:pPr>
          </w:p>
        </w:tc>
        <w:tc>
          <w:tcPr>
            <w:tcW w:w="5362" w:type="dxa"/>
            <w:tcBorders>
              <w:top w:val="single" w:color="auto" w:sz="4" w:space="0"/>
              <w:left w:val="single" w:color="auto" w:sz="4" w:space="0"/>
              <w:bottom w:val="single" w:color="auto" w:sz="4" w:space="0"/>
              <w:right w:val="single" w:color="auto" w:sz="4" w:space="0"/>
            </w:tcBorders>
            <w:noWrap w:val="0"/>
            <w:vAlign w:val="center"/>
          </w:tcPr>
          <w:p w14:paraId="491B696B">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吨以上</w:t>
            </w:r>
          </w:p>
        </w:tc>
        <w:tc>
          <w:tcPr>
            <w:tcW w:w="1415" w:type="dxa"/>
            <w:tcBorders>
              <w:top w:val="single" w:color="auto" w:sz="4" w:space="0"/>
              <w:left w:val="single" w:color="auto" w:sz="4" w:space="0"/>
              <w:bottom w:val="single" w:color="auto" w:sz="4" w:space="0"/>
              <w:right w:val="single" w:color="auto" w:sz="4" w:space="0"/>
            </w:tcBorders>
            <w:noWrap w:val="0"/>
            <w:vAlign w:val="top"/>
          </w:tcPr>
          <w:p w14:paraId="6FA0535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2A5A7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5" w:type="dxa"/>
            <w:vMerge w:val="restart"/>
            <w:tcBorders>
              <w:top w:val="single" w:color="auto" w:sz="4" w:space="0"/>
              <w:left w:val="single" w:color="auto" w:sz="4" w:space="0"/>
              <w:bottom w:val="single" w:color="auto" w:sz="4" w:space="0"/>
              <w:right w:val="single" w:color="auto" w:sz="4" w:space="0"/>
            </w:tcBorders>
            <w:noWrap w:val="0"/>
            <w:vAlign w:val="center"/>
          </w:tcPr>
          <w:p w14:paraId="7A0F9A5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危险废物种类</w:t>
            </w:r>
          </w:p>
        </w:tc>
        <w:tc>
          <w:tcPr>
            <w:tcW w:w="5362" w:type="dxa"/>
            <w:tcBorders>
              <w:top w:val="single" w:color="auto" w:sz="4" w:space="0"/>
              <w:left w:val="single" w:color="auto" w:sz="4" w:space="0"/>
              <w:bottom w:val="single" w:color="auto" w:sz="4" w:space="0"/>
              <w:right w:val="single" w:color="auto" w:sz="4" w:space="0"/>
            </w:tcBorders>
            <w:noWrap w:val="0"/>
            <w:vAlign w:val="top"/>
          </w:tcPr>
          <w:p w14:paraId="71D380D3">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1种</w:t>
            </w:r>
          </w:p>
        </w:tc>
        <w:tc>
          <w:tcPr>
            <w:tcW w:w="1415" w:type="dxa"/>
            <w:tcBorders>
              <w:top w:val="single" w:color="auto" w:sz="4" w:space="0"/>
              <w:left w:val="single" w:color="auto" w:sz="4" w:space="0"/>
              <w:bottom w:val="single" w:color="auto" w:sz="4" w:space="0"/>
              <w:right w:val="single" w:color="auto" w:sz="4" w:space="0"/>
            </w:tcBorders>
            <w:noWrap w:val="0"/>
            <w:vAlign w:val="top"/>
          </w:tcPr>
          <w:p w14:paraId="12252EE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5049D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5" w:type="dxa"/>
            <w:vMerge w:val="continue"/>
            <w:tcBorders>
              <w:top w:val="single" w:color="auto" w:sz="4" w:space="0"/>
              <w:left w:val="single" w:color="auto" w:sz="4" w:space="0"/>
              <w:bottom w:val="single" w:color="auto" w:sz="4" w:space="0"/>
              <w:right w:val="single" w:color="auto" w:sz="4" w:space="0"/>
            </w:tcBorders>
            <w:noWrap w:val="0"/>
            <w:vAlign w:val="center"/>
          </w:tcPr>
          <w:p w14:paraId="6C39AB17">
            <w:pPr>
              <w:rPr>
                <w:rFonts w:hint="eastAsia" w:ascii="宋体" w:hAnsi="宋体" w:eastAsia="宋体" w:cs="宋体"/>
                <w:color w:val="auto"/>
                <w:sz w:val="21"/>
                <w:szCs w:val="21"/>
                <w:highlight w:val="none"/>
              </w:rPr>
            </w:pPr>
          </w:p>
        </w:tc>
        <w:tc>
          <w:tcPr>
            <w:tcW w:w="5362" w:type="dxa"/>
            <w:tcBorders>
              <w:top w:val="single" w:color="auto" w:sz="4" w:space="0"/>
              <w:left w:val="single" w:color="auto" w:sz="4" w:space="0"/>
              <w:bottom w:val="single" w:color="auto" w:sz="4" w:space="0"/>
              <w:right w:val="single" w:color="auto" w:sz="4" w:space="0"/>
            </w:tcBorders>
            <w:noWrap w:val="0"/>
            <w:vAlign w:val="top"/>
          </w:tcPr>
          <w:p w14:paraId="6D7906B0">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2种以上不足4种</w:t>
            </w:r>
          </w:p>
        </w:tc>
        <w:tc>
          <w:tcPr>
            <w:tcW w:w="1415" w:type="dxa"/>
            <w:tcBorders>
              <w:top w:val="single" w:color="auto" w:sz="4" w:space="0"/>
              <w:left w:val="single" w:color="auto" w:sz="4" w:space="0"/>
              <w:bottom w:val="single" w:color="auto" w:sz="4" w:space="0"/>
              <w:right w:val="single" w:color="auto" w:sz="4" w:space="0"/>
            </w:tcBorders>
            <w:noWrap w:val="0"/>
            <w:vAlign w:val="top"/>
          </w:tcPr>
          <w:p w14:paraId="7D2E70C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38813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5" w:type="dxa"/>
            <w:vMerge w:val="continue"/>
            <w:tcBorders>
              <w:top w:val="single" w:color="auto" w:sz="4" w:space="0"/>
              <w:left w:val="single" w:color="auto" w:sz="4" w:space="0"/>
              <w:bottom w:val="single" w:color="auto" w:sz="4" w:space="0"/>
              <w:right w:val="single" w:color="auto" w:sz="4" w:space="0"/>
            </w:tcBorders>
            <w:noWrap w:val="0"/>
            <w:vAlign w:val="center"/>
          </w:tcPr>
          <w:p w14:paraId="236FF155">
            <w:pPr>
              <w:rPr>
                <w:rFonts w:hint="eastAsia" w:ascii="宋体" w:hAnsi="宋体" w:eastAsia="宋体" w:cs="宋体"/>
                <w:color w:val="auto"/>
                <w:sz w:val="21"/>
                <w:szCs w:val="21"/>
                <w:highlight w:val="none"/>
              </w:rPr>
            </w:pPr>
          </w:p>
        </w:tc>
        <w:tc>
          <w:tcPr>
            <w:tcW w:w="5362" w:type="dxa"/>
            <w:tcBorders>
              <w:top w:val="single" w:color="auto" w:sz="4" w:space="0"/>
              <w:left w:val="single" w:color="auto" w:sz="4" w:space="0"/>
              <w:bottom w:val="single" w:color="auto" w:sz="4" w:space="0"/>
              <w:right w:val="single" w:color="auto" w:sz="4" w:space="0"/>
            </w:tcBorders>
            <w:noWrap w:val="0"/>
            <w:vAlign w:val="top"/>
          </w:tcPr>
          <w:p w14:paraId="52432D4D">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4种及以上</w:t>
            </w:r>
          </w:p>
        </w:tc>
        <w:tc>
          <w:tcPr>
            <w:tcW w:w="1415" w:type="dxa"/>
            <w:tcBorders>
              <w:top w:val="single" w:color="auto" w:sz="4" w:space="0"/>
              <w:left w:val="single" w:color="auto" w:sz="4" w:space="0"/>
              <w:bottom w:val="single" w:color="auto" w:sz="4" w:space="0"/>
              <w:right w:val="single" w:color="auto" w:sz="4" w:space="0"/>
            </w:tcBorders>
            <w:noWrap w:val="0"/>
            <w:vAlign w:val="top"/>
          </w:tcPr>
          <w:p w14:paraId="01EF48A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0B99F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14:paraId="5399635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备注</w:t>
            </w:r>
          </w:p>
        </w:tc>
        <w:tc>
          <w:tcPr>
            <w:tcW w:w="6777" w:type="dxa"/>
            <w:gridSpan w:val="2"/>
            <w:tcBorders>
              <w:top w:val="single" w:color="auto" w:sz="4" w:space="0"/>
              <w:left w:val="single" w:color="auto" w:sz="4" w:space="0"/>
              <w:bottom w:val="single" w:color="auto" w:sz="4" w:space="0"/>
              <w:right w:val="single" w:color="auto" w:sz="4" w:space="0"/>
            </w:tcBorders>
            <w:noWrap w:val="0"/>
            <w:vAlign w:val="top"/>
          </w:tcPr>
          <w:p w14:paraId="48D31C02">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拟对直接负责的主管人员和其他直接责任人员实施罚款处罚的，应当分别套用计算公式确定罚款数额。</w:t>
            </w:r>
          </w:p>
        </w:tc>
      </w:tr>
    </w:tbl>
    <w:p w14:paraId="05E0339B">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32"/>
        <w:gridCol w:w="5630"/>
        <w:gridCol w:w="1486"/>
      </w:tblGrid>
      <w:tr w14:paraId="0E931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3"/>
            <w:tcBorders>
              <w:top w:val="single" w:color="auto" w:sz="4" w:space="0"/>
              <w:left w:val="single" w:color="auto" w:sz="4" w:space="0"/>
              <w:bottom w:val="single" w:color="auto" w:sz="4" w:space="0"/>
              <w:right w:val="single" w:color="auto" w:sz="4" w:space="0"/>
            </w:tcBorders>
            <w:noWrap w:val="0"/>
            <w:vAlign w:val="top"/>
          </w:tcPr>
          <w:p w14:paraId="30255FDA">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（八）固体废物污染防治类</w:t>
            </w:r>
          </w:p>
        </w:tc>
      </w:tr>
      <w:tr w14:paraId="08347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14:paraId="6E5E2EB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777" w:type="dxa"/>
            <w:gridSpan w:val="2"/>
            <w:tcBorders>
              <w:top w:val="single" w:color="auto" w:sz="4" w:space="0"/>
              <w:left w:val="single" w:color="auto" w:sz="4" w:space="0"/>
              <w:bottom w:val="single" w:color="auto" w:sz="4" w:space="0"/>
              <w:right w:val="single" w:color="auto" w:sz="4" w:space="0"/>
            </w:tcBorders>
            <w:noWrap w:val="0"/>
            <w:vAlign w:val="top"/>
          </w:tcPr>
          <w:p w14:paraId="6E348343">
            <w:pPr>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r>
              <w:rPr>
                <w:rFonts w:hint="eastAsia" w:ascii="宋体" w:hAnsi="宋体" w:cs="宋体"/>
                <w:color w:val="auto"/>
                <w:sz w:val="21"/>
                <w:szCs w:val="21"/>
                <w:highlight w:val="none"/>
                <w:lang w:val="en-US" w:eastAsia="zh-CN"/>
              </w:rPr>
              <w:t>4</w:t>
            </w:r>
          </w:p>
        </w:tc>
      </w:tr>
      <w:tr w14:paraId="3F2C3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14:paraId="4785A76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6777" w:type="dxa"/>
            <w:gridSpan w:val="2"/>
            <w:tcBorders>
              <w:top w:val="single" w:color="auto" w:sz="4" w:space="0"/>
              <w:left w:val="single" w:color="auto" w:sz="4" w:space="0"/>
              <w:bottom w:val="single" w:color="auto" w:sz="4" w:space="0"/>
              <w:right w:val="single" w:color="auto" w:sz="4" w:space="0"/>
            </w:tcBorders>
            <w:noWrap w:val="0"/>
            <w:vAlign w:val="center"/>
          </w:tcPr>
          <w:p w14:paraId="1304B442">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企业事业单位未按照许可证规定从事收集、贮存、利用、处置危险废物经营活动的</w:t>
            </w:r>
          </w:p>
        </w:tc>
      </w:tr>
      <w:tr w14:paraId="1460E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14:paraId="059BE2E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6777" w:type="dxa"/>
            <w:gridSpan w:val="2"/>
            <w:tcBorders>
              <w:top w:val="single" w:color="auto" w:sz="4" w:space="0"/>
              <w:left w:val="single" w:color="auto" w:sz="4" w:space="0"/>
              <w:bottom w:val="single" w:color="auto" w:sz="4" w:space="0"/>
              <w:right w:val="single" w:color="auto" w:sz="4" w:space="0"/>
            </w:tcBorders>
            <w:noWrap w:val="0"/>
            <w:vAlign w:val="center"/>
          </w:tcPr>
          <w:p w14:paraId="21E2FCBB">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《中华人民共和国生态环境法典》第五百三十四条</w:t>
            </w:r>
            <w:r>
              <w:rPr>
                <w:rFonts w:hint="eastAsia" w:ascii="宋体" w:hAnsi="宋体" w:eastAsia="宋体" w:cs="宋体"/>
                <w:color w:val="auto"/>
                <w:sz w:val="21"/>
                <w:szCs w:val="21"/>
                <w:highlight w:val="none"/>
                <w:lang w:val="en-US" w:eastAsia="zh-CN"/>
              </w:rPr>
              <w:t>第二款</w:t>
            </w:r>
            <w:r>
              <w:rPr>
                <w:rFonts w:hint="eastAsia" w:ascii="宋体" w:hAnsi="宋体" w:eastAsia="宋体" w:cs="宋体"/>
                <w:color w:val="auto"/>
                <w:sz w:val="21"/>
                <w:szCs w:val="21"/>
                <w:highlight w:val="none"/>
              </w:rPr>
              <w:t xml:space="preserve">  禁止无许可证或者不按照许可证的要求从事危险废物收集、贮存、利用、处置的经营活动。</w:t>
            </w:r>
          </w:p>
        </w:tc>
      </w:tr>
      <w:tr w14:paraId="0CAC7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14:paraId="41FA5A3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6777" w:type="dxa"/>
            <w:gridSpan w:val="2"/>
            <w:tcBorders>
              <w:top w:val="single" w:color="auto" w:sz="4" w:space="0"/>
              <w:left w:val="single" w:color="auto" w:sz="4" w:space="0"/>
              <w:bottom w:val="single" w:color="auto" w:sz="4" w:space="0"/>
              <w:right w:val="single" w:color="auto" w:sz="4" w:space="0"/>
            </w:tcBorders>
            <w:noWrap w:val="0"/>
            <w:vAlign w:val="center"/>
          </w:tcPr>
          <w:p w14:paraId="1BD0D289">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《中华人民共和国生态环境法典》第一千一百七十八条第二款  违反本法规定，企业事业单位未按照许可证规定从事收集、贮存、利用、处置危险废物经营活动的，由生态环境主管部门责令改正，没收违法所得，限制生产、停产整治，对收集、贮存危险废物经营活动并处十万元以上五十万元以下的罚款，对利用、处置危险废物经营活动并处五十万元以上二百万元以下的罚款；对法定代表人、主要负责人、直接负责的主管人员和其他直接责任人员，处五万元以上五十万元以下的罚款</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w:t>
            </w:r>
          </w:p>
        </w:tc>
      </w:tr>
      <w:tr w14:paraId="63F7A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14:paraId="420D57F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362" w:type="dxa"/>
            <w:tcBorders>
              <w:top w:val="single" w:color="auto" w:sz="4" w:space="0"/>
              <w:left w:val="single" w:color="auto" w:sz="4" w:space="0"/>
              <w:bottom w:val="single" w:color="auto" w:sz="4" w:space="0"/>
              <w:right w:val="single" w:color="auto" w:sz="4" w:space="0"/>
            </w:tcBorders>
            <w:noWrap w:val="0"/>
            <w:vAlign w:val="top"/>
          </w:tcPr>
          <w:p w14:paraId="2A301FE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415" w:type="dxa"/>
            <w:tcBorders>
              <w:top w:val="single" w:color="auto" w:sz="4" w:space="0"/>
              <w:left w:val="single" w:color="auto" w:sz="4" w:space="0"/>
              <w:bottom w:val="single" w:color="auto" w:sz="4" w:space="0"/>
              <w:right w:val="single" w:color="auto" w:sz="4" w:space="0"/>
            </w:tcBorders>
            <w:noWrap w:val="0"/>
            <w:vAlign w:val="top"/>
          </w:tcPr>
          <w:p w14:paraId="3190D3B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6C9A6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5" w:type="dxa"/>
            <w:vMerge w:val="restart"/>
            <w:tcBorders>
              <w:top w:val="single" w:color="auto" w:sz="4" w:space="0"/>
              <w:left w:val="single" w:color="auto" w:sz="4" w:space="0"/>
              <w:bottom w:val="single" w:color="auto" w:sz="4" w:space="0"/>
              <w:right w:val="single" w:color="auto" w:sz="4" w:space="0"/>
            </w:tcBorders>
            <w:noWrap w:val="0"/>
            <w:vAlign w:val="center"/>
          </w:tcPr>
          <w:p w14:paraId="22CF1F2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危险废物数量</w:t>
            </w:r>
          </w:p>
        </w:tc>
        <w:tc>
          <w:tcPr>
            <w:tcW w:w="5362" w:type="dxa"/>
            <w:tcBorders>
              <w:top w:val="single" w:color="auto" w:sz="4" w:space="0"/>
              <w:left w:val="single" w:color="auto" w:sz="4" w:space="0"/>
              <w:bottom w:val="single" w:color="auto" w:sz="4" w:space="0"/>
              <w:right w:val="single" w:color="auto" w:sz="4" w:space="0"/>
            </w:tcBorders>
            <w:noWrap w:val="0"/>
            <w:vAlign w:val="center"/>
          </w:tcPr>
          <w:p w14:paraId="3C40D12D">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不足</w:t>
            </w:r>
            <w:r>
              <w:rPr>
                <w:rFonts w:hint="eastAsia" w:ascii="宋体" w:hAnsi="宋体" w:eastAsia="宋体" w:cs="宋体"/>
                <w:color w:val="auto"/>
                <w:sz w:val="21"/>
                <w:szCs w:val="21"/>
                <w:highlight w:val="none"/>
                <w:lang w:val="en-US" w:eastAsia="zh-CN"/>
              </w:rPr>
              <w:t>0.1</w:t>
            </w:r>
            <w:r>
              <w:rPr>
                <w:rFonts w:hint="eastAsia" w:ascii="宋体" w:hAnsi="宋体" w:eastAsia="宋体" w:cs="宋体"/>
                <w:color w:val="auto"/>
                <w:sz w:val="21"/>
                <w:szCs w:val="21"/>
                <w:highlight w:val="none"/>
              </w:rPr>
              <w:t>吨</w:t>
            </w:r>
          </w:p>
        </w:tc>
        <w:tc>
          <w:tcPr>
            <w:tcW w:w="1415" w:type="dxa"/>
            <w:tcBorders>
              <w:top w:val="single" w:color="auto" w:sz="4" w:space="0"/>
              <w:left w:val="single" w:color="auto" w:sz="4" w:space="0"/>
              <w:bottom w:val="single" w:color="auto" w:sz="4" w:space="0"/>
              <w:right w:val="single" w:color="auto" w:sz="4" w:space="0"/>
            </w:tcBorders>
            <w:noWrap w:val="0"/>
            <w:vAlign w:val="top"/>
          </w:tcPr>
          <w:p w14:paraId="3D1FF27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6C202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5" w:type="dxa"/>
            <w:vMerge w:val="continue"/>
            <w:tcBorders>
              <w:left w:val="single" w:color="auto" w:sz="4" w:space="0"/>
              <w:right w:val="single" w:color="auto" w:sz="4" w:space="0"/>
            </w:tcBorders>
            <w:noWrap w:val="0"/>
            <w:vAlign w:val="center"/>
          </w:tcPr>
          <w:p w14:paraId="61C86EE6">
            <w:pPr>
              <w:rPr>
                <w:rFonts w:hint="eastAsia" w:ascii="宋体" w:hAnsi="宋体" w:eastAsia="宋体" w:cs="宋体"/>
                <w:color w:val="auto"/>
                <w:sz w:val="21"/>
                <w:szCs w:val="21"/>
                <w:highlight w:val="none"/>
              </w:rPr>
            </w:pPr>
          </w:p>
        </w:tc>
        <w:tc>
          <w:tcPr>
            <w:tcW w:w="5362" w:type="dxa"/>
            <w:tcBorders>
              <w:top w:val="single" w:color="auto" w:sz="4" w:space="0"/>
              <w:left w:val="single" w:color="auto" w:sz="4" w:space="0"/>
              <w:bottom w:val="single" w:color="auto" w:sz="4" w:space="0"/>
              <w:right w:val="single" w:color="auto" w:sz="4" w:space="0"/>
            </w:tcBorders>
            <w:noWrap w:val="0"/>
            <w:vAlign w:val="center"/>
          </w:tcPr>
          <w:p w14:paraId="5A028EA8">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0.1</w:t>
            </w:r>
            <w:r>
              <w:rPr>
                <w:rFonts w:hint="eastAsia" w:ascii="宋体" w:hAnsi="宋体" w:eastAsia="宋体" w:cs="宋体"/>
                <w:color w:val="auto"/>
                <w:sz w:val="21"/>
                <w:szCs w:val="21"/>
                <w:highlight w:val="none"/>
              </w:rPr>
              <w:t>吨以上不足</w:t>
            </w:r>
            <w:r>
              <w:rPr>
                <w:rFonts w:hint="eastAsia" w:ascii="宋体" w:hAnsi="宋体" w:eastAsia="宋体" w:cs="宋体"/>
                <w:color w:val="auto"/>
                <w:sz w:val="21"/>
                <w:szCs w:val="21"/>
                <w:highlight w:val="none"/>
                <w:lang w:val="en-US" w:eastAsia="zh-CN"/>
              </w:rPr>
              <w:t>0.5</w:t>
            </w:r>
            <w:r>
              <w:rPr>
                <w:rFonts w:hint="eastAsia" w:ascii="宋体" w:hAnsi="宋体" w:eastAsia="宋体" w:cs="宋体"/>
                <w:color w:val="auto"/>
                <w:sz w:val="21"/>
                <w:szCs w:val="21"/>
                <w:highlight w:val="none"/>
              </w:rPr>
              <w:t>吨</w:t>
            </w:r>
          </w:p>
        </w:tc>
        <w:tc>
          <w:tcPr>
            <w:tcW w:w="1415" w:type="dxa"/>
            <w:tcBorders>
              <w:top w:val="single" w:color="auto" w:sz="4" w:space="0"/>
              <w:left w:val="single" w:color="auto" w:sz="4" w:space="0"/>
              <w:bottom w:val="single" w:color="auto" w:sz="4" w:space="0"/>
              <w:right w:val="single" w:color="auto" w:sz="4" w:space="0"/>
            </w:tcBorders>
            <w:noWrap w:val="0"/>
            <w:vAlign w:val="top"/>
          </w:tcPr>
          <w:p w14:paraId="572341C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r>
      <w:tr w14:paraId="284F8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5" w:type="dxa"/>
            <w:vMerge w:val="continue"/>
            <w:tcBorders>
              <w:left w:val="single" w:color="auto" w:sz="4" w:space="0"/>
              <w:right w:val="single" w:color="auto" w:sz="4" w:space="0"/>
            </w:tcBorders>
            <w:noWrap w:val="0"/>
            <w:vAlign w:val="center"/>
          </w:tcPr>
          <w:p w14:paraId="5241455F">
            <w:pPr>
              <w:rPr>
                <w:rFonts w:hint="eastAsia" w:ascii="宋体" w:hAnsi="宋体" w:eastAsia="宋体" w:cs="宋体"/>
                <w:color w:val="auto"/>
                <w:sz w:val="21"/>
                <w:szCs w:val="21"/>
                <w:highlight w:val="none"/>
              </w:rPr>
            </w:pPr>
          </w:p>
        </w:tc>
        <w:tc>
          <w:tcPr>
            <w:tcW w:w="5362" w:type="dxa"/>
            <w:tcBorders>
              <w:top w:val="single" w:color="auto" w:sz="4" w:space="0"/>
              <w:left w:val="single" w:color="auto" w:sz="4" w:space="0"/>
              <w:bottom w:val="single" w:color="auto" w:sz="4" w:space="0"/>
              <w:right w:val="single" w:color="auto" w:sz="4" w:space="0"/>
            </w:tcBorders>
            <w:noWrap w:val="0"/>
            <w:vAlign w:val="center"/>
          </w:tcPr>
          <w:p w14:paraId="7366E26D">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0.5</w:t>
            </w:r>
            <w:r>
              <w:rPr>
                <w:rFonts w:hint="eastAsia" w:ascii="宋体" w:hAnsi="宋体" w:eastAsia="宋体" w:cs="宋体"/>
                <w:color w:val="auto"/>
                <w:sz w:val="21"/>
                <w:szCs w:val="21"/>
                <w:highlight w:val="none"/>
              </w:rPr>
              <w:t>吨以上不足</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吨</w:t>
            </w:r>
          </w:p>
        </w:tc>
        <w:tc>
          <w:tcPr>
            <w:tcW w:w="1415" w:type="dxa"/>
            <w:tcBorders>
              <w:top w:val="single" w:color="auto" w:sz="4" w:space="0"/>
              <w:left w:val="single" w:color="auto" w:sz="4" w:space="0"/>
              <w:bottom w:val="single" w:color="auto" w:sz="4" w:space="0"/>
              <w:right w:val="single" w:color="auto" w:sz="4" w:space="0"/>
            </w:tcBorders>
            <w:noWrap w:val="0"/>
            <w:vAlign w:val="top"/>
          </w:tcPr>
          <w:p w14:paraId="6B76F83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4F3AC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5" w:type="dxa"/>
            <w:vMerge w:val="continue"/>
            <w:tcBorders>
              <w:top w:val="single" w:color="auto" w:sz="4" w:space="0"/>
              <w:left w:val="single" w:color="auto" w:sz="4" w:space="0"/>
              <w:bottom w:val="single" w:color="auto" w:sz="4" w:space="0"/>
              <w:right w:val="single" w:color="auto" w:sz="4" w:space="0"/>
            </w:tcBorders>
            <w:noWrap w:val="0"/>
            <w:vAlign w:val="center"/>
          </w:tcPr>
          <w:p w14:paraId="5AC5C329">
            <w:pPr>
              <w:rPr>
                <w:rFonts w:hint="eastAsia" w:ascii="宋体" w:hAnsi="宋体" w:eastAsia="宋体" w:cs="宋体"/>
                <w:color w:val="auto"/>
                <w:sz w:val="21"/>
                <w:szCs w:val="21"/>
                <w:highlight w:val="none"/>
              </w:rPr>
            </w:pPr>
          </w:p>
        </w:tc>
        <w:tc>
          <w:tcPr>
            <w:tcW w:w="5362" w:type="dxa"/>
            <w:tcBorders>
              <w:top w:val="single" w:color="auto" w:sz="4" w:space="0"/>
              <w:left w:val="single" w:color="auto" w:sz="4" w:space="0"/>
              <w:bottom w:val="single" w:color="auto" w:sz="4" w:space="0"/>
              <w:right w:val="single" w:color="auto" w:sz="4" w:space="0"/>
            </w:tcBorders>
            <w:noWrap w:val="0"/>
            <w:vAlign w:val="center"/>
          </w:tcPr>
          <w:p w14:paraId="6DED9C12">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吨以上不足</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吨</w:t>
            </w:r>
          </w:p>
        </w:tc>
        <w:tc>
          <w:tcPr>
            <w:tcW w:w="1415" w:type="dxa"/>
            <w:tcBorders>
              <w:top w:val="single" w:color="auto" w:sz="4" w:space="0"/>
              <w:left w:val="single" w:color="auto" w:sz="4" w:space="0"/>
              <w:bottom w:val="single" w:color="auto" w:sz="4" w:space="0"/>
              <w:right w:val="single" w:color="auto" w:sz="4" w:space="0"/>
            </w:tcBorders>
            <w:noWrap w:val="0"/>
            <w:vAlign w:val="top"/>
          </w:tcPr>
          <w:p w14:paraId="3163607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r>
      <w:tr w14:paraId="7ABFB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5" w:type="dxa"/>
            <w:vMerge w:val="continue"/>
            <w:tcBorders>
              <w:top w:val="single" w:color="auto" w:sz="4" w:space="0"/>
              <w:left w:val="single" w:color="auto" w:sz="4" w:space="0"/>
              <w:bottom w:val="single" w:color="auto" w:sz="4" w:space="0"/>
              <w:right w:val="single" w:color="auto" w:sz="4" w:space="0"/>
            </w:tcBorders>
            <w:noWrap w:val="0"/>
            <w:vAlign w:val="center"/>
          </w:tcPr>
          <w:p w14:paraId="42DC4E4E">
            <w:pPr>
              <w:rPr>
                <w:rFonts w:hint="eastAsia" w:ascii="宋体" w:hAnsi="宋体" w:eastAsia="宋体" w:cs="宋体"/>
                <w:color w:val="auto"/>
                <w:sz w:val="21"/>
                <w:szCs w:val="21"/>
                <w:highlight w:val="none"/>
              </w:rPr>
            </w:pPr>
          </w:p>
        </w:tc>
        <w:tc>
          <w:tcPr>
            <w:tcW w:w="5362" w:type="dxa"/>
            <w:tcBorders>
              <w:top w:val="single" w:color="auto" w:sz="4" w:space="0"/>
              <w:left w:val="single" w:color="auto" w:sz="4" w:space="0"/>
              <w:bottom w:val="single" w:color="auto" w:sz="4" w:space="0"/>
              <w:right w:val="single" w:color="auto" w:sz="4" w:space="0"/>
            </w:tcBorders>
            <w:noWrap w:val="0"/>
            <w:vAlign w:val="center"/>
          </w:tcPr>
          <w:p w14:paraId="1973D70A">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吨以上</w:t>
            </w:r>
          </w:p>
        </w:tc>
        <w:tc>
          <w:tcPr>
            <w:tcW w:w="1415" w:type="dxa"/>
            <w:tcBorders>
              <w:top w:val="single" w:color="auto" w:sz="4" w:space="0"/>
              <w:left w:val="single" w:color="auto" w:sz="4" w:space="0"/>
              <w:bottom w:val="single" w:color="auto" w:sz="4" w:space="0"/>
              <w:right w:val="single" w:color="auto" w:sz="4" w:space="0"/>
            </w:tcBorders>
            <w:noWrap w:val="0"/>
            <w:vAlign w:val="top"/>
          </w:tcPr>
          <w:p w14:paraId="2E788E0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04D2A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5" w:type="dxa"/>
            <w:vMerge w:val="restart"/>
            <w:tcBorders>
              <w:top w:val="single" w:color="auto" w:sz="4" w:space="0"/>
              <w:left w:val="single" w:color="auto" w:sz="4" w:space="0"/>
              <w:bottom w:val="single" w:color="auto" w:sz="4" w:space="0"/>
              <w:right w:val="single" w:color="auto" w:sz="4" w:space="0"/>
            </w:tcBorders>
            <w:noWrap w:val="0"/>
            <w:vAlign w:val="center"/>
          </w:tcPr>
          <w:p w14:paraId="7C2B6C3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危险废物种类</w:t>
            </w:r>
          </w:p>
        </w:tc>
        <w:tc>
          <w:tcPr>
            <w:tcW w:w="5362" w:type="dxa"/>
            <w:tcBorders>
              <w:top w:val="single" w:color="auto" w:sz="4" w:space="0"/>
              <w:left w:val="single" w:color="auto" w:sz="4" w:space="0"/>
              <w:bottom w:val="single" w:color="auto" w:sz="4" w:space="0"/>
              <w:right w:val="single" w:color="auto" w:sz="4" w:space="0"/>
            </w:tcBorders>
            <w:noWrap w:val="0"/>
            <w:vAlign w:val="top"/>
          </w:tcPr>
          <w:p w14:paraId="34D557C0">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1种</w:t>
            </w:r>
          </w:p>
        </w:tc>
        <w:tc>
          <w:tcPr>
            <w:tcW w:w="1415" w:type="dxa"/>
            <w:tcBorders>
              <w:top w:val="single" w:color="auto" w:sz="4" w:space="0"/>
              <w:left w:val="single" w:color="auto" w:sz="4" w:space="0"/>
              <w:bottom w:val="single" w:color="auto" w:sz="4" w:space="0"/>
              <w:right w:val="single" w:color="auto" w:sz="4" w:space="0"/>
            </w:tcBorders>
            <w:noWrap w:val="0"/>
            <w:vAlign w:val="top"/>
          </w:tcPr>
          <w:p w14:paraId="480CC2E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40C91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5" w:type="dxa"/>
            <w:vMerge w:val="continue"/>
            <w:tcBorders>
              <w:top w:val="single" w:color="auto" w:sz="4" w:space="0"/>
              <w:left w:val="single" w:color="auto" w:sz="4" w:space="0"/>
              <w:bottom w:val="single" w:color="auto" w:sz="4" w:space="0"/>
              <w:right w:val="single" w:color="auto" w:sz="4" w:space="0"/>
            </w:tcBorders>
            <w:noWrap w:val="0"/>
            <w:vAlign w:val="center"/>
          </w:tcPr>
          <w:p w14:paraId="1ACCE916">
            <w:pPr>
              <w:rPr>
                <w:rFonts w:hint="eastAsia" w:ascii="宋体" w:hAnsi="宋体" w:eastAsia="宋体" w:cs="宋体"/>
                <w:color w:val="auto"/>
                <w:sz w:val="21"/>
                <w:szCs w:val="21"/>
                <w:highlight w:val="none"/>
              </w:rPr>
            </w:pPr>
          </w:p>
        </w:tc>
        <w:tc>
          <w:tcPr>
            <w:tcW w:w="5362" w:type="dxa"/>
            <w:tcBorders>
              <w:top w:val="single" w:color="auto" w:sz="4" w:space="0"/>
              <w:left w:val="single" w:color="auto" w:sz="4" w:space="0"/>
              <w:bottom w:val="single" w:color="auto" w:sz="4" w:space="0"/>
              <w:right w:val="single" w:color="auto" w:sz="4" w:space="0"/>
            </w:tcBorders>
            <w:noWrap w:val="0"/>
            <w:vAlign w:val="top"/>
          </w:tcPr>
          <w:p w14:paraId="25338FF5">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2种以上不足4种</w:t>
            </w:r>
          </w:p>
        </w:tc>
        <w:tc>
          <w:tcPr>
            <w:tcW w:w="1415" w:type="dxa"/>
            <w:tcBorders>
              <w:top w:val="single" w:color="auto" w:sz="4" w:space="0"/>
              <w:left w:val="single" w:color="auto" w:sz="4" w:space="0"/>
              <w:bottom w:val="single" w:color="auto" w:sz="4" w:space="0"/>
              <w:right w:val="single" w:color="auto" w:sz="4" w:space="0"/>
            </w:tcBorders>
            <w:noWrap w:val="0"/>
            <w:vAlign w:val="top"/>
          </w:tcPr>
          <w:p w14:paraId="23D4552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451B5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5" w:type="dxa"/>
            <w:vMerge w:val="continue"/>
            <w:tcBorders>
              <w:top w:val="single" w:color="auto" w:sz="4" w:space="0"/>
              <w:left w:val="single" w:color="auto" w:sz="4" w:space="0"/>
              <w:bottom w:val="single" w:color="auto" w:sz="4" w:space="0"/>
              <w:right w:val="single" w:color="auto" w:sz="4" w:space="0"/>
            </w:tcBorders>
            <w:noWrap w:val="0"/>
            <w:vAlign w:val="center"/>
          </w:tcPr>
          <w:p w14:paraId="315B42CC">
            <w:pPr>
              <w:rPr>
                <w:rFonts w:hint="eastAsia" w:ascii="宋体" w:hAnsi="宋体" w:eastAsia="宋体" w:cs="宋体"/>
                <w:color w:val="auto"/>
                <w:sz w:val="21"/>
                <w:szCs w:val="21"/>
                <w:highlight w:val="none"/>
              </w:rPr>
            </w:pPr>
          </w:p>
        </w:tc>
        <w:tc>
          <w:tcPr>
            <w:tcW w:w="5362" w:type="dxa"/>
            <w:tcBorders>
              <w:top w:val="single" w:color="auto" w:sz="4" w:space="0"/>
              <w:left w:val="single" w:color="auto" w:sz="4" w:space="0"/>
              <w:bottom w:val="single" w:color="auto" w:sz="4" w:space="0"/>
              <w:right w:val="single" w:color="auto" w:sz="4" w:space="0"/>
            </w:tcBorders>
            <w:noWrap w:val="0"/>
            <w:vAlign w:val="top"/>
          </w:tcPr>
          <w:p w14:paraId="798EA65F">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4种及以上</w:t>
            </w:r>
          </w:p>
        </w:tc>
        <w:tc>
          <w:tcPr>
            <w:tcW w:w="1415" w:type="dxa"/>
            <w:tcBorders>
              <w:top w:val="single" w:color="auto" w:sz="4" w:space="0"/>
              <w:left w:val="single" w:color="auto" w:sz="4" w:space="0"/>
              <w:bottom w:val="single" w:color="auto" w:sz="4" w:space="0"/>
              <w:right w:val="single" w:color="auto" w:sz="4" w:space="0"/>
            </w:tcBorders>
            <w:noWrap w:val="0"/>
            <w:vAlign w:val="top"/>
          </w:tcPr>
          <w:p w14:paraId="5D3CD9E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15FEF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14:paraId="15B272B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备注</w:t>
            </w:r>
          </w:p>
        </w:tc>
        <w:tc>
          <w:tcPr>
            <w:tcW w:w="6777" w:type="dxa"/>
            <w:gridSpan w:val="2"/>
            <w:tcBorders>
              <w:top w:val="single" w:color="auto" w:sz="4" w:space="0"/>
              <w:left w:val="single" w:color="auto" w:sz="4" w:space="0"/>
              <w:bottom w:val="single" w:color="auto" w:sz="4" w:space="0"/>
              <w:right w:val="single" w:color="auto" w:sz="4" w:space="0"/>
            </w:tcBorders>
            <w:noWrap w:val="0"/>
            <w:vAlign w:val="top"/>
          </w:tcPr>
          <w:p w14:paraId="0054DF3D">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拟对直接负责的主管人员和其他直接责任人员实施罚款处罚的，应当分别套用计算公式确定罚款数额。</w:t>
            </w:r>
          </w:p>
        </w:tc>
      </w:tr>
    </w:tbl>
    <w:p w14:paraId="246F07FE">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32"/>
        <w:gridCol w:w="5630"/>
        <w:gridCol w:w="1486"/>
      </w:tblGrid>
      <w:tr w14:paraId="6DD27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3"/>
            <w:tcBorders>
              <w:top w:val="single" w:color="auto" w:sz="4" w:space="0"/>
              <w:left w:val="single" w:color="auto" w:sz="4" w:space="0"/>
              <w:bottom w:val="single" w:color="auto" w:sz="4" w:space="0"/>
              <w:right w:val="single" w:color="auto" w:sz="4" w:space="0"/>
            </w:tcBorders>
            <w:noWrap w:val="0"/>
            <w:vAlign w:val="top"/>
          </w:tcPr>
          <w:p w14:paraId="7FC4338A">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（八）固体废物污染防治类</w:t>
            </w:r>
          </w:p>
        </w:tc>
      </w:tr>
      <w:tr w14:paraId="5AF09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14:paraId="3DACFE4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777" w:type="dxa"/>
            <w:gridSpan w:val="2"/>
            <w:tcBorders>
              <w:top w:val="single" w:color="auto" w:sz="4" w:space="0"/>
              <w:left w:val="single" w:color="auto" w:sz="4" w:space="0"/>
              <w:bottom w:val="single" w:color="auto" w:sz="4" w:space="0"/>
              <w:right w:val="single" w:color="auto" w:sz="4" w:space="0"/>
            </w:tcBorders>
            <w:noWrap w:val="0"/>
            <w:vAlign w:val="top"/>
          </w:tcPr>
          <w:p w14:paraId="5BFF15CB">
            <w:pPr>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r>
              <w:rPr>
                <w:rFonts w:hint="eastAsia" w:ascii="宋体" w:hAnsi="宋体" w:cs="宋体"/>
                <w:color w:val="auto"/>
                <w:sz w:val="21"/>
                <w:szCs w:val="21"/>
                <w:highlight w:val="none"/>
                <w:lang w:val="en-US" w:eastAsia="zh-CN"/>
              </w:rPr>
              <w:t>5</w:t>
            </w:r>
          </w:p>
        </w:tc>
      </w:tr>
      <w:tr w14:paraId="1B9F3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14:paraId="157BAED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6777" w:type="dxa"/>
            <w:gridSpan w:val="2"/>
            <w:tcBorders>
              <w:top w:val="single" w:color="auto" w:sz="4" w:space="0"/>
              <w:left w:val="single" w:color="auto" w:sz="4" w:space="0"/>
              <w:bottom w:val="single" w:color="auto" w:sz="4" w:space="0"/>
              <w:right w:val="single" w:color="auto" w:sz="4" w:space="0"/>
            </w:tcBorders>
            <w:noWrap w:val="0"/>
            <w:vAlign w:val="center"/>
          </w:tcPr>
          <w:p w14:paraId="3006C157">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企业事业单位以外的其他生产经营者无许可证或者未按照许可证规定从事收集、贮存、利用、处置危险废物经营活动的</w:t>
            </w:r>
          </w:p>
        </w:tc>
      </w:tr>
      <w:tr w14:paraId="768A8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14:paraId="166ADCB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6777" w:type="dxa"/>
            <w:gridSpan w:val="2"/>
            <w:tcBorders>
              <w:top w:val="single" w:color="auto" w:sz="4" w:space="0"/>
              <w:left w:val="single" w:color="auto" w:sz="4" w:space="0"/>
              <w:bottom w:val="single" w:color="auto" w:sz="4" w:space="0"/>
              <w:right w:val="single" w:color="auto" w:sz="4" w:space="0"/>
            </w:tcBorders>
            <w:noWrap w:val="0"/>
            <w:vAlign w:val="center"/>
          </w:tcPr>
          <w:p w14:paraId="128B1CFE">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《中华人民共和国生态环境法典》第五百三十四条  从事收集、贮存、利用、处置危险废物经营活动的单位，应当按照国家规定取得许可证。许可证的具体管理办法由国务院制定。</w:t>
            </w:r>
          </w:p>
          <w:p w14:paraId="36E2A415">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禁止无许可证或者不按照许可证的要求从事危险废物收集、贮存、利用、处置的经营活动。</w:t>
            </w:r>
          </w:p>
          <w:p w14:paraId="5E042781">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禁止将危险废物提供或者委托给无许可证的单位和个人从事收集、贮存、利用、处置活动。</w:t>
            </w:r>
          </w:p>
        </w:tc>
      </w:tr>
      <w:tr w14:paraId="4EEDA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14:paraId="583378B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6777" w:type="dxa"/>
            <w:gridSpan w:val="2"/>
            <w:tcBorders>
              <w:top w:val="single" w:color="auto" w:sz="4" w:space="0"/>
              <w:left w:val="single" w:color="auto" w:sz="4" w:space="0"/>
              <w:bottom w:val="single" w:color="auto" w:sz="4" w:space="0"/>
              <w:right w:val="single" w:color="auto" w:sz="4" w:space="0"/>
            </w:tcBorders>
            <w:noWrap w:val="0"/>
            <w:vAlign w:val="center"/>
          </w:tcPr>
          <w:p w14:paraId="2EB82AB3">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《中华人民共和国生态环境法典》第一千一百七十八条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违反本法规定，企业事业单位无许可证从事收集、贮存、利用、处置危险废物经营活动的，由生态环境主管部门责令改正，没收违法所得，对收集、贮存危险废物经营活动并处二十万元以上一百万元以下的罚款，对利用、处置危险废物经营活动并处一百万元以上五百万元以下的罚款，报经有批准权的人民政府批准，责令停业、关闭；对法定代表人、主要负责人、直接负责的主管人员和其他直接责任人员，处十万元以上一百万元以下的罚款。</w:t>
            </w:r>
          </w:p>
          <w:p w14:paraId="2AD8D53C">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本法规定，企业事业单位未按照许可证规定从事收集、贮存、利用、处置危险废物经营活动的，由生态环境主管部门责令改正，没收违法所得，限制生产、停产整治，对收集、贮存危险废物经营活动并处十万元以上五十万元以下的罚款，对利用、处置危险废物经营活动并处五十万元以上二百万元以下的罚款；对法定代表人、主要负责人、直接负责的主管人员和其他直接责任人员，处五万元以上五十万元以下的罚款</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w:t>
            </w:r>
          </w:p>
          <w:p w14:paraId="64F23CB5">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其他生产经营者有前两款违法情形的，由生态环境主管部门责令改正，没收违法所得，并处二万元以上十万元以下的罚款</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w:t>
            </w:r>
          </w:p>
        </w:tc>
      </w:tr>
      <w:tr w14:paraId="435A5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14:paraId="269AF20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362" w:type="dxa"/>
            <w:tcBorders>
              <w:top w:val="single" w:color="auto" w:sz="4" w:space="0"/>
              <w:left w:val="single" w:color="auto" w:sz="4" w:space="0"/>
              <w:bottom w:val="single" w:color="auto" w:sz="4" w:space="0"/>
              <w:right w:val="single" w:color="auto" w:sz="4" w:space="0"/>
            </w:tcBorders>
            <w:noWrap w:val="0"/>
            <w:vAlign w:val="top"/>
          </w:tcPr>
          <w:p w14:paraId="67AB238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415" w:type="dxa"/>
            <w:tcBorders>
              <w:top w:val="single" w:color="auto" w:sz="4" w:space="0"/>
              <w:left w:val="single" w:color="auto" w:sz="4" w:space="0"/>
              <w:bottom w:val="single" w:color="auto" w:sz="4" w:space="0"/>
              <w:right w:val="single" w:color="auto" w:sz="4" w:space="0"/>
            </w:tcBorders>
            <w:noWrap w:val="0"/>
            <w:vAlign w:val="top"/>
          </w:tcPr>
          <w:p w14:paraId="54A1135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541BD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5" w:type="dxa"/>
            <w:vMerge w:val="restart"/>
            <w:tcBorders>
              <w:left w:val="single" w:color="auto" w:sz="4" w:space="0"/>
              <w:bottom w:val="single" w:color="auto" w:sz="4" w:space="0"/>
              <w:right w:val="single" w:color="auto" w:sz="4" w:space="0"/>
            </w:tcBorders>
            <w:noWrap w:val="0"/>
            <w:vAlign w:val="center"/>
          </w:tcPr>
          <w:p w14:paraId="1C7910D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危险废物数量</w:t>
            </w:r>
          </w:p>
        </w:tc>
        <w:tc>
          <w:tcPr>
            <w:tcW w:w="5362" w:type="dxa"/>
            <w:tcBorders>
              <w:top w:val="single" w:color="auto" w:sz="4" w:space="0"/>
              <w:left w:val="single" w:color="auto" w:sz="4" w:space="0"/>
              <w:bottom w:val="single" w:color="auto" w:sz="4" w:space="0"/>
              <w:right w:val="single" w:color="auto" w:sz="4" w:space="0"/>
            </w:tcBorders>
            <w:noWrap w:val="0"/>
            <w:vAlign w:val="center"/>
          </w:tcPr>
          <w:p w14:paraId="1E9848FF">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不足</w:t>
            </w:r>
            <w:r>
              <w:rPr>
                <w:rFonts w:hint="eastAsia" w:ascii="宋体" w:hAnsi="宋体" w:eastAsia="宋体" w:cs="宋体"/>
                <w:color w:val="auto"/>
                <w:sz w:val="21"/>
                <w:szCs w:val="21"/>
                <w:highlight w:val="none"/>
                <w:lang w:val="en-US" w:eastAsia="zh-CN"/>
              </w:rPr>
              <w:t>0.1</w:t>
            </w:r>
            <w:r>
              <w:rPr>
                <w:rFonts w:hint="eastAsia" w:ascii="宋体" w:hAnsi="宋体" w:eastAsia="宋体" w:cs="宋体"/>
                <w:color w:val="auto"/>
                <w:sz w:val="21"/>
                <w:szCs w:val="21"/>
                <w:highlight w:val="none"/>
              </w:rPr>
              <w:t>吨</w:t>
            </w:r>
          </w:p>
        </w:tc>
        <w:tc>
          <w:tcPr>
            <w:tcW w:w="1415" w:type="dxa"/>
            <w:tcBorders>
              <w:top w:val="single" w:color="auto" w:sz="4" w:space="0"/>
              <w:left w:val="single" w:color="auto" w:sz="4" w:space="0"/>
              <w:bottom w:val="single" w:color="auto" w:sz="4" w:space="0"/>
              <w:right w:val="single" w:color="auto" w:sz="4" w:space="0"/>
            </w:tcBorders>
            <w:noWrap w:val="0"/>
            <w:vAlign w:val="top"/>
          </w:tcPr>
          <w:p w14:paraId="0C8BDA3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4DD9B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5" w:type="dxa"/>
            <w:vMerge w:val="continue"/>
            <w:tcBorders>
              <w:left w:val="single" w:color="auto" w:sz="4" w:space="0"/>
              <w:bottom w:val="single" w:color="auto" w:sz="4" w:space="0"/>
              <w:right w:val="single" w:color="auto" w:sz="4" w:space="0"/>
            </w:tcBorders>
            <w:noWrap w:val="0"/>
            <w:vAlign w:val="center"/>
          </w:tcPr>
          <w:p w14:paraId="0ECD05D2">
            <w:pPr>
              <w:rPr>
                <w:rFonts w:hint="eastAsia" w:ascii="宋体" w:hAnsi="宋体" w:eastAsia="宋体" w:cs="宋体"/>
                <w:color w:val="auto"/>
                <w:sz w:val="21"/>
                <w:szCs w:val="21"/>
                <w:highlight w:val="none"/>
              </w:rPr>
            </w:pPr>
          </w:p>
        </w:tc>
        <w:tc>
          <w:tcPr>
            <w:tcW w:w="5362" w:type="dxa"/>
            <w:tcBorders>
              <w:top w:val="single" w:color="auto" w:sz="4" w:space="0"/>
              <w:left w:val="single" w:color="auto" w:sz="4" w:space="0"/>
              <w:bottom w:val="single" w:color="auto" w:sz="4" w:space="0"/>
              <w:right w:val="single" w:color="auto" w:sz="4" w:space="0"/>
            </w:tcBorders>
            <w:noWrap w:val="0"/>
            <w:vAlign w:val="center"/>
          </w:tcPr>
          <w:p w14:paraId="0EC1F26F">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0.1</w:t>
            </w:r>
            <w:r>
              <w:rPr>
                <w:rFonts w:hint="eastAsia" w:ascii="宋体" w:hAnsi="宋体" w:eastAsia="宋体" w:cs="宋体"/>
                <w:color w:val="auto"/>
                <w:sz w:val="21"/>
                <w:szCs w:val="21"/>
                <w:highlight w:val="none"/>
              </w:rPr>
              <w:t>吨以上不足</w:t>
            </w:r>
            <w:r>
              <w:rPr>
                <w:rFonts w:hint="eastAsia" w:ascii="宋体" w:hAnsi="宋体" w:eastAsia="宋体" w:cs="宋体"/>
                <w:color w:val="auto"/>
                <w:sz w:val="21"/>
                <w:szCs w:val="21"/>
                <w:highlight w:val="none"/>
                <w:lang w:val="en-US" w:eastAsia="zh-CN"/>
              </w:rPr>
              <w:t>0.5</w:t>
            </w:r>
            <w:r>
              <w:rPr>
                <w:rFonts w:hint="eastAsia" w:ascii="宋体" w:hAnsi="宋体" w:eastAsia="宋体" w:cs="宋体"/>
                <w:color w:val="auto"/>
                <w:sz w:val="21"/>
                <w:szCs w:val="21"/>
                <w:highlight w:val="none"/>
              </w:rPr>
              <w:t>吨</w:t>
            </w:r>
          </w:p>
        </w:tc>
        <w:tc>
          <w:tcPr>
            <w:tcW w:w="1415" w:type="dxa"/>
            <w:tcBorders>
              <w:top w:val="single" w:color="auto" w:sz="4" w:space="0"/>
              <w:left w:val="single" w:color="auto" w:sz="4" w:space="0"/>
              <w:bottom w:val="single" w:color="auto" w:sz="4" w:space="0"/>
              <w:right w:val="single" w:color="auto" w:sz="4" w:space="0"/>
            </w:tcBorders>
            <w:noWrap w:val="0"/>
            <w:vAlign w:val="top"/>
          </w:tcPr>
          <w:p w14:paraId="55372E6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r>
      <w:tr w14:paraId="50358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5" w:type="dxa"/>
            <w:vMerge w:val="continue"/>
            <w:tcBorders>
              <w:left w:val="single" w:color="auto" w:sz="4" w:space="0"/>
              <w:bottom w:val="single" w:color="auto" w:sz="4" w:space="0"/>
              <w:right w:val="single" w:color="auto" w:sz="4" w:space="0"/>
            </w:tcBorders>
            <w:noWrap w:val="0"/>
            <w:vAlign w:val="center"/>
          </w:tcPr>
          <w:p w14:paraId="7A12676E">
            <w:pPr>
              <w:rPr>
                <w:rFonts w:hint="eastAsia" w:ascii="宋体" w:hAnsi="宋体" w:eastAsia="宋体" w:cs="宋体"/>
                <w:color w:val="auto"/>
                <w:sz w:val="21"/>
                <w:szCs w:val="21"/>
                <w:highlight w:val="none"/>
              </w:rPr>
            </w:pPr>
          </w:p>
        </w:tc>
        <w:tc>
          <w:tcPr>
            <w:tcW w:w="5362" w:type="dxa"/>
            <w:tcBorders>
              <w:top w:val="single" w:color="auto" w:sz="4" w:space="0"/>
              <w:left w:val="single" w:color="auto" w:sz="4" w:space="0"/>
              <w:bottom w:val="single" w:color="auto" w:sz="4" w:space="0"/>
              <w:right w:val="single" w:color="auto" w:sz="4" w:space="0"/>
            </w:tcBorders>
            <w:noWrap w:val="0"/>
            <w:vAlign w:val="center"/>
          </w:tcPr>
          <w:p w14:paraId="7858F0ED">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0.5</w:t>
            </w:r>
            <w:r>
              <w:rPr>
                <w:rFonts w:hint="eastAsia" w:ascii="宋体" w:hAnsi="宋体" w:eastAsia="宋体" w:cs="宋体"/>
                <w:color w:val="auto"/>
                <w:sz w:val="21"/>
                <w:szCs w:val="21"/>
                <w:highlight w:val="none"/>
              </w:rPr>
              <w:t>吨以上不足</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吨</w:t>
            </w:r>
          </w:p>
        </w:tc>
        <w:tc>
          <w:tcPr>
            <w:tcW w:w="1415" w:type="dxa"/>
            <w:tcBorders>
              <w:top w:val="single" w:color="auto" w:sz="4" w:space="0"/>
              <w:left w:val="single" w:color="auto" w:sz="4" w:space="0"/>
              <w:bottom w:val="single" w:color="auto" w:sz="4" w:space="0"/>
              <w:right w:val="single" w:color="auto" w:sz="4" w:space="0"/>
            </w:tcBorders>
            <w:noWrap w:val="0"/>
            <w:vAlign w:val="top"/>
          </w:tcPr>
          <w:p w14:paraId="33EC31A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3490F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5" w:type="dxa"/>
            <w:vMerge w:val="continue"/>
            <w:tcBorders>
              <w:left w:val="single" w:color="auto" w:sz="4" w:space="0"/>
              <w:bottom w:val="single" w:color="auto" w:sz="4" w:space="0"/>
              <w:right w:val="single" w:color="auto" w:sz="4" w:space="0"/>
            </w:tcBorders>
            <w:noWrap w:val="0"/>
            <w:vAlign w:val="center"/>
          </w:tcPr>
          <w:p w14:paraId="476E200E">
            <w:pPr>
              <w:rPr>
                <w:rFonts w:hint="eastAsia" w:ascii="宋体" w:hAnsi="宋体" w:eastAsia="宋体" w:cs="宋体"/>
                <w:color w:val="auto"/>
                <w:sz w:val="21"/>
                <w:szCs w:val="21"/>
                <w:highlight w:val="none"/>
              </w:rPr>
            </w:pPr>
          </w:p>
        </w:tc>
        <w:tc>
          <w:tcPr>
            <w:tcW w:w="5362" w:type="dxa"/>
            <w:tcBorders>
              <w:top w:val="single" w:color="auto" w:sz="4" w:space="0"/>
              <w:left w:val="single" w:color="auto" w:sz="4" w:space="0"/>
              <w:bottom w:val="single" w:color="auto" w:sz="4" w:space="0"/>
              <w:right w:val="single" w:color="auto" w:sz="4" w:space="0"/>
            </w:tcBorders>
            <w:noWrap w:val="0"/>
            <w:vAlign w:val="center"/>
          </w:tcPr>
          <w:p w14:paraId="1B70E974">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吨以上不足</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吨</w:t>
            </w:r>
          </w:p>
        </w:tc>
        <w:tc>
          <w:tcPr>
            <w:tcW w:w="1415" w:type="dxa"/>
            <w:tcBorders>
              <w:top w:val="single" w:color="auto" w:sz="4" w:space="0"/>
              <w:left w:val="single" w:color="auto" w:sz="4" w:space="0"/>
              <w:bottom w:val="single" w:color="auto" w:sz="4" w:space="0"/>
              <w:right w:val="single" w:color="auto" w:sz="4" w:space="0"/>
            </w:tcBorders>
            <w:noWrap w:val="0"/>
            <w:vAlign w:val="top"/>
          </w:tcPr>
          <w:p w14:paraId="0EF72F4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r>
      <w:tr w14:paraId="7512F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5" w:type="dxa"/>
            <w:vMerge w:val="continue"/>
            <w:tcBorders>
              <w:left w:val="single" w:color="auto" w:sz="4" w:space="0"/>
              <w:bottom w:val="single" w:color="auto" w:sz="4" w:space="0"/>
              <w:right w:val="single" w:color="auto" w:sz="4" w:space="0"/>
            </w:tcBorders>
            <w:noWrap w:val="0"/>
            <w:vAlign w:val="center"/>
          </w:tcPr>
          <w:p w14:paraId="5EF1E8AD">
            <w:pPr>
              <w:rPr>
                <w:rFonts w:hint="eastAsia" w:ascii="宋体" w:hAnsi="宋体" w:eastAsia="宋体" w:cs="宋体"/>
                <w:color w:val="auto"/>
                <w:sz w:val="21"/>
                <w:szCs w:val="21"/>
                <w:highlight w:val="none"/>
              </w:rPr>
            </w:pPr>
          </w:p>
        </w:tc>
        <w:tc>
          <w:tcPr>
            <w:tcW w:w="5362" w:type="dxa"/>
            <w:tcBorders>
              <w:top w:val="single" w:color="auto" w:sz="4" w:space="0"/>
              <w:left w:val="single" w:color="auto" w:sz="4" w:space="0"/>
              <w:bottom w:val="single" w:color="auto" w:sz="4" w:space="0"/>
              <w:right w:val="single" w:color="auto" w:sz="4" w:space="0"/>
            </w:tcBorders>
            <w:noWrap w:val="0"/>
            <w:vAlign w:val="center"/>
          </w:tcPr>
          <w:p w14:paraId="0271BBC3">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吨以上</w:t>
            </w:r>
          </w:p>
        </w:tc>
        <w:tc>
          <w:tcPr>
            <w:tcW w:w="1415" w:type="dxa"/>
            <w:tcBorders>
              <w:top w:val="single" w:color="auto" w:sz="4" w:space="0"/>
              <w:left w:val="single" w:color="auto" w:sz="4" w:space="0"/>
              <w:bottom w:val="single" w:color="auto" w:sz="4" w:space="0"/>
              <w:right w:val="single" w:color="auto" w:sz="4" w:space="0"/>
            </w:tcBorders>
            <w:noWrap w:val="0"/>
            <w:vAlign w:val="top"/>
          </w:tcPr>
          <w:p w14:paraId="76BD215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34B6D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5" w:type="dxa"/>
            <w:vMerge w:val="restart"/>
            <w:tcBorders>
              <w:left w:val="single" w:color="auto" w:sz="4" w:space="0"/>
              <w:bottom w:val="single" w:color="auto" w:sz="4" w:space="0"/>
              <w:right w:val="single" w:color="auto" w:sz="4" w:space="0"/>
            </w:tcBorders>
            <w:noWrap w:val="0"/>
            <w:vAlign w:val="center"/>
          </w:tcPr>
          <w:p w14:paraId="10DFDF1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危险废物种类</w:t>
            </w:r>
          </w:p>
        </w:tc>
        <w:tc>
          <w:tcPr>
            <w:tcW w:w="5362" w:type="dxa"/>
            <w:tcBorders>
              <w:top w:val="single" w:color="auto" w:sz="4" w:space="0"/>
              <w:left w:val="single" w:color="auto" w:sz="4" w:space="0"/>
              <w:bottom w:val="single" w:color="auto" w:sz="4" w:space="0"/>
              <w:right w:val="single" w:color="auto" w:sz="4" w:space="0"/>
            </w:tcBorders>
            <w:noWrap w:val="0"/>
            <w:vAlign w:val="top"/>
          </w:tcPr>
          <w:p w14:paraId="632A693D">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1种</w:t>
            </w:r>
          </w:p>
        </w:tc>
        <w:tc>
          <w:tcPr>
            <w:tcW w:w="1415" w:type="dxa"/>
            <w:tcBorders>
              <w:top w:val="single" w:color="auto" w:sz="4" w:space="0"/>
              <w:left w:val="single" w:color="auto" w:sz="4" w:space="0"/>
              <w:bottom w:val="single" w:color="auto" w:sz="4" w:space="0"/>
              <w:right w:val="single" w:color="auto" w:sz="4" w:space="0"/>
            </w:tcBorders>
            <w:noWrap w:val="0"/>
            <w:vAlign w:val="top"/>
          </w:tcPr>
          <w:p w14:paraId="1E72498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380EE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5" w:type="dxa"/>
            <w:vMerge w:val="continue"/>
            <w:tcBorders>
              <w:left w:val="single" w:color="auto" w:sz="4" w:space="0"/>
              <w:bottom w:val="single" w:color="auto" w:sz="4" w:space="0"/>
              <w:right w:val="single" w:color="auto" w:sz="4" w:space="0"/>
            </w:tcBorders>
            <w:noWrap w:val="0"/>
            <w:vAlign w:val="center"/>
          </w:tcPr>
          <w:p w14:paraId="26C50435">
            <w:pPr>
              <w:rPr>
                <w:rFonts w:hint="eastAsia" w:ascii="宋体" w:hAnsi="宋体" w:eastAsia="宋体" w:cs="宋体"/>
                <w:color w:val="auto"/>
                <w:sz w:val="21"/>
                <w:szCs w:val="21"/>
                <w:highlight w:val="none"/>
              </w:rPr>
            </w:pPr>
          </w:p>
        </w:tc>
        <w:tc>
          <w:tcPr>
            <w:tcW w:w="5362" w:type="dxa"/>
            <w:tcBorders>
              <w:top w:val="single" w:color="auto" w:sz="4" w:space="0"/>
              <w:left w:val="single" w:color="auto" w:sz="4" w:space="0"/>
              <w:bottom w:val="single" w:color="auto" w:sz="4" w:space="0"/>
              <w:right w:val="single" w:color="auto" w:sz="4" w:space="0"/>
            </w:tcBorders>
            <w:noWrap w:val="0"/>
            <w:vAlign w:val="top"/>
          </w:tcPr>
          <w:p w14:paraId="6D719577">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2种以上不足4种</w:t>
            </w:r>
          </w:p>
        </w:tc>
        <w:tc>
          <w:tcPr>
            <w:tcW w:w="1415" w:type="dxa"/>
            <w:tcBorders>
              <w:top w:val="single" w:color="auto" w:sz="4" w:space="0"/>
              <w:left w:val="single" w:color="auto" w:sz="4" w:space="0"/>
              <w:bottom w:val="single" w:color="auto" w:sz="4" w:space="0"/>
              <w:right w:val="single" w:color="auto" w:sz="4" w:space="0"/>
            </w:tcBorders>
            <w:noWrap w:val="0"/>
            <w:vAlign w:val="top"/>
          </w:tcPr>
          <w:p w14:paraId="1AC7D99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5028A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5" w:type="dxa"/>
            <w:vMerge w:val="continue"/>
            <w:tcBorders>
              <w:left w:val="single" w:color="auto" w:sz="4" w:space="0"/>
              <w:bottom w:val="single" w:color="auto" w:sz="4" w:space="0"/>
              <w:right w:val="single" w:color="auto" w:sz="4" w:space="0"/>
            </w:tcBorders>
            <w:noWrap w:val="0"/>
            <w:vAlign w:val="center"/>
          </w:tcPr>
          <w:p w14:paraId="5C3B64DB">
            <w:pPr>
              <w:rPr>
                <w:rFonts w:hint="eastAsia" w:ascii="宋体" w:hAnsi="宋体" w:eastAsia="宋体" w:cs="宋体"/>
                <w:color w:val="auto"/>
                <w:sz w:val="21"/>
                <w:szCs w:val="21"/>
                <w:highlight w:val="none"/>
              </w:rPr>
            </w:pPr>
          </w:p>
        </w:tc>
        <w:tc>
          <w:tcPr>
            <w:tcW w:w="5362" w:type="dxa"/>
            <w:tcBorders>
              <w:top w:val="single" w:color="auto" w:sz="4" w:space="0"/>
              <w:left w:val="single" w:color="auto" w:sz="4" w:space="0"/>
              <w:bottom w:val="single" w:color="auto" w:sz="4" w:space="0"/>
              <w:right w:val="single" w:color="auto" w:sz="4" w:space="0"/>
            </w:tcBorders>
            <w:noWrap w:val="0"/>
            <w:vAlign w:val="top"/>
          </w:tcPr>
          <w:p w14:paraId="693FDB66">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4种及以上</w:t>
            </w:r>
          </w:p>
        </w:tc>
        <w:tc>
          <w:tcPr>
            <w:tcW w:w="1415" w:type="dxa"/>
            <w:tcBorders>
              <w:top w:val="single" w:color="auto" w:sz="4" w:space="0"/>
              <w:left w:val="single" w:color="auto" w:sz="4" w:space="0"/>
              <w:bottom w:val="single" w:color="auto" w:sz="4" w:space="0"/>
              <w:right w:val="single" w:color="auto" w:sz="4" w:space="0"/>
            </w:tcBorders>
            <w:noWrap w:val="0"/>
            <w:vAlign w:val="top"/>
          </w:tcPr>
          <w:p w14:paraId="4961DF8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0D104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14:paraId="3696BB9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备注</w:t>
            </w:r>
          </w:p>
        </w:tc>
        <w:tc>
          <w:tcPr>
            <w:tcW w:w="6777" w:type="dxa"/>
            <w:gridSpan w:val="2"/>
            <w:tcBorders>
              <w:top w:val="single" w:color="auto" w:sz="4" w:space="0"/>
              <w:left w:val="single" w:color="auto" w:sz="4" w:space="0"/>
              <w:bottom w:val="single" w:color="auto" w:sz="4" w:space="0"/>
              <w:right w:val="single" w:color="auto" w:sz="4" w:space="0"/>
            </w:tcBorders>
            <w:noWrap w:val="0"/>
            <w:vAlign w:val="top"/>
          </w:tcPr>
          <w:p w14:paraId="1C1B9D36">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对直接负责的主管人员和其他直接责任人员实施罚款处罚的，应当分别套用计算公式确定罚款数额。</w:t>
            </w:r>
          </w:p>
        </w:tc>
      </w:tr>
    </w:tbl>
    <w:p w14:paraId="14920FB0">
      <w:pPr>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br w:type="page"/>
      </w:r>
    </w:p>
    <w:p w14:paraId="3314BB9D">
      <w:pPr>
        <w:pStyle w:val="3"/>
        <w:keepNext/>
        <w:keepLines/>
        <w:pageBreakBefore w:val="0"/>
        <w:widowControl w:val="0"/>
        <w:kinsoku/>
        <w:wordWrap/>
        <w:overflowPunct/>
        <w:topLinePunct w:val="0"/>
        <w:autoSpaceDE/>
        <w:autoSpaceDN/>
        <w:bidi w:val="0"/>
        <w:adjustRightInd w:val="0"/>
        <w:snapToGrid w:val="0"/>
        <w:spacing w:after="0" w:afterLines="0" w:line="360" w:lineRule="auto"/>
        <w:ind w:firstLine="562" w:firstLineChars="200"/>
        <w:textAlignment w:val="auto"/>
        <w:rPr>
          <w:rFonts w:hint="eastAsia" w:ascii="楷体_GB2312" w:hAnsi="楷体_GB2312" w:eastAsia="楷体_GB2312" w:cs="楷体_GB2312"/>
          <w:sz w:val="28"/>
          <w:szCs w:val="22"/>
          <w:highlight w:val="none"/>
          <w:lang w:val="en-US" w:eastAsia="zh-CN"/>
        </w:rPr>
      </w:pPr>
      <w:r>
        <w:rPr>
          <w:rFonts w:hint="eastAsia" w:ascii="楷体_GB2312" w:hAnsi="楷体_GB2312" w:eastAsia="楷体_GB2312" w:cs="楷体_GB2312"/>
          <w:color w:val="auto"/>
          <w:sz w:val="28"/>
          <w:szCs w:val="28"/>
          <w:highlight w:val="none"/>
          <w:lang w:val="en-US" w:eastAsia="zh-CN"/>
        </w:rPr>
        <w:t>（九）噪声污染防治类</w:t>
      </w:r>
    </w:p>
    <w:p w14:paraId="6EAFA234">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p>
    <w:p w14:paraId="28C5D61A">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1.</w:t>
      </w:r>
      <w:r>
        <w:rPr>
          <w:rFonts w:hint="eastAsia" w:ascii="宋体" w:hAnsi="Times New Roman" w:cs="Times New Roman"/>
          <w:color w:val="auto"/>
          <w:kern w:val="0"/>
          <w:sz w:val="24"/>
        </w:rPr>
        <w:t>在噪声敏感建筑物集中区域新建排放噪声的工业企业的</w:t>
      </w:r>
      <w:r>
        <w:rPr>
          <w:rFonts w:hint="eastAsia" w:ascii="宋体" w:hAnsi="Times New Roman" w:cs="Times New Roman"/>
          <w:color w:val="auto"/>
          <w:kern w:val="0"/>
          <w:sz w:val="24"/>
          <w:lang w:eastAsia="zh-CN"/>
        </w:rPr>
        <w:t>；</w:t>
      </w:r>
    </w:p>
    <w:p w14:paraId="787B2282">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2.在噪声敏感建筑物集中区域改建、扩建工业企业，未采取有效措施防止工业噪声污染的；</w:t>
      </w:r>
    </w:p>
    <w:p w14:paraId="75347E76">
      <w:pPr>
        <w:widowControl w:val="0"/>
        <w:adjustRightInd w:val="0"/>
        <w:snapToGrid w:val="0"/>
        <w:spacing w:line="360" w:lineRule="auto"/>
        <w:ind w:firstLine="480" w:firstLineChars="200"/>
        <w:jc w:val="both"/>
        <w:rPr>
          <w:rFonts w:hint="default"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3.高考、中考期间在考点周围区域内进行产生环境噪声的活动的</w:t>
      </w:r>
    </w:p>
    <w:p w14:paraId="4655EB3E">
      <w:pPr>
        <w:rPr>
          <w:rFonts w:hint="eastAsia"/>
          <w:highlight w:val="none"/>
          <w:lang w:val="en-US" w:eastAsia="zh-CN"/>
        </w:rPr>
      </w:pPr>
      <w:r>
        <w:rPr>
          <w:rFonts w:hint="eastAsia"/>
          <w:highlight w:val="none"/>
          <w:lang w:val="en-US" w:eastAsia="zh-CN"/>
        </w:rPr>
        <w:br w:type="page"/>
      </w:r>
    </w:p>
    <w:tbl>
      <w:tblPr>
        <w:tblStyle w:val="8"/>
        <w:tblW w:w="520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25"/>
        <w:gridCol w:w="6056"/>
        <w:gridCol w:w="1539"/>
      </w:tblGrid>
      <w:tr w14:paraId="2C1BD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8877" w:type="dxa"/>
            <w:gridSpan w:val="3"/>
            <w:noWrap w:val="0"/>
            <w:vAlign w:val="center"/>
          </w:tcPr>
          <w:p w14:paraId="7A80C9D2">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（九）噪声污染防治类</w:t>
            </w:r>
          </w:p>
        </w:tc>
      </w:tr>
      <w:tr w14:paraId="3B9F3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643" w:type="dxa"/>
            <w:noWrap w:val="0"/>
            <w:vAlign w:val="center"/>
          </w:tcPr>
          <w:p w14:paraId="33292E7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7234" w:type="dxa"/>
            <w:gridSpan w:val="2"/>
            <w:noWrap w:val="0"/>
            <w:vAlign w:val="center"/>
          </w:tcPr>
          <w:p w14:paraId="462E1C7D">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r>
      <w:tr w14:paraId="6CACF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643" w:type="dxa"/>
            <w:noWrap w:val="0"/>
            <w:vAlign w:val="center"/>
          </w:tcPr>
          <w:p w14:paraId="380B2AC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7234" w:type="dxa"/>
            <w:gridSpan w:val="2"/>
            <w:noWrap w:val="0"/>
            <w:vAlign w:val="center"/>
          </w:tcPr>
          <w:p w14:paraId="336A8788">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在噪声敏感建筑物集中区域新建排放噪声的工业企业的</w:t>
            </w:r>
          </w:p>
        </w:tc>
      </w:tr>
      <w:tr w14:paraId="20873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1643" w:type="dxa"/>
            <w:noWrap w:val="0"/>
            <w:vAlign w:val="center"/>
          </w:tcPr>
          <w:p w14:paraId="43E8BCF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7234" w:type="dxa"/>
            <w:gridSpan w:val="2"/>
            <w:noWrap w:val="0"/>
            <w:vAlign w:val="center"/>
          </w:tcPr>
          <w:p w14:paraId="3F1D3EC0">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《中华人民共和国生态环境法典》第五百六十六条　在噪声敏感建筑物集中区域，禁止新建排放噪声的工业企业，改建、扩建工业企业的，应当采取有效措施防止工业噪声污染。</w:t>
            </w:r>
          </w:p>
        </w:tc>
      </w:tr>
      <w:tr w14:paraId="2C6D6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1643" w:type="dxa"/>
            <w:noWrap w:val="0"/>
            <w:vAlign w:val="center"/>
          </w:tcPr>
          <w:p w14:paraId="1C4AFDA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7234" w:type="dxa"/>
            <w:gridSpan w:val="2"/>
            <w:noWrap w:val="0"/>
            <w:vAlign w:val="center"/>
          </w:tcPr>
          <w:p w14:paraId="7701C418">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《中华人民共和国生态环境法典》第一千一百八十四条</w:t>
            </w:r>
            <w:r>
              <w:rPr>
                <w:rFonts w:hint="eastAsia" w:ascii="宋体" w:hAnsi="宋体" w:eastAsia="宋体" w:cs="宋体"/>
                <w:color w:val="auto"/>
                <w:sz w:val="21"/>
                <w:szCs w:val="21"/>
                <w:highlight w:val="none"/>
                <w:lang w:val="en-US" w:eastAsia="zh-CN"/>
              </w:rPr>
              <w:t>第一款</w:t>
            </w:r>
            <w:r>
              <w:rPr>
                <w:rFonts w:hint="eastAsia" w:ascii="宋体" w:hAnsi="宋体" w:eastAsia="宋体" w:cs="宋体"/>
                <w:color w:val="auto"/>
                <w:sz w:val="21"/>
                <w:szCs w:val="21"/>
                <w:highlight w:val="none"/>
              </w:rPr>
              <w:t>　违反本法规定，在噪声敏感建筑物集中区域新建排放噪声的工业企业的，由生态环境主管部门责令停止违法行为，处十万元以上五十万元以下的罚款，报经有批准权的人民政府批准，责令停业、关闭。</w:t>
            </w:r>
          </w:p>
        </w:tc>
      </w:tr>
      <w:tr w14:paraId="3D283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643" w:type="dxa"/>
            <w:noWrap w:val="0"/>
            <w:vAlign w:val="center"/>
          </w:tcPr>
          <w:p w14:paraId="42D43AB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768" w:type="dxa"/>
            <w:noWrap w:val="0"/>
            <w:vAlign w:val="center"/>
          </w:tcPr>
          <w:p w14:paraId="7C4A9DE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466" w:type="dxa"/>
            <w:noWrap w:val="0"/>
            <w:vAlign w:val="center"/>
          </w:tcPr>
          <w:p w14:paraId="54C3EE9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75B44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643" w:type="dxa"/>
            <w:vMerge w:val="restart"/>
            <w:noWrap w:val="0"/>
            <w:vAlign w:val="center"/>
          </w:tcPr>
          <w:p w14:paraId="2E5DE59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违法事实</w:t>
            </w:r>
          </w:p>
        </w:tc>
        <w:tc>
          <w:tcPr>
            <w:tcW w:w="5768" w:type="dxa"/>
            <w:noWrap w:val="0"/>
            <w:vAlign w:val="center"/>
          </w:tcPr>
          <w:p w14:paraId="68901BB3">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设施已开工建设但未建成的</w:t>
            </w:r>
          </w:p>
        </w:tc>
        <w:tc>
          <w:tcPr>
            <w:tcW w:w="1466" w:type="dxa"/>
            <w:noWrap w:val="0"/>
            <w:vAlign w:val="center"/>
          </w:tcPr>
          <w:p w14:paraId="79E1D6D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3C97D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643" w:type="dxa"/>
            <w:vMerge w:val="continue"/>
            <w:noWrap w:val="0"/>
            <w:vAlign w:val="center"/>
          </w:tcPr>
          <w:p w14:paraId="2CA085EF">
            <w:pPr>
              <w:rPr>
                <w:rFonts w:hint="eastAsia" w:ascii="宋体" w:hAnsi="宋体" w:eastAsia="宋体" w:cs="宋体"/>
                <w:color w:val="auto"/>
                <w:sz w:val="21"/>
                <w:szCs w:val="21"/>
                <w:highlight w:val="none"/>
              </w:rPr>
            </w:pPr>
          </w:p>
        </w:tc>
        <w:tc>
          <w:tcPr>
            <w:tcW w:w="5768" w:type="dxa"/>
            <w:noWrap w:val="0"/>
            <w:vAlign w:val="center"/>
          </w:tcPr>
          <w:p w14:paraId="28031836">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设施已建成但未投入使用的</w:t>
            </w:r>
          </w:p>
        </w:tc>
        <w:tc>
          <w:tcPr>
            <w:tcW w:w="1466" w:type="dxa"/>
            <w:noWrap w:val="0"/>
            <w:vAlign w:val="center"/>
          </w:tcPr>
          <w:p w14:paraId="3688E13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57773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643" w:type="dxa"/>
            <w:vMerge w:val="continue"/>
            <w:noWrap w:val="0"/>
            <w:vAlign w:val="center"/>
          </w:tcPr>
          <w:p w14:paraId="0E0D2EAA">
            <w:pPr>
              <w:rPr>
                <w:rFonts w:hint="eastAsia" w:ascii="宋体" w:hAnsi="宋体" w:eastAsia="宋体" w:cs="宋体"/>
                <w:color w:val="auto"/>
                <w:sz w:val="21"/>
                <w:szCs w:val="21"/>
                <w:highlight w:val="none"/>
              </w:rPr>
            </w:pPr>
          </w:p>
        </w:tc>
        <w:tc>
          <w:tcPr>
            <w:tcW w:w="5768" w:type="dxa"/>
            <w:noWrap w:val="0"/>
            <w:vAlign w:val="center"/>
          </w:tcPr>
          <w:p w14:paraId="3FCBE482">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设施已建成</w:t>
            </w:r>
            <w:r>
              <w:rPr>
                <w:rFonts w:hint="eastAsia" w:ascii="宋体" w:hAnsi="宋体" w:eastAsia="宋体" w:cs="宋体"/>
                <w:color w:val="auto"/>
                <w:sz w:val="21"/>
                <w:szCs w:val="21"/>
                <w:highlight w:val="none"/>
                <w:lang w:val="en-US" w:eastAsia="zh-CN"/>
              </w:rPr>
              <w:t>并</w:t>
            </w:r>
            <w:r>
              <w:rPr>
                <w:rFonts w:hint="eastAsia" w:ascii="宋体" w:hAnsi="宋体" w:eastAsia="宋体" w:cs="宋体"/>
                <w:color w:val="auto"/>
                <w:sz w:val="21"/>
                <w:szCs w:val="21"/>
                <w:highlight w:val="none"/>
              </w:rPr>
              <w:t>投用</w:t>
            </w:r>
          </w:p>
        </w:tc>
        <w:tc>
          <w:tcPr>
            <w:tcW w:w="1466" w:type="dxa"/>
            <w:noWrap w:val="0"/>
            <w:vAlign w:val="center"/>
          </w:tcPr>
          <w:p w14:paraId="7CCFB79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38E50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643" w:type="dxa"/>
            <w:vMerge w:val="restart"/>
            <w:noWrap w:val="0"/>
            <w:vAlign w:val="center"/>
          </w:tcPr>
          <w:p w14:paraId="15D43325">
            <w:pPr>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违法行为发生地</w:t>
            </w:r>
          </w:p>
        </w:tc>
        <w:tc>
          <w:tcPr>
            <w:tcW w:w="5768" w:type="dxa"/>
            <w:noWrap w:val="0"/>
            <w:vAlign w:val="center"/>
          </w:tcPr>
          <w:p w14:paraId="49B12828">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4类声环境功能区</w:t>
            </w:r>
          </w:p>
        </w:tc>
        <w:tc>
          <w:tcPr>
            <w:tcW w:w="1466" w:type="dxa"/>
            <w:noWrap w:val="0"/>
            <w:vAlign w:val="center"/>
          </w:tcPr>
          <w:p w14:paraId="2F258AC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7B95D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643" w:type="dxa"/>
            <w:vMerge w:val="continue"/>
            <w:noWrap w:val="0"/>
            <w:vAlign w:val="center"/>
          </w:tcPr>
          <w:p w14:paraId="0E7AF691">
            <w:pPr>
              <w:rPr>
                <w:rFonts w:hint="eastAsia" w:ascii="宋体" w:hAnsi="宋体" w:eastAsia="宋体" w:cs="宋体"/>
                <w:color w:val="auto"/>
                <w:sz w:val="21"/>
                <w:szCs w:val="21"/>
                <w:highlight w:val="none"/>
              </w:rPr>
            </w:pPr>
          </w:p>
        </w:tc>
        <w:tc>
          <w:tcPr>
            <w:tcW w:w="5768" w:type="dxa"/>
            <w:noWrap w:val="0"/>
            <w:vAlign w:val="center"/>
          </w:tcPr>
          <w:p w14:paraId="14FB70B5">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3类声环境功能区</w:t>
            </w:r>
          </w:p>
        </w:tc>
        <w:tc>
          <w:tcPr>
            <w:tcW w:w="1466" w:type="dxa"/>
            <w:noWrap w:val="0"/>
            <w:vAlign w:val="center"/>
          </w:tcPr>
          <w:p w14:paraId="731CC35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r>
      <w:tr w14:paraId="4E7A2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643" w:type="dxa"/>
            <w:vMerge w:val="continue"/>
            <w:noWrap w:val="0"/>
            <w:vAlign w:val="center"/>
          </w:tcPr>
          <w:p w14:paraId="5E3B52E0">
            <w:pPr>
              <w:rPr>
                <w:rFonts w:hint="eastAsia" w:ascii="宋体" w:hAnsi="宋体" w:eastAsia="宋体" w:cs="宋体"/>
                <w:color w:val="auto"/>
                <w:sz w:val="21"/>
                <w:szCs w:val="21"/>
                <w:highlight w:val="none"/>
              </w:rPr>
            </w:pPr>
          </w:p>
        </w:tc>
        <w:tc>
          <w:tcPr>
            <w:tcW w:w="5768" w:type="dxa"/>
            <w:noWrap w:val="0"/>
            <w:vAlign w:val="center"/>
          </w:tcPr>
          <w:p w14:paraId="0DEA6C09">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2类声环境功能区</w:t>
            </w:r>
          </w:p>
        </w:tc>
        <w:tc>
          <w:tcPr>
            <w:tcW w:w="1466" w:type="dxa"/>
            <w:noWrap w:val="0"/>
            <w:vAlign w:val="center"/>
          </w:tcPr>
          <w:p w14:paraId="7AF7B7C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0EAE4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643" w:type="dxa"/>
            <w:vMerge w:val="continue"/>
            <w:noWrap w:val="0"/>
            <w:vAlign w:val="center"/>
          </w:tcPr>
          <w:p w14:paraId="3C36000E">
            <w:pPr>
              <w:rPr>
                <w:rFonts w:hint="eastAsia" w:ascii="宋体" w:hAnsi="宋体" w:eastAsia="宋体" w:cs="宋体"/>
                <w:color w:val="auto"/>
                <w:sz w:val="21"/>
                <w:szCs w:val="21"/>
                <w:highlight w:val="none"/>
              </w:rPr>
            </w:pPr>
          </w:p>
        </w:tc>
        <w:tc>
          <w:tcPr>
            <w:tcW w:w="5768" w:type="dxa"/>
            <w:noWrap w:val="0"/>
            <w:vAlign w:val="center"/>
          </w:tcPr>
          <w:p w14:paraId="1BEE533A">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1类声环境功能区</w:t>
            </w:r>
          </w:p>
        </w:tc>
        <w:tc>
          <w:tcPr>
            <w:tcW w:w="1466" w:type="dxa"/>
            <w:noWrap w:val="0"/>
            <w:vAlign w:val="center"/>
          </w:tcPr>
          <w:p w14:paraId="69A7427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r>
      <w:tr w14:paraId="08471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643" w:type="dxa"/>
            <w:vMerge w:val="continue"/>
            <w:noWrap w:val="0"/>
            <w:vAlign w:val="center"/>
          </w:tcPr>
          <w:p w14:paraId="1C05B1D2">
            <w:pPr>
              <w:rPr>
                <w:rFonts w:hint="eastAsia" w:ascii="宋体" w:hAnsi="宋体" w:eastAsia="宋体" w:cs="宋体"/>
                <w:color w:val="auto"/>
                <w:sz w:val="21"/>
                <w:szCs w:val="21"/>
                <w:highlight w:val="none"/>
              </w:rPr>
            </w:pPr>
          </w:p>
        </w:tc>
        <w:tc>
          <w:tcPr>
            <w:tcW w:w="5768" w:type="dxa"/>
            <w:noWrap w:val="0"/>
            <w:vAlign w:val="center"/>
          </w:tcPr>
          <w:p w14:paraId="238FE663">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0类声环境功能区</w:t>
            </w:r>
          </w:p>
        </w:tc>
        <w:tc>
          <w:tcPr>
            <w:tcW w:w="1466" w:type="dxa"/>
            <w:noWrap w:val="0"/>
            <w:vAlign w:val="center"/>
          </w:tcPr>
          <w:p w14:paraId="4E4AC55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5C832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43" w:type="dxa"/>
            <w:noWrap w:val="0"/>
            <w:vAlign w:val="center"/>
          </w:tcPr>
          <w:p w14:paraId="2F79D3A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备注</w:t>
            </w:r>
          </w:p>
        </w:tc>
        <w:tc>
          <w:tcPr>
            <w:tcW w:w="7234" w:type="dxa"/>
            <w:gridSpan w:val="2"/>
            <w:noWrap w:val="0"/>
            <w:vAlign w:val="center"/>
          </w:tcPr>
          <w:p w14:paraId="44EE6B5B">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噪声敏感建筑物，是指用于居住、科学研究、医疗卫生、文化教育、机关团体办公、社会福利等需要保持安静的建筑物</w:t>
            </w:r>
          </w:p>
        </w:tc>
      </w:tr>
    </w:tbl>
    <w:p w14:paraId="2A82F8FD">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505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1"/>
        <w:gridCol w:w="5889"/>
        <w:gridCol w:w="1465"/>
      </w:tblGrid>
      <w:tr w14:paraId="589E3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9046" w:type="dxa"/>
            <w:gridSpan w:val="3"/>
            <w:noWrap w:val="0"/>
            <w:vAlign w:val="center"/>
          </w:tcPr>
          <w:p w14:paraId="3F1C534B">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（九）噪声污染防治类</w:t>
            </w:r>
          </w:p>
        </w:tc>
      </w:tr>
      <w:tr w14:paraId="57E92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1691" w:type="dxa"/>
            <w:noWrap w:val="0"/>
            <w:vAlign w:val="center"/>
          </w:tcPr>
          <w:p w14:paraId="090FA35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7355" w:type="dxa"/>
            <w:gridSpan w:val="2"/>
            <w:noWrap w:val="0"/>
            <w:vAlign w:val="center"/>
          </w:tcPr>
          <w:p w14:paraId="6F27BA13">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r>
      <w:tr w14:paraId="582FE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1691" w:type="dxa"/>
            <w:noWrap w:val="0"/>
            <w:vAlign w:val="center"/>
          </w:tcPr>
          <w:p w14:paraId="66C5B8A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7355" w:type="dxa"/>
            <w:gridSpan w:val="2"/>
            <w:noWrap w:val="0"/>
            <w:vAlign w:val="center"/>
          </w:tcPr>
          <w:p w14:paraId="69F1E79E">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在噪声敏感建筑物集中区域改建、扩建工业企业，未采取有效措施防止工业噪声污染的</w:t>
            </w:r>
          </w:p>
        </w:tc>
      </w:tr>
      <w:tr w14:paraId="12BCE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6" w:hRule="atLeast"/>
          <w:jc w:val="center"/>
        </w:trPr>
        <w:tc>
          <w:tcPr>
            <w:tcW w:w="1691" w:type="dxa"/>
            <w:noWrap w:val="0"/>
            <w:vAlign w:val="center"/>
          </w:tcPr>
          <w:p w14:paraId="43DC71A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7355" w:type="dxa"/>
            <w:gridSpan w:val="2"/>
            <w:noWrap w:val="0"/>
            <w:vAlign w:val="center"/>
          </w:tcPr>
          <w:p w14:paraId="1BC08B53">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《中华人民共和国生态环境法典》第五百六十六条　在噪声敏感建筑物集中区域，禁止新建排放噪声的工业企业，改建、扩建工业企业的，应当采取有效措施防止工业噪声污染。</w:t>
            </w:r>
          </w:p>
        </w:tc>
      </w:tr>
      <w:tr w14:paraId="72C4F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5" w:hRule="atLeast"/>
          <w:jc w:val="center"/>
        </w:trPr>
        <w:tc>
          <w:tcPr>
            <w:tcW w:w="1691" w:type="dxa"/>
            <w:noWrap w:val="0"/>
            <w:vAlign w:val="center"/>
          </w:tcPr>
          <w:p w14:paraId="1762751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7355" w:type="dxa"/>
            <w:gridSpan w:val="2"/>
            <w:noWrap w:val="0"/>
            <w:vAlign w:val="center"/>
          </w:tcPr>
          <w:p w14:paraId="35DCC463">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《中华人民共和国生态环境法典》第一千一百八十四条第二款　违反本法规定，在噪声敏感建筑物集中区域改建、扩建工业企业，未采取有效措施防止工业噪声污染的，由生态环境主管部门责令改正，处十万元以上五十万元以下的罚款；拒不改正的，报经有批准权的人民政府批准，责令停业、关闭。</w:t>
            </w:r>
          </w:p>
        </w:tc>
      </w:tr>
      <w:tr w14:paraId="3CD45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1691" w:type="dxa"/>
            <w:noWrap w:val="0"/>
            <w:vAlign w:val="center"/>
          </w:tcPr>
          <w:p w14:paraId="39C213C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890" w:type="dxa"/>
            <w:noWrap w:val="0"/>
            <w:vAlign w:val="center"/>
          </w:tcPr>
          <w:p w14:paraId="1A576BC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465" w:type="dxa"/>
            <w:noWrap w:val="0"/>
            <w:vAlign w:val="center"/>
          </w:tcPr>
          <w:p w14:paraId="16FE25C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5D0EE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1691" w:type="dxa"/>
            <w:vMerge w:val="restart"/>
            <w:noWrap w:val="0"/>
            <w:vAlign w:val="center"/>
          </w:tcPr>
          <w:p w14:paraId="272AF2E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采取措施</w:t>
            </w:r>
          </w:p>
        </w:tc>
        <w:tc>
          <w:tcPr>
            <w:tcW w:w="5890" w:type="dxa"/>
            <w:noWrap w:val="0"/>
            <w:vAlign w:val="top"/>
          </w:tcPr>
          <w:p w14:paraId="6225C99B">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采取措施但无效或效果不明显</w:t>
            </w:r>
          </w:p>
        </w:tc>
        <w:tc>
          <w:tcPr>
            <w:tcW w:w="1465" w:type="dxa"/>
            <w:noWrap w:val="0"/>
            <w:vAlign w:val="top"/>
          </w:tcPr>
          <w:p w14:paraId="609FA57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73F69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1691" w:type="dxa"/>
            <w:vMerge w:val="continue"/>
            <w:noWrap w:val="0"/>
            <w:vAlign w:val="center"/>
          </w:tcPr>
          <w:p w14:paraId="523B1C16">
            <w:pPr>
              <w:rPr>
                <w:rFonts w:hint="eastAsia" w:ascii="宋体" w:hAnsi="宋体" w:eastAsia="宋体" w:cs="宋体"/>
                <w:color w:val="auto"/>
                <w:sz w:val="21"/>
                <w:szCs w:val="21"/>
                <w:highlight w:val="none"/>
              </w:rPr>
            </w:pPr>
          </w:p>
        </w:tc>
        <w:tc>
          <w:tcPr>
            <w:tcW w:w="5890" w:type="dxa"/>
            <w:noWrap w:val="0"/>
            <w:vAlign w:val="top"/>
          </w:tcPr>
          <w:p w14:paraId="744855F6">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未采取任何措施</w:t>
            </w:r>
          </w:p>
        </w:tc>
        <w:tc>
          <w:tcPr>
            <w:tcW w:w="1465" w:type="dxa"/>
            <w:noWrap w:val="0"/>
            <w:vAlign w:val="top"/>
          </w:tcPr>
          <w:p w14:paraId="4B21967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553E8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1691" w:type="dxa"/>
            <w:vMerge w:val="restart"/>
            <w:noWrap w:val="0"/>
            <w:vAlign w:val="center"/>
          </w:tcPr>
          <w:p w14:paraId="3996881C">
            <w:pPr>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违法行为发生地</w:t>
            </w:r>
          </w:p>
        </w:tc>
        <w:tc>
          <w:tcPr>
            <w:tcW w:w="5890" w:type="dxa"/>
            <w:noWrap w:val="0"/>
            <w:vAlign w:val="center"/>
          </w:tcPr>
          <w:p w14:paraId="5C953101">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4类声环境功能区</w:t>
            </w:r>
          </w:p>
        </w:tc>
        <w:tc>
          <w:tcPr>
            <w:tcW w:w="1465" w:type="dxa"/>
            <w:noWrap w:val="0"/>
            <w:vAlign w:val="center"/>
          </w:tcPr>
          <w:p w14:paraId="2F9FB9F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41647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1691" w:type="dxa"/>
            <w:vMerge w:val="continue"/>
            <w:noWrap w:val="0"/>
            <w:vAlign w:val="center"/>
          </w:tcPr>
          <w:p w14:paraId="0CB3CCC8">
            <w:pPr>
              <w:rPr>
                <w:rFonts w:hint="eastAsia" w:ascii="宋体" w:hAnsi="宋体" w:eastAsia="宋体" w:cs="宋体"/>
                <w:color w:val="auto"/>
                <w:sz w:val="21"/>
                <w:szCs w:val="21"/>
                <w:highlight w:val="none"/>
              </w:rPr>
            </w:pPr>
          </w:p>
        </w:tc>
        <w:tc>
          <w:tcPr>
            <w:tcW w:w="5890" w:type="dxa"/>
            <w:noWrap w:val="0"/>
            <w:vAlign w:val="center"/>
          </w:tcPr>
          <w:p w14:paraId="5A93295B">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3类声环境功能区</w:t>
            </w:r>
          </w:p>
        </w:tc>
        <w:tc>
          <w:tcPr>
            <w:tcW w:w="1465" w:type="dxa"/>
            <w:noWrap w:val="0"/>
            <w:vAlign w:val="center"/>
          </w:tcPr>
          <w:p w14:paraId="37A5083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r>
      <w:tr w14:paraId="1F5F5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1691" w:type="dxa"/>
            <w:vMerge w:val="continue"/>
            <w:noWrap w:val="0"/>
            <w:vAlign w:val="center"/>
          </w:tcPr>
          <w:p w14:paraId="5605BB3A">
            <w:pPr>
              <w:rPr>
                <w:rFonts w:hint="eastAsia" w:ascii="宋体" w:hAnsi="宋体" w:eastAsia="宋体" w:cs="宋体"/>
                <w:color w:val="auto"/>
                <w:sz w:val="21"/>
                <w:szCs w:val="21"/>
                <w:highlight w:val="none"/>
              </w:rPr>
            </w:pPr>
          </w:p>
        </w:tc>
        <w:tc>
          <w:tcPr>
            <w:tcW w:w="5890" w:type="dxa"/>
            <w:noWrap w:val="0"/>
            <w:vAlign w:val="center"/>
          </w:tcPr>
          <w:p w14:paraId="3632BE71">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2类声环境功能区</w:t>
            </w:r>
          </w:p>
        </w:tc>
        <w:tc>
          <w:tcPr>
            <w:tcW w:w="1465" w:type="dxa"/>
            <w:noWrap w:val="0"/>
            <w:vAlign w:val="center"/>
          </w:tcPr>
          <w:p w14:paraId="1E22201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191FE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1691" w:type="dxa"/>
            <w:vMerge w:val="continue"/>
            <w:noWrap w:val="0"/>
            <w:vAlign w:val="center"/>
          </w:tcPr>
          <w:p w14:paraId="1458C7A6">
            <w:pPr>
              <w:rPr>
                <w:rFonts w:hint="eastAsia" w:ascii="宋体" w:hAnsi="宋体" w:eastAsia="宋体" w:cs="宋体"/>
                <w:color w:val="auto"/>
                <w:sz w:val="21"/>
                <w:szCs w:val="21"/>
                <w:highlight w:val="none"/>
              </w:rPr>
            </w:pPr>
          </w:p>
        </w:tc>
        <w:tc>
          <w:tcPr>
            <w:tcW w:w="5890" w:type="dxa"/>
            <w:noWrap w:val="0"/>
            <w:vAlign w:val="center"/>
          </w:tcPr>
          <w:p w14:paraId="5A46A895">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1类声环境功能区</w:t>
            </w:r>
          </w:p>
        </w:tc>
        <w:tc>
          <w:tcPr>
            <w:tcW w:w="1465" w:type="dxa"/>
            <w:noWrap w:val="0"/>
            <w:vAlign w:val="center"/>
          </w:tcPr>
          <w:p w14:paraId="6D8D27C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r>
      <w:tr w14:paraId="42997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1691" w:type="dxa"/>
            <w:vMerge w:val="continue"/>
            <w:noWrap w:val="0"/>
            <w:vAlign w:val="center"/>
          </w:tcPr>
          <w:p w14:paraId="6187D358">
            <w:pPr>
              <w:rPr>
                <w:rFonts w:hint="eastAsia" w:ascii="宋体" w:hAnsi="宋体" w:eastAsia="宋体" w:cs="宋体"/>
                <w:color w:val="auto"/>
                <w:sz w:val="21"/>
                <w:szCs w:val="21"/>
                <w:highlight w:val="none"/>
              </w:rPr>
            </w:pPr>
          </w:p>
        </w:tc>
        <w:tc>
          <w:tcPr>
            <w:tcW w:w="5890" w:type="dxa"/>
            <w:noWrap w:val="0"/>
            <w:vAlign w:val="center"/>
          </w:tcPr>
          <w:p w14:paraId="5FE20033">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0类声环境功能区</w:t>
            </w:r>
          </w:p>
        </w:tc>
        <w:tc>
          <w:tcPr>
            <w:tcW w:w="1465" w:type="dxa"/>
            <w:noWrap w:val="0"/>
            <w:vAlign w:val="center"/>
          </w:tcPr>
          <w:p w14:paraId="2152418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53558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jc w:val="center"/>
        </w:trPr>
        <w:tc>
          <w:tcPr>
            <w:tcW w:w="1691" w:type="dxa"/>
            <w:noWrap w:val="0"/>
            <w:vAlign w:val="center"/>
          </w:tcPr>
          <w:p w14:paraId="61B3657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备注</w:t>
            </w:r>
          </w:p>
        </w:tc>
        <w:tc>
          <w:tcPr>
            <w:tcW w:w="7355" w:type="dxa"/>
            <w:gridSpan w:val="2"/>
            <w:noWrap w:val="0"/>
            <w:vAlign w:val="top"/>
          </w:tcPr>
          <w:p w14:paraId="360FF577">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噪声敏感建筑物，是指用于居住、科学研究、医疗卫生、文化教育、机关团体办公、社会福利等需要保持安静的建筑物</w:t>
            </w:r>
          </w:p>
        </w:tc>
      </w:tr>
    </w:tbl>
    <w:p w14:paraId="65C2A8F4">
      <w:pPr>
        <w:rPr>
          <w:highlight w:val="none"/>
        </w:rPr>
      </w:pPr>
    </w:p>
    <w:p w14:paraId="158AF6DB">
      <w:pPr>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br w:type="page"/>
      </w:r>
    </w:p>
    <w:tbl>
      <w:tblPr>
        <w:tblStyle w:val="8"/>
        <w:tblW w:w="502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54"/>
        <w:gridCol w:w="5800"/>
        <w:gridCol w:w="1432"/>
      </w:tblGrid>
      <w:tr w14:paraId="14E40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8986" w:type="dxa"/>
            <w:gridSpan w:val="3"/>
            <w:noWrap w:val="0"/>
            <w:vAlign w:val="center"/>
          </w:tcPr>
          <w:p w14:paraId="0AD1D0F3">
            <w:pPr>
              <w:jc w:val="center"/>
              <w:rPr>
                <w:rFonts w:hint="eastAsia" w:ascii="宋体" w:cs="宋体"/>
                <w:color w:val="auto"/>
                <w:szCs w:val="21"/>
              </w:rPr>
            </w:pPr>
            <w:r>
              <w:rPr>
                <w:rFonts w:hint="eastAsia" w:ascii="宋体" w:hAnsi="宋体" w:eastAsia="宋体" w:cs="宋体"/>
                <w:color w:val="auto"/>
                <w:sz w:val="21"/>
                <w:szCs w:val="21"/>
                <w:highlight w:val="none"/>
                <w:lang w:eastAsia="zh-CN"/>
              </w:rPr>
              <w:t>（九）噪声污染防治类</w:t>
            </w:r>
          </w:p>
        </w:tc>
      </w:tr>
      <w:tr w14:paraId="4D930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754" w:type="dxa"/>
            <w:noWrap w:val="0"/>
            <w:vAlign w:val="center"/>
          </w:tcPr>
          <w:p w14:paraId="7E70C5E7">
            <w:pPr>
              <w:jc w:val="center"/>
              <w:rPr>
                <w:rFonts w:hint="eastAsia" w:ascii="宋体" w:cs="宋体"/>
                <w:color w:val="auto"/>
                <w:szCs w:val="21"/>
              </w:rPr>
            </w:pPr>
            <w:r>
              <w:rPr>
                <w:rFonts w:hint="eastAsia" w:ascii="宋体" w:cs="宋体"/>
                <w:color w:val="auto"/>
                <w:szCs w:val="21"/>
              </w:rPr>
              <w:t>序号</w:t>
            </w:r>
          </w:p>
        </w:tc>
        <w:tc>
          <w:tcPr>
            <w:tcW w:w="7232" w:type="dxa"/>
            <w:gridSpan w:val="2"/>
            <w:noWrap w:val="0"/>
            <w:vAlign w:val="center"/>
          </w:tcPr>
          <w:p w14:paraId="2002F02E">
            <w:pPr>
              <w:ind w:firstLine="420" w:firstLineChars="200"/>
              <w:jc w:val="center"/>
              <w:rPr>
                <w:rFonts w:hint="eastAsia" w:ascii="宋体" w:eastAsia="宋体" w:cs="宋体"/>
                <w:color w:val="auto"/>
                <w:szCs w:val="21"/>
                <w:lang w:eastAsia="zh-CN"/>
              </w:rPr>
            </w:pPr>
            <w:r>
              <w:rPr>
                <w:rFonts w:hint="eastAsia" w:ascii="宋体" w:cs="宋体"/>
                <w:color w:val="auto"/>
                <w:szCs w:val="21"/>
                <w:lang w:val="en-US" w:eastAsia="zh-CN"/>
              </w:rPr>
              <w:t>3</w:t>
            </w:r>
          </w:p>
        </w:tc>
      </w:tr>
      <w:tr w14:paraId="51003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754" w:type="dxa"/>
            <w:noWrap w:val="0"/>
            <w:vAlign w:val="center"/>
          </w:tcPr>
          <w:p w14:paraId="5A6F3CB4">
            <w:pPr>
              <w:jc w:val="center"/>
              <w:rPr>
                <w:rFonts w:hint="eastAsia" w:ascii="宋体" w:cs="宋体"/>
                <w:color w:val="auto"/>
                <w:szCs w:val="21"/>
              </w:rPr>
            </w:pPr>
            <w:r>
              <w:rPr>
                <w:rFonts w:hint="eastAsia" w:ascii="宋体" w:cs="宋体"/>
                <w:color w:val="auto"/>
                <w:szCs w:val="21"/>
              </w:rPr>
              <w:t>违法行为</w:t>
            </w:r>
          </w:p>
        </w:tc>
        <w:tc>
          <w:tcPr>
            <w:tcW w:w="7232" w:type="dxa"/>
            <w:gridSpan w:val="2"/>
            <w:noWrap w:val="0"/>
            <w:vAlign w:val="center"/>
          </w:tcPr>
          <w:p w14:paraId="2B87394B">
            <w:pPr>
              <w:ind w:firstLine="420" w:firstLineChars="200"/>
              <w:rPr>
                <w:rFonts w:hint="eastAsia" w:ascii="宋体" w:cs="宋体"/>
                <w:color w:val="auto"/>
                <w:szCs w:val="21"/>
              </w:rPr>
            </w:pPr>
            <w:r>
              <w:rPr>
                <w:rFonts w:ascii="宋体" w:hAnsi="宋体"/>
                <w:color w:val="auto"/>
              </w:rPr>
              <w:t>高考、中考期间在考点周围区域内进行产生环境噪声的活动的</w:t>
            </w:r>
          </w:p>
        </w:tc>
      </w:tr>
      <w:tr w14:paraId="10140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1754" w:type="dxa"/>
            <w:noWrap w:val="0"/>
            <w:vAlign w:val="center"/>
          </w:tcPr>
          <w:p w14:paraId="703A221F">
            <w:pPr>
              <w:jc w:val="center"/>
              <w:rPr>
                <w:rFonts w:hint="eastAsia" w:ascii="宋体" w:cs="宋体"/>
                <w:color w:val="auto"/>
                <w:szCs w:val="21"/>
              </w:rPr>
            </w:pPr>
            <w:r>
              <w:rPr>
                <w:rFonts w:hint="eastAsia" w:ascii="宋体" w:cs="宋体"/>
                <w:color w:val="auto"/>
                <w:szCs w:val="21"/>
              </w:rPr>
              <w:t>违反条款</w:t>
            </w:r>
          </w:p>
        </w:tc>
        <w:tc>
          <w:tcPr>
            <w:tcW w:w="7232" w:type="dxa"/>
            <w:gridSpan w:val="2"/>
            <w:noWrap w:val="0"/>
            <w:vAlign w:val="center"/>
          </w:tcPr>
          <w:p w14:paraId="3B233783">
            <w:pPr>
              <w:ind w:firstLine="420" w:firstLineChars="200"/>
              <w:rPr>
                <w:rFonts w:hint="eastAsia" w:ascii="宋体" w:cs="宋体"/>
                <w:color w:val="auto"/>
                <w:szCs w:val="21"/>
              </w:rPr>
            </w:pPr>
            <w:r>
              <w:rPr>
                <w:rFonts w:hint="eastAsia" w:ascii="宋体" w:cs="宋体"/>
                <w:color w:val="auto"/>
                <w:szCs w:val="21"/>
              </w:rPr>
              <w:t>《福建省生态环境保护条例》第四十九条第三款</w:t>
            </w:r>
            <w:r>
              <w:rPr>
                <w:rFonts w:hint="eastAsia" w:ascii="宋体" w:cs="宋体"/>
                <w:color w:val="auto"/>
                <w:szCs w:val="21"/>
                <w:lang w:val="en-US" w:eastAsia="zh-CN"/>
              </w:rPr>
              <w:t xml:space="preserve"> </w:t>
            </w:r>
            <w:r>
              <w:rPr>
                <w:rFonts w:ascii="宋体" w:hAnsi="宋体"/>
                <w:color w:val="auto"/>
              </w:rPr>
              <w:t>禁止在高考、中考期间考点周围区域内进行产生环境噪声的活动。</w:t>
            </w:r>
          </w:p>
        </w:tc>
      </w:tr>
      <w:tr w14:paraId="600F7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5" w:hRule="atLeast"/>
          <w:jc w:val="center"/>
        </w:trPr>
        <w:tc>
          <w:tcPr>
            <w:tcW w:w="1754" w:type="dxa"/>
            <w:noWrap w:val="0"/>
            <w:vAlign w:val="center"/>
          </w:tcPr>
          <w:p w14:paraId="7DD023A2">
            <w:pPr>
              <w:jc w:val="center"/>
              <w:rPr>
                <w:rFonts w:hint="eastAsia" w:ascii="宋体" w:cs="宋体"/>
                <w:color w:val="auto"/>
                <w:szCs w:val="21"/>
              </w:rPr>
            </w:pPr>
            <w:r>
              <w:rPr>
                <w:rFonts w:hint="eastAsia" w:ascii="宋体" w:cs="宋体"/>
                <w:color w:val="auto"/>
                <w:szCs w:val="21"/>
              </w:rPr>
              <w:t>处罚依据</w:t>
            </w:r>
          </w:p>
        </w:tc>
        <w:tc>
          <w:tcPr>
            <w:tcW w:w="7232" w:type="dxa"/>
            <w:gridSpan w:val="2"/>
            <w:noWrap w:val="0"/>
            <w:vAlign w:val="center"/>
          </w:tcPr>
          <w:p w14:paraId="617B4F29">
            <w:pPr>
              <w:ind w:firstLine="420" w:firstLineChars="200"/>
              <w:rPr>
                <w:rFonts w:hint="eastAsia" w:ascii="宋体" w:cs="宋体"/>
                <w:color w:val="auto"/>
                <w:szCs w:val="21"/>
              </w:rPr>
            </w:pPr>
            <w:r>
              <w:rPr>
                <w:rFonts w:hint="eastAsia" w:ascii="宋体" w:cs="宋体"/>
                <w:color w:val="auto"/>
                <w:szCs w:val="21"/>
              </w:rPr>
              <w:t>《福建省生态环境保护条例》第六十</w:t>
            </w:r>
            <w:r>
              <w:rPr>
                <w:rFonts w:hint="eastAsia" w:ascii="宋体" w:cs="宋体"/>
                <w:color w:val="auto"/>
                <w:szCs w:val="21"/>
                <w:lang w:val="en-US" w:eastAsia="zh-CN"/>
              </w:rPr>
              <w:t>五</w:t>
            </w:r>
            <w:r>
              <w:rPr>
                <w:rFonts w:hint="eastAsia" w:ascii="宋体" w:cs="宋体"/>
                <w:color w:val="auto"/>
                <w:szCs w:val="21"/>
              </w:rPr>
              <w:t>条第二款</w:t>
            </w:r>
            <w:r>
              <w:rPr>
                <w:rFonts w:hint="eastAsia" w:ascii="宋体" w:cs="宋体"/>
                <w:color w:val="auto"/>
                <w:szCs w:val="21"/>
                <w:lang w:val="en-US" w:eastAsia="zh-CN"/>
              </w:rPr>
              <w:t xml:space="preserve"> </w:t>
            </w:r>
            <w:r>
              <w:rPr>
                <w:rFonts w:ascii="宋体" w:hAnsi="宋体"/>
                <w:color w:val="auto"/>
              </w:rPr>
              <w:t>高考、中考期间在考点周围区域内进行产生环境噪声的活动的，由县级以上地方人民政府确定的监督管理部门责令立即改正，对单位处一万元以上五万元以下罚款，对个人处五百元以上二千元以下罚款。</w:t>
            </w:r>
          </w:p>
        </w:tc>
      </w:tr>
      <w:tr w14:paraId="39FC8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754" w:type="dxa"/>
            <w:noWrap w:val="0"/>
            <w:vAlign w:val="center"/>
          </w:tcPr>
          <w:p w14:paraId="257FD960">
            <w:pPr>
              <w:jc w:val="center"/>
              <w:rPr>
                <w:rFonts w:hint="eastAsia" w:ascii="宋体" w:cs="宋体"/>
                <w:color w:val="auto"/>
                <w:szCs w:val="21"/>
              </w:rPr>
            </w:pPr>
            <w:r>
              <w:rPr>
                <w:rFonts w:hint="eastAsia" w:ascii="宋体" w:cs="宋体"/>
                <w:color w:val="auto"/>
                <w:szCs w:val="21"/>
              </w:rPr>
              <w:t>裁量因素</w:t>
            </w:r>
          </w:p>
        </w:tc>
        <w:tc>
          <w:tcPr>
            <w:tcW w:w="5800" w:type="dxa"/>
            <w:noWrap w:val="0"/>
            <w:vAlign w:val="center"/>
          </w:tcPr>
          <w:p w14:paraId="0E671DFE">
            <w:pPr>
              <w:jc w:val="center"/>
              <w:rPr>
                <w:rFonts w:hint="eastAsia" w:ascii="宋体" w:cs="宋体"/>
                <w:color w:val="auto"/>
                <w:szCs w:val="21"/>
              </w:rPr>
            </w:pPr>
            <w:r>
              <w:rPr>
                <w:rFonts w:hint="eastAsia" w:ascii="宋体" w:cs="宋体"/>
                <w:color w:val="auto"/>
                <w:szCs w:val="21"/>
              </w:rPr>
              <w:t>裁量因子</w:t>
            </w:r>
          </w:p>
        </w:tc>
        <w:tc>
          <w:tcPr>
            <w:tcW w:w="1432" w:type="dxa"/>
            <w:noWrap w:val="0"/>
            <w:vAlign w:val="center"/>
          </w:tcPr>
          <w:p w14:paraId="0BD10E38">
            <w:pPr>
              <w:jc w:val="center"/>
              <w:rPr>
                <w:rFonts w:hint="eastAsia" w:ascii="宋体" w:cs="宋体"/>
                <w:color w:val="auto"/>
                <w:szCs w:val="21"/>
              </w:rPr>
            </w:pPr>
            <w:r>
              <w:rPr>
                <w:rFonts w:hint="eastAsia" w:ascii="宋体" w:cs="宋体"/>
                <w:color w:val="auto"/>
                <w:szCs w:val="21"/>
              </w:rPr>
              <w:t>裁量等级</w:t>
            </w:r>
          </w:p>
        </w:tc>
      </w:tr>
      <w:tr w14:paraId="3FABD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1754" w:type="dxa"/>
            <w:vMerge w:val="restart"/>
            <w:noWrap w:val="0"/>
            <w:vAlign w:val="center"/>
          </w:tcPr>
          <w:p w14:paraId="71008AA1">
            <w:pPr>
              <w:jc w:val="center"/>
              <w:rPr>
                <w:rFonts w:hint="eastAsia" w:ascii="宋体" w:cs="宋体"/>
                <w:color w:val="auto"/>
                <w:szCs w:val="21"/>
              </w:rPr>
            </w:pPr>
            <w:r>
              <w:rPr>
                <w:rFonts w:hint="eastAsia" w:ascii="宋体" w:cs="宋体"/>
                <w:color w:val="auto"/>
                <w:szCs w:val="21"/>
              </w:rPr>
              <w:t>超标情况（</w:t>
            </w:r>
            <w:r>
              <w:rPr>
                <w:rFonts w:hint="eastAsia"/>
                <w:color w:val="auto"/>
              </w:rPr>
              <w:t>超过所属环境执行的噪声标准</w:t>
            </w:r>
            <w:r>
              <w:rPr>
                <w:rFonts w:hint="eastAsia" w:ascii="宋体" w:cs="宋体"/>
                <w:color w:val="auto"/>
                <w:szCs w:val="21"/>
              </w:rPr>
              <w:t>）</w:t>
            </w:r>
          </w:p>
        </w:tc>
        <w:tc>
          <w:tcPr>
            <w:tcW w:w="5800" w:type="dxa"/>
            <w:noWrap w:val="0"/>
            <w:vAlign w:val="center"/>
          </w:tcPr>
          <w:p w14:paraId="2F88E73E">
            <w:pPr>
              <w:ind w:firstLine="420" w:firstLineChars="200"/>
              <w:jc w:val="both"/>
              <w:rPr>
                <w:rFonts w:hint="eastAsia" w:ascii="宋体" w:cs="宋体"/>
                <w:color w:val="auto"/>
                <w:szCs w:val="21"/>
                <w:highlight w:val="yellow"/>
              </w:rPr>
            </w:pPr>
            <w:r>
              <w:rPr>
                <w:rFonts w:hint="eastAsia"/>
                <w:color w:val="auto"/>
                <w:lang w:val="en-US" w:eastAsia="zh-CN"/>
              </w:rPr>
              <w:t>超标</w:t>
            </w:r>
            <w:r>
              <w:rPr>
                <w:rFonts w:hint="eastAsia"/>
                <w:color w:val="auto"/>
              </w:rPr>
              <w:t>不足</w:t>
            </w:r>
            <w:r>
              <w:rPr>
                <w:rFonts w:hint="eastAsia" w:ascii="仿宋_GB2312" w:hAnsi="仿宋_GB2312" w:eastAsia="仿宋_GB2312" w:cs="仿宋_GB2312"/>
                <w:color w:val="auto"/>
                <w:lang w:val="en-US" w:eastAsia="zh-CN"/>
              </w:rPr>
              <w:t>5</w:t>
            </w:r>
            <w:r>
              <w:rPr>
                <w:rFonts w:hint="eastAsia"/>
                <w:color w:val="auto"/>
                <w:lang w:val="en-US" w:eastAsia="zh-CN"/>
              </w:rPr>
              <w:t>分贝</w:t>
            </w:r>
          </w:p>
        </w:tc>
        <w:tc>
          <w:tcPr>
            <w:tcW w:w="1432" w:type="dxa"/>
            <w:noWrap w:val="0"/>
            <w:vAlign w:val="center"/>
          </w:tcPr>
          <w:p w14:paraId="752575B7">
            <w:pPr>
              <w:jc w:val="center"/>
              <w:rPr>
                <w:rFonts w:hint="eastAsia" w:ascii="宋体" w:cs="宋体"/>
                <w:color w:val="auto"/>
                <w:szCs w:val="21"/>
              </w:rPr>
            </w:pPr>
            <w:r>
              <w:rPr>
                <w:rFonts w:hint="eastAsia" w:ascii="宋体" w:cs="宋体"/>
                <w:color w:val="auto"/>
                <w:szCs w:val="21"/>
              </w:rPr>
              <w:t>1</w:t>
            </w:r>
          </w:p>
        </w:tc>
      </w:tr>
      <w:tr w14:paraId="3B8D4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1754" w:type="dxa"/>
            <w:vMerge w:val="continue"/>
            <w:noWrap w:val="0"/>
            <w:vAlign w:val="center"/>
          </w:tcPr>
          <w:p w14:paraId="53162144">
            <w:pPr>
              <w:rPr>
                <w:color w:val="auto"/>
              </w:rPr>
            </w:pPr>
          </w:p>
        </w:tc>
        <w:tc>
          <w:tcPr>
            <w:tcW w:w="5800" w:type="dxa"/>
            <w:noWrap w:val="0"/>
            <w:vAlign w:val="center"/>
          </w:tcPr>
          <w:p w14:paraId="22989156">
            <w:pPr>
              <w:ind w:firstLine="420" w:firstLineChars="200"/>
              <w:jc w:val="both"/>
              <w:rPr>
                <w:rFonts w:hint="eastAsia" w:ascii="宋体" w:cs="宋体"/>
                <w:color w:val="auto"/>
                <w:szCs w:val="21"/>
                <w:highlight w:val="none"/>
              </w:rPr>
            </w:pPr>
            <w:r>
              <w:rPr>
                <w:rFonts w:hint="eastAsia" w:ascii="宋体" w:cs="宋体"/>
                <w:color w:val="auto"/>
                <w:szCs w:val="21"/>
                <w:highlight w:val="none"/>
                <w:lang w:val="en-US" w:eastAsia="zh-CN"/>
              </w:rPr>
              <w:t>超标5分贝以上</w:t>
            </w:r>
            <w:r>
              <w:rPr>
                <w:rFonts w:hint="eastAsia" w:ascii="宋体" w:cs="宋体"/>
                <w:color w:val="auto"/>
                <w:szCs w:val="21"/>
                <w:highlight w:val="none"/>
              </w:rPr>
              <w:t>不足</w:t>
            </w:r>
            <w:r>
              <w:rPr>
                <w:rFonts w:hint="eastAsia" w:ascii="宋体" w:cs="宋体"/>
                <w:color w:val="auto"/>
                <w:szCs w:val="21"/>
                <w:highlight w:val="none"/>
                <w:lang w:val="en-US" w:eastAsia="zh-CN"/>
              </w:rPr>
              <w:t>10分贝</w:t>
            </w:r>
          </w:p>
        </w:tc>
        <w:tc>
          <w:tcPr>
            <w:tcW w:w="1432" w:type="dxa"/>
            <w:noWrap w:val="0"/>
            <w:vAlign w:val="center"/>
          </w:tcPr>
          <w:p w14:paraId="3B0623E3">
            <w:pPr>
              <w:jc w:val="center"/>
              <w:rPr>
                <w:rFonts w:hint="eastAsia" w:ascii="宋体" w:cs="宋体"/>
                <w:color w:val="auto"/>
                <w:szCs w:val="21"/>
              </w:rPr>
            </w:pPr>
            <w:r>
              <w:rPr>
                <w:rFonts w:hint="eastAsia" w:ascii="宋体" w:cs="宋体"/>
                <w:color w:val="auto"/>
                <w:szCs w:val="21"/>
              </w:rPr>
              <w:t>3</w:t>
            </w:r>
          </w:p>
        </w:tc>
      </w:tr>
      <w:tr w14:paraId="40292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1754" w:type="dxa"/>
            <w:vMerge w:val="continue"/>
            <w:noWrap w:val="0"/>
            <w:vAlign w:val="center"/>
          </w:tcPr>
          <w:p w14:paraId="247C5C0E">
            <w:pPr>
              <w:rPr>
                <w:color w:val="auto"/>
              </w:rPr>
            </w:pPr>
          </w:p>
        </w:tc>
        <w:tc>
          <w:tcPr>
            <w:tcW w:w="5800" w:type="dxa"/>
            <w:noWrap w:val="0"/>
            <w:vAlign w:val="center"/>
          </w:tcPr>
          <w:p w14:paraId="4C314E24">
            <w:pPr>
              <w:ind w:firstLine="420" w:firstLineChars="200"/>
              <w:jc w:val="both"/>
              <w:rPr>
                <w:rFonts w:hint="eastAsia" w:ascii="宋体" w:cs="宋体"/>
                <w:color w:val="auto"/>
                <w:szCs w:val="21"/>
                <w:highlight w:val="none"/>
              </w:rPr>
            </w:pPr>
            <w:r>
              <w:rPr>
                <w:rFonts w:hint="eastAsia" w:ascii="宋体" w:cs="宋体"/>
                <w:color w:val="auto"/>
                <w:szCs w:val="21"/>
                <w:highlight w:val="none"/>
                <w:lang w:val="en-US" w:eastAsia="zh-CN"/>
              </w:rPr>
              <w:t>超标10分贝以上</w:t>
            </w:r>
          </w:p>
        </w:tc>
        <w:tc>
          <w:tcPr>
            <w:tcW w:w="1432" w:type="dxa"/>
            <w:noWrap w:val="0"/>
            <w:vAlign w:val="center"/>
          </w:tcPr>
          <w:p w14:paraId="50EE0471">
            <w:pPr>
              <w:jc w:val="center"/>
              <w:rPr>
                <w:rFonts w:hint="eastAsia" w:ascii="宋体" w:cs="宋体"/>
                <w:color w:val="auto"/>
                <w:szCs w:val="21"/>
              </w:rPr>
            </w:pPr>
            <w:r>
              <w:rPr>
                <w:rFonts w:hint="eastAsia" w:ascii="宋体" w:cs="宋体"/>
                <w:color w:val="auto"/>
                <w:szCs w:val="21"/>
              </w:rPr>
              <w:t>5</w:t>
            </w:r>
          </w:p>
        </w:tc>
      </w:tr>
      <w:tr w14:paraId="1F516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754" w:type="dxa"/>
            <w:vMerge w:val="restart"/>
            <w:noWrap w:val="0"/>
            <w:vAlign w:val="center"/>
          </w:tcPr>
          <w:p w14:paraId="50DD70D4">
            <w:pPr>
              <w:jc w:val="center"/>
              <w:rPr>
                <w:rFonts w:hint="eastAsia" w:ascii="宋体" w:cs="宋体"/>
                <w:color w:val="auto"/>
                <w:szCs w:val="21"/>
              </w:rPr>
            </w:pPr>
            <w:r>
              <w:rPr>
                <w:rFonts w:hint="eastAsia" w:ascii="宋体" w:hAnsi="宋体" w:cs="宋体"/>
                <w:color w:val="auto"/>
                <w:sz w:val="21"/>
                <w:szCs w:val="21"/>
                <w:highlight w:val="none"/>
                <w:lang w:val="en-US" w:eastAsia="zh-CN"/>
              </w:rPr>
              <w:t>违法行为发生地</w:t>
            </w:r>
          </w:p>
        </w:tc>
        <w:tc>
          <w:tcPr>
            <w:tcW w:w="5800" w:type="dxa"/>
            <w:noWrap w:val="0"/>
            <w:vAlign w:val="center"/>
          </w:tcPr>
          <w:p w14:paraId="63D5684E">
            <w:pPr>
              <w:ind w:firstLine="420" w:firstLineChars="200"/>
              <w:jc w:val="both"/>
              <w:rPr>
                <w:rFonts w:hint="eastAsia" w:ascii="宋体" w:cs="宋体"/>
                <w:color w:val="auto"/>
                <w:szCs w:val="21"/>
              </w:rPr>
            </w:pPr>
            <w:r>
              <w:rPr>
                <w:rFonts w:hint="eastAsia" w:ascii="宋体" w:cs="宋体"/>
                <w:color w:val="auto"/>
                <w:szCs w:val="21"/>
              </w:rPr>
              <w:t>4类声环境功能区</w:t>
            </w:r>
          </w:p>
        </w:tc>
        <w:tc>
          <w:tcPr>
            <w:tcW w:w="1432" w:type="dxa"/>
            <w:noWrap w:val="0"/>
            <w:vAlign w:val="center"/>
          </w:tcPr>
          <w:p w14:paraId="02AB7AF4">
            <w:pPr>
              <w:jc w:val="center"/>
              <w:rPr>
                <w:rFonts w:hint="eastAsia" w:ascii="宋体" w:cs="宋体"/>
                <w:color w:val="auto"/>
                <w:szCs w:val="21"/>
              </w:rPr>
            </w:pPr>
            <w:r>
              <w:rPr>
                <w:rFonts w:hint="eastAsia" w:ascii="宋体" w:cs="宋体"/>
                <w:color w:val="auto"/>
                <w:szCs w:val="21"/>
              </w:rPr>
              <w:t>1</w:t>
            </w:r>
          </w:p>
        </w:tc>
      </w:tr>
      <w:tr w14:paraId="1B60D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754" w:type="dxa"/>
            <w:vMerge w:val="continue"/>
            <w:noWrap w:val="0"/>
            <w:vAlign w:val="center"/>
          </w:tcPr>
          <w:p w14:paraId="1A22679E">
            <w:pPr>
              <w:rPr>
                <w:color w:val="auto"/>
              </w:rPr>
            </w:pPr>
          </w:p>
        </w:tc>
        <w:tc>
          <w:tcPr>
            <w:tcW w:w="5800" w:type="dxa"/>
            <w:noWrap w:val="0"/>
            <w:vAlign w:val="center"/>
          </w:tcPr>
          <w:p w14:paraId="1499628C">
            <w:pPr>
              <w:ind w:firstLine="420" w:firstLineChars="200"/>
              <w:jc w:val="both"/>
              <w:rPr>
                <w:rFonts w:hint="eastAsia" w:ascii="宋体" w:cs="宋体"/>
                <w:color w:val="auto"/>
                <w:szCs w:val="21"/>
              </w:rPr>
            </w:pPr>
            <w:r>
              <w:rPr>
                <w:rFonts w:hint="eastAsia" w:ascii="宋体" w:cs="宋体"/>
                <w:color w:val="auto"/>
                <w:szCs w:val="21"/>
              </w:rPr>
              <w:t>3类声环境功能区</w:t>
            </w:r>
          </w:p>
        </w:tc>
        <w:tc>
          <w:tcPr>
            <w:tcW w:w="1432" w:type="dxa"/>
            <w:noWrap w:val="0"/>
            <w:vAlign w:val="center"/>
          </w:tcPr>
          <w:p w14:paraId="1BB55CA5">
            <w:pPr>
              <w:jc w:val="center"/>
              <w:rPr>
                <w:rFonts w:hint="eastAsia" w:ascii="宋体" w:cs="宋体"/>
                <w:color w:val="auto"/>
                <w:szCs w:val="21"/>
              </w:rPr>
            </w:pPr>
            <w:r>
              <w:rPr>
                <w:rFonts w:hint="eastAsia" w:ascii="宋体" w:cs="宋体"/>
                <w:color w:val="auto"/>
                <w:szCs w:val="21"/>
              </w:rPr>
              <w:t>2</w:t>
            </w:r>
          </w:p>
        </w:tc>
      </w:tr>
      <w:tr w14:paraId="01199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754" w:type="dxa"/>
            <w:vMerge w:val="continue"/>
            <w:noWrap w:val="0"/>
            <w:vAlign w:val="center"/>
          </w:tcPr>
          <w:p w14:paraId="6670D8D2">
            <w:pPr>
              <w:rPr>
                <w:color w:val="auto"/>
              </w:rPr>
            </w:pPr>
          </w:p>
        </w:tc>
        <w:tc>
          <w:tcPr>
            <w:tcW w:w="5800" w:type="dxa"/>
            <w:noWrap w:val="0"/>
            <w:vAlign w:val="center"/>
          </w:tcPr>
          <w:p w14:paraId="2E6CABF7">
            <w:pPr>
              <w:ind w:firstLine="420" w:firstLineChars="200"/>
              <w:jc w:val="both"/>
              <w:rPr>
                <w:rFonts w:hint="eastAsia" w:ascii="宋体" w:cs="宋体"/>
                <w:color w:val="auto"/>
                <w:szCs w:val="21"/>
              </w:rPr>
            </w:pPr>
            <w:r>
              <w:rPr>
                <w:rFonts w:hint="eastAsia" w:ascii="宋体" w:cs="宋体"/>
                <w:color w:val="auto"/>
                <w:szCs w:val="21"/>
              </w:rPr>
              <w:t>2类声环境功能区</w:t>
            </w:r>
          </w:p>
        </w:tc>
        <w:tc>
          <w:tcPr>
            <w:tcW w:w="1432" w:type="dxa"/>
            <w:noWrap w:val="0"/>
            <w:vAlign w:val="center"/>
          </w:tcPr>
          <w:p w14:paraId="460E9B7B">
            <w:pPr>
              <w:jc w:val="center"/>
              <w:rPr>
                <w:rFonts w:hint="eastAsia" w:ascii="宋体" w:cs="宋体"/>
                <w:color w:val="auto"/>
                <w:szCs w:val="21"/>
              </w:rPr>
            </w:pPr>
            <w:r>
              <w:rPr>
                <w:rFonts w:hint="eastAsia" w:ascii="宋体" w:cs="宋体"/>
                <w:color w:val="auto"/>
                <w:szCs w:val="21"/>
              </w:rPr>
              <w:t>3</w:t>
            </w:r>
          </w:p>
        </w:tc>
      </w:tr>
      <w:tr w14:paraId="50F65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754" w:type="dxa"/>
            <w:vMerge w:val="continue"/>
            <w:noWrap w:val="0"/>
            <w:vAlign w:val="center"/>
          </w:tcPr>
          <w:p w14:paraId="32D6E1DD">
            <w:pPr>
              <w:rPr>
                <w:color w:val="auto"/>
              </w:rPr>
            </w:pPr>
          </w:p>
        </w:tc>
        <w:tc>
          <w:tcPr>
            <w:tcW w:w="5800" w:type="dxa"/>
            <w:noWrap w:val="0"/>
            <w:vAlign w:val="center"/>
          </w:tcPr>
          <w:p w14:paraId="1FBF0543">
            <w:pPr>
              <w:ind w:firstLine="420" w:firstLineChars="200"/>
              <w:jc w:val="both"/>
              <w:rPr>
                <w:rFonts w:hint="eastAsia" w:ascii="宋体" w:cs="宋体"/>
                <w:color w:val="auto"/>
                <w:szCs w:val="21"/>
              </w:rPr>
            </w:pPr>
            <w:r>
              <w:rPr>
                <w:rFonts w:hint="eastAsia" w:ascii="宋体" w:cs="宋体"/>
                <w:color w:val="auto"/>
                <w:szCs w:val="21"/>
              </w:rPr>
              <w:t>1类声环境功能区</w:t>
            </w:r>
          </w:p>
        </w:tc>
        <w:tc>
          <w:tcPr>
            <w:tcW w:w="1432" w:type="dxa"/>
            <w:noWrap w:val="0"/>
            <w:vAlign w:val="center"/>
          </w:tcPr>
          <w:p w14:paraId="197D97E0">
            <w:pPr>
              <w:jc w:val="center"/>
              <w:rPr>
                <w:rFonts w:hint="eastAsia" w:ascii="宋体" w:cs="宋体"/>
                <w:color w:val="auto"/>
                <w:szCs w:val="21"/>
              </w:rPr>
            </w:pPr>
            <w:r>
              <w:rPr>
                <w:rFonts w:hint="eastAsia" w:ascii="宋体" w:cs="宋体"/>
                <w:color w:val="auto"/>
                <w:szCs w:val="21"/>
              </w:rPr>
              <w:t>4</w:t>
            </w:r>
          </w:p>
        </w:tc>
      </w:tr>
      <w:tr w14:paraId="5B555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754" w:type="dxa"/>
            <w:vMerge w:val="continue"/>
            <w:noWrap w:val="0"/>
            <w:vAlign w:val="center"/>
          </w:tcPr>
          <w:p w14:paraId="56057578">
            <w:pPr>
              <w:rPr>
                <w:color w:val="auto"/>
              </w:rPr>
            </w:pPr>
          </w:p>
        </w:tc>
        <w:tc>
          <w:tcPr>
            <w:tcW w:w="5800" w:type="dxa"/>
            <w:noWrap w:val="0"/>
            <w:vAlign w:val="center"/>
          </w:tcPr>
          <w:p w14:paraId="61D027E2">
            <w:pPr>
              <w:ind w:firstLine="420" w:firstLineChars="200"/>
              <w:jc w:val="both"/>
              <w:rPr>
                <w:rFonts w:hint="eastAsia" w:ascii="宋体" w:cs="宋体"/>
                <w:color w:val="auto"/>
                <w:szCs w:val="21"/>
              </w:rPr>
            </w:pPr>
            <w:r>
              <w:rPr>
                <w:rFonts w:hint="eastAsia" w:ascii="宋体" w:cs="宋体"/>
                <w:color w:val="auto"/>
                <w:szCs w:val="21"/>
              </w:rPr>
              <w:t>0类声环境功能区</w:t>
            </w:r>
          </w:p>
        </w:tc>
        <w:tc>
          <w:tcPr>
            <w:tcW w:w="1432" w:type="dxa"/>
            <w:noWrap w:val="0"/>
            <w:vAlign w:val="center"/>
          </w:tcPr>
          <w:p w14:paraId="20E152C8">
            <w:pPr>
              <w:jc w:val="center"/>
              <w:rPr>
                <w:rFonts w:hint="eastAsia" w:ascii="宋体" w:cs="宋体"/>
                <w:color w:val="auto"/>
                <w:szCs w:val="21"/>
              </w:rPr>
            </w:pPr>
            <w:r>
              <w:rPr>
                <w:rFonts w:hint="eastAsia" w:ascii="宋体" w:cs="宋体"/>
                <w:color w:val="auto"/>
                <w:szCs w:val="21"/>
              </w:rPr>
              <w:t>5</w:t>
            </w:r>
          </w:p>
        </w:tc>
      </w:tr>
      <w:tr w14:paraId="3D557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754" w:type="dxa"/>
            <w:vMerge w:val="restart"/>
            <w:noWrap w:val="0"/>
            <w:vAlign w:val="center"/>
          </w:tcPr>
          <w:p w14:paraId="5926CC56">
            <w:pPr>
              <w:jc w:val="center"/>
              <w:rPr>
                <w:rFonts w:hint="eastAsia" w:ascii="宋体" w:cs="宋体"/>
                <w:color w:val="auto"/>
                <w:szCs w:val="21"/>
              </w:rPr>
            </w:pPr>
            <w:r>
              <w:rPr>
                <w:rFonts w:hint="eastAsia" w:ascii="宋体" w:cs="宋体"/>
                <w:color w:val="auto"/>
                <w:szCs w:val="21"/>
              </w:rPr>
              <w:t>超标时段</w:t>
            </w:r>
          </w:p>
        </w:tc>
        <w:tc>
          <w:tcPr>
            <w:tcW w:w="5800" w:type="dxa"/>
            <w:noWrap w:val="0"/>
            <w:vAlign w:val="center"/>
          </w:tcPr>
          <w:p w14:paraId="4867FC4E">
            <w:pPr>
              <w:ind w:firstLine="420" w:firstLineChars="200"/>
              <w:jc w:val="both"/>
              <w:rPr>
                <w:rFonts w:hint="eastAsia" w:ascii="宋体" w:cs="宋体"/>
                <w:color w:val="auto"/>
                <w:szCs w:val="21"/>
              </w:rPr>
            </w:pPr>
            <w:r>
              <w:rPr>
                <w:rFonts w:hint="eastAsia" w:ascii="宋体" w:cs="宋体"/>
                <w:color w:val="auto"/>
                <w:szCs w:val="21"/>
              </w:rPr>
              <w:t>6:00-12:00或14:30-22:00</w:t>
            </w:r>
          </w:p>
        </w:tc>
        <w:tc>
          <w:tcPr>
            <w:tcW w:w="1432" w:type="dxa"/>
            <w:noWrap w:val="0"/>
            <w:vAlign w:val="center"/>
          </w:tcPr>
          <w:p w14:paraId="2D76593F">
            <w:pPr>
              <w:jc w:val="center"/>
              <w:rPr>
                <w:rFonts w:hint="eastAsia" w:ascii="宋体" w:cs="宋体"/>
                <w:color w:val="auto"/>
                <w:szCs w:val="21"/>
              </w:rPr>
            </w:pPr>
            <w:r>
              <w:rPr>
                <w:rFonts w:hint="eastAsia" w:ascii="宋体" w:cs="宋体"/>
                <w:color w:val="auto"/>
                <w:szCs w:val="21"/>
              </w:rPr>
              <w:t>1</w:t>
            </w:r>
          </w:p>
        </w:tc>
      </w:tr>
      <w:tr w14:paraId="40BC0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754" w:type="dxa"/>
            <w:vMerge w:val="continue"/>
            <w:noWrap w:val="0"/>
            <w:vAlign w:val="center"/>
          </w:tcPr>
          <w:p w14:paraId="172EBF4C">
            <w:pPr>
              <w:rPr>
                <w:color w:val="auto"/>
              </w:rPr>
            </w:pPr>
          </w:p>
        </w:tc>
        <w:tc>
          <w:tcPr>
            <w:tcW w:w="5800" w:type="dxa"/>
            <w:noWrap w:val="0"/>
            <w:vAlign w:val="center"/>
          </w:tcPr>
          <w:p w14:paraId="002FFF66">
            <w:pPr>
              <w:ind w:firstLine="420" w:firstLineChars="200"/>
              <w:jc w:val="both"/>
              <w:rPr>
                <w:rFonts w:hint="eastAsia" w:ascii="宋体" w:cs="宋体"/>
                <w:color w:val="auto"/>
                <w:szCs w:val="21"/>
              </w:rPr>
            </w:pPr>
            <w:r>
              <w:rPr>
                <w:rFonts w:hint="eastAsia" w:ascii="宋体" w:cs="宋体"/>
                <w:color w:val="auto"/>
                <w:szCs w:val="21"/>
              </w:rPr>
              <w:t>12</w:t>
            </w:r>
            <w:r>
              <w:rPr>
                <w:rFonts w:hint="eastAsia" w:ascii="宋体" w:cs="宋体"/>
                <w:color w:val="auto"/>
                <w:szCs w:val="21"/>
                <w:lang w:eastAsia="zh-CN"/>
              </w:rPr>
              <w:t>:</w:t>
            </w:r>
            <w:r>
              <w:rPr>
                <w:rFonts w:hint="eastAsia" w:ascii="宋体" w:cs="宋体"/>
                <w:color w:val="auto"/>
                <w:szCs w:val="21"/>
              </w:rPr>
              <w:t>00-14:30或22:00－次日6:00</w:t>
            </w:r>
          </w:p>
        </w:tc>
        <w:tc>
          <w:tcPr>
            <w:tcW w:w="1432" w:type="dxa"/>
            <w:noWrap w:val="0"/>
            <w:vAlign w:val="center"/>
          </w:tcPr>
          <w:p w14:paraId="4629E8AB">
            <w:pPr>
              <w:jc w:val="center"/>
              <w:rPr>
                <w:rFonts w:hint="eastAsia" w:ascii="宋体" w:cs="宋体"/>
                <w:color w:val="auto"/>
                <w:szCs w:val="21"/>
              </w:rPr>
            </w:pPr>
            <w:r>
              <w:rPr>
                <w:rFonts w:hint="eastAsia" w:ascii="宋体" w:cs="宋体"/>
                <w:color w:val="auto"/>
                <w:szCs w:val="21"/>
              </w:rPr>
              <w:t>5</w:t>
            </w:r>
          </w:p>
        </w:tc>
      </w:tr>
    </w:tbl>
    <w:p w14:paraId="02E869AB">
      <w:pPr>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br w:type="page"/>
      </w:r>
    </w:p>
    <w:p w14:paraId="5C3F0DA8">
      <w:pPr>
        <w:rPr>
          <w:rFonts w:hint="default" w:ascii="仿宋_GB2312" w:hAnsi="仿宋_GB2312" w:eastAsia="仿宋_GB2312" w:cs="仿宋_GB2312"/>
          <w:sz w:val="32"/>
          <w:szCs w:val="32"/>
          <w:highlight w:val="none"/>
          <w:lang w:val="en-US" w:eastAsia="zh-CN"/>
        </w:rPr>
      </w:pPr>
    </w:p>
    <w:p w14:paraId="511DD4DE">
      <w:pPr>
        <w:pStyle w:val="3"/>
        <w:keepNext/>
        <w:keepLines/>
        <w:pageBreakBefore w:val="0"/>
        <w:widowControl w:val="0"/>
        <w:kinsoku/>
        <w:wordWrap/>
        <w:overflowPunct/>
        <w:topLinePunct w:val="0"/>
        <w:autoSpaceDE/>
        <w:autoSpaceDN/>
        <w:bidi w:val="0"/>
        <w:adjustRightInd w:val="0"/>
        <w:snapToGrid w:val="0"/>
        <w:spacing w:after="0" w:afterLines="0" w:line="360" w:lineRule="auto"/>
        <w:textAlignment w:val="auto"/>
        <w:rPr>
          <w:rFonts w:hint="eastAsia" w:ascii="楷体_GB2312" w:hAnsi="楷体_GB2312" w:eastAsia="楷体_GB2312" w:cs="楷体_GB2312"/>
          <w:sz w:val="28"/>
          <w:szCs w:val="22"/>
          <w:highlight w:val="none"/>
          <w:lang w:val="en-US" w:eastAsia="zh-CN"/>
        </w:rPr>
      </w:pPr>
      <w:r>
        <w:rPr>
          <w:rFonts w:hint="eastAsia" w:ascii="楷体_GB2312" w:hAnsi="楷体_GB2312" w:eastAsia="楷体_GB2312" w:cs="楷体_GB2312"/>
          <w:color w:val="auto"/>
          <w:sz w:val="28"/>
          <w:szCs w:val="28"/>
          <w:highlight w:val="none"/>
          <w:lang w:val="en-US" w:eastAsia="zh-CN"/>
        </w:rPr>
        <w:t>（十）放射性污染防治类</w:t>
      </w:r>
    </w:p>
    <w:p w14:paraId="68C90DE3">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p>
    <w:p w14:paraId="63487C7B">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1.</w:t>
      </w:r>
      <w:r>
        <w:rPr>
          <w:rFonts w:hint="eastAsia" w:ascii="宋体" w:hAnsi="Times New Roman" w:cs="Times New Roman"/>
          <w:color w:val="auto"/>
          <w:kern w:val="0"/>
          <w:sz w:val="24"/>
        </w:rPr>
        <w:t>向环境排放禁止排放的放射性废气、废液，倾倒放射性固体废物的</w:t>
      </w:r>
      <w:r>
        <w:rPr>
          <w:rFonts w:hint="eastAsia" w:ascii="宋体" w:hAnsi="Times New Roman" w:cs="Times New Roman"/>
          <w:color w:val="auto"/>
          <w:kern w:val="0"/>
          <w:sz w:val="24"/>
          <w:lang w:eastAsia="zh-CN"/>
        </w:rPr>
        <w:t>；</w:t>
      </w:r>
    </w:p>
    <w:p w14:paraId="0B681331">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2.在内河水域和海上处置放射性固体废物、放射性物质的；</w:t>
      </w:r>
    </w:p>
    <w:p w14:paraId="2B36F43D">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3.不按照规定设置放射性标识、标志、中文警示说明的；</w:t>
      </w:r>
    </w:p>
    <w:p w14:paraId="1B8019E6">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4.不按照规定建立健全安全保卫制度的；</w:t>
      </w:r>
    </w:p>
    <w:p w14:paraId="582F11BD">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5.不按照规定单独存放放射性同位素的；</w:t>
      </w:r>
    </w:p>
    <w:p w14:paraId="21F87938">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6.不按照规定采取安全和防护措施的；</w:t>
      </w:r>
    </w:p>
    <w:p w14:paraId="5C74C9A6">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7.未对其工作人员进行放射性安全教育、培训和采取有效的防护安全措施的；</w:t>
      </w:r>
    </w:p>
    <w:p w14:paraId="706E0663">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8.违反规定生产、销售、使用、转让、进出口、贮存放射性同位素和射线装置以及装备有放射性同位素的仪表的；</w:t>
      </w:r>
    </w:p>
    <w:p w14:paraId="503888B4">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9.生产放射源的单位和其他生产经营者未按照规定回收和利用废旧放射源的；</w:t>
      </w:r>
    </w:p>
    <w:p w14:paraId="4B8254F1">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10.使用放射源的单位和其他生产经营者未按照规定交回、送交废旧放射源的；</w:t>
      </w:r>
    </w:p>
    <w:p w14:paraId="7E05A332">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11.使用对人体健康和生态环境潜在危害程度较高的放射源的场所和生产放射性同位素的场所，以及终结运行后产生放射性污染的射线装置，未依法实施退役的；</w:t>
      </w:r>
    </w:p>
    <w:p w14:paraId="35FF9047">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12.生产、使用放射性同位素和射线装置的单位和其他生产经营者未按照规定对产生的放射性废物进行收集、包装、贮存的；</w:t>
      </w:r>
    </w:p>
    <w:p w14:paraId="23709D9E">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13.未建造尾矿库等设施，或者建造尾矿库等设施不符合放射性污染防治的要求，贮存、处置铀（钍）矿和伴生放射性矿的尾矿等放射性固体废物的；</w:t>
      </w:r>
    </w:p>
    <w:p w14:paraId="09E81E2D">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14.不按照规定处理或者贮存不得向环境排放的放射性废液的；</w:t>
      </w:r>
    </w:p>
    <w:p w14:paraId="0470C3B4">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15.不按照规定的方式排放放射性废液的；</w:t>
      </w:r>
    </w:p>
    <w:p w14:paraId="6E71566A">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16.将放射性废物提供或者委托给无许可证的单位或者个人贮存、处理和处置的；</w:t>
      </w:r>
    </w:p>
    <w:p w14:paraId="3BDA03A4">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17.放射性固体废物产生者，不按照国家规定对其产生的放射性固体废物进行处理和处置的；</w:t>
      </w:r>
    </w:p>
    <w:p w14:paraId="0C795DF4">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18.未经许可擅自从事贮存、处理和处置放射性废物活动的；</w:t>
      </w:r>
    </w:p>
    <w:p w14:paraId="25768C1E">
      <w:pPr>
        <w:widowControl w:val="0"/>
        <w:adjustRightInd w:val="0"/>
        <w:snapToGrid w:val="0"/>
        <w:spacing w:line="360" w:lineRule="auto"/>
        <w:ind w:firstLine="480" w:firstLineChars="200"/>
        <w:jc w:val="both"/>
        <w:rPr>
          <w:rFonts w:hint="eastAsia" w:ascii="仿宋_GB2312" w:hAnsi="仿宋_GB2312" w:eastAsia="仿宋_GB2312" w:cs="仿宋_GB2312"/>
          <w:sz w:val="32"/>
          <w:szCs w:val="32"/>
          <w:highlight w:val="none"/>
          <w:lang w:val="en-US" w:eastAsia="zh-CN"/>
        </w:rPr>
      </w:pPr>
      <w:r>
        <w:rPr>
          <w:rFonts w:hint="eastAsia" w:ascii="宋体" w:hAnsi="Times New Roman" w:cs="Times New Roman"/>
          <w:color w:val="auto"/>
          <w:kern w:val="0"/>
          <w:sz w:val="24"/>
          <w:lang w:val="en-US" w:eastAsia="zh-CN"/>
        </w:rPr>
        <w:t>19.未按照许可证规定从事贮存、处理和处置放射性废物活动的；</w:t>
      </w:r>
      <w:r>
        <w:rPr>
          <w:rFonts w:hint="eastAsia" w:ascii="仿宋_GB2312" w:hAnsi="仿宋_GB2312" w:eastAsia="仿宋_GB2312" w:cs="仿宋_GB2312"/>
          <w:sz w:val="32"/>
          <w:szCs w:val="32"/>
          <w:highlight w:val="none"/>
          <w:lang w:val="en-US" w:eastAsia="zh-CN"/>
        </w:rPr>
        <w:br w:type="page"/>
      </w:r>
    </w:p>
    <w:tbl>
      <w:tblPr>
        <w:tblStyle w:val="8"/>
        <w:tblW w:w="509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42"/>
        <w:gridCol w:w="5906"/>
        <w:gridCol w:w="1365"/>
      </w:tblGrid>
      <w:tr w14:paraId="6A920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8679" w:type="dxa"/>
            <w:gridSpan w:val="3"/>
            <w:noWrap w:val="0"/>
            <w:vAlign w:val="top"/>
          </w:tcPr>
          <w:p w14:paraId="7B9554D8">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（十）放射性污染防治类</w:t>
            </w:r>
          </w:p>
        </w:tc>
      </w:tr>
      <w:tr w14:paraId="10881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1754" w:type="dxa"/>
            <w:noWrap w:val="0"/>
            <w:vAlign w:val="center"/>
          </w:tcPr>
          <w:p w14:paraId="0E41125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925" w:type="dxa"/>
            <w:gridSpan w:val="2"/>
            <w:noWrap w:val="0"/>
            <w:vAlign w:val="top"/>
          </w:tcPr>
          <w:p w14:paraId="07C8CFF8">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r>
      <w:tr w14:paraId="46FBB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1754" w:type="dxa"/>
            <w:noWrap w:val="0"/>
            <w:vAlign w:val="center"/>
          </w:tcPr>
          <w:p w14:paraId="1C0717F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6925" w:type="dxa"/>
            <w:gridSpan w:val="2"/>
            <w:noWrap w:val="0"/>
            <w:vAlign w:val="top"/>
          </w:tcPr>
          <w:p w14:paraId="24C7D32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向环境排放禁止排放的放射性废气、废液，倾倒放射性固体废物的</w:t>
            </w:r>
          </w:p>
        </w:tc>
      </w:tr>
      <w:tr w14:paraId="548FE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jc w:val="center"/>
        </w:trPr>
        <w:tc>
          <w:tcPr>
            <w:tcW w:w="1754" w:type="dxa"/>
            <w:noWrap w:val="0"/>
            <w:vAlign w:val="center"/>
          </w:tcPr>
          <w:p w14:paraId="42ED690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6925" w:type="dxa"/>
            <w:gridSpan w:val="2"/>
            <w:noWrap w:val="0"/>
            <w:vAlign w:val="center"/>
          </w:tcPr>
          <w:p w14:paraId="32BC0511">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《中华人民共和国生态环境法典》第二百七十九条第二款</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 禁止向水体排放、倾倒放射性固体废物或者含有高放射性和中放射性物质的废水。向水体排放含低放射性物质的废水，应当符合国家有关放射性污染防治的规定和标准。</w:t>
            </w:r>
          </w:p>
          <w:p w14:paraId="75D67886">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《中华人民共和国生态环境法典》第六百三十六条</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 排放放射性废气、废液，应当符合国家放射性污染防治的规定和标准。</w:t>
            </w:r>
          </w:p>
        </w:tc>
      </w:tr>
      <w:tr w14:paraId="765BC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754" w:type="dxa"/>
            <w:noWrap w:val="0"/>
            <w:vAlign w:val="center"/>
          </w:tcPr>
          <w:p w14:paraId="3328F8D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6925" w:type="dxa"/>
            <w:gridSpan w:val="2"/>
            <w:noWrap w:val="0"/>
            <w:vAlign w:val="center"/>
          </w:tcPr>
          <w:p w14:paraId="061A9EEE">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《中华人民共和国生态环境法典》第一千一百九十四条  违反本法规定，向环境排放禁止排放的放射性废气、废液，倾倒放射性固体废物的，由生态环境主管部门责令停止违法行为，限期采取治理措施消除污染，处二十万元以上二百万元以下的罚款；逾期不采取治理措施的，指定有治理能力的单位代为治理，所需费用由违法者承担</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w:t>
            </w:r>
          </w:p>
        </w:tc>
      </w:tr>
      <w:tr w14:paraId="3E571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1754" w:type="dxa"/>
            <w:noWrap w:val="0"/>
            <w:vAlign w:val="center"/>
          </w:tcPr>
          <w:p w14:paraId="333AA43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625" w:type="dxa"/>
            <w:noWrap w:val="0"/>
            <w:vAlign w:val="top"/>
          </w:tcPr>
          <w:p w14:paraId="40C52EF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300" w:type="dxa"/>
            <w:noWrap w:val="0"/>
            <w:vAlign w:val="top"/>
          </w:tcPr>
          <w:p w14:paraId="618B11E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2F9E2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1754" w:type="dxa"/>
            <w:vMerge w:val="restart"/>
            <w:noWrap w:val="0"/>
            <w:vAlign w:val="center"/>
          </w:tcPr>
          <w:p w14:paraId="7725721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放射性废物</w:t>
            </w:r>
          </w:p>
          <w:p w14:paraId="5E69C4F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类型</w:t>
            </w:r>
          </w:p>
        </w:tc>
        <w:tc>
          <w:tcPr>
            <w:tcW w:w="5625" w:type="dxa"/>
            <w:noWrap w:val="0"/>
            <w:vAlign w:val="top"/>
          </w:tcPr>
          <w:p w14:paraId="2DA0CBF2">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极短寿命放射性废物</w:t>
            </w:r>
          </w:p>
        </w:tc>
        <w:tc>
          <w:tcPr>
            <w:tcW w:w="1300" w:type="dxa"/>
            <w:noWrap w:val="0"/>
            <w:vAlign w:val="center"/>
          </w:tcPr>
          <w:p w14:paraId="3F830E5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6A77E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1754" w:type="dxa"/>
            <w:vMerge w:val="continue"/>
            <w:noWrap w:val="0"/>
            <w:vAlign w:val="center"/>
          </w:tcPr>
          <w:p w14:paraId="4546329D">
            <w:pPr>
              <w:rPr>
                <w:rFonts w:hint="eastAsia" w:ascii="宋体" w:hAnsi="宋体" w:eastAsia="宋体" w:cs="宋体"/>
                <w:color w:val="auto"/>
                <w:sz w:val="21"/>
                <w:szCs w:val="21"/>
                <w:highlight w:val="none"/>
              </w:rPr>
            </w:pPr>
          </w:p>
        </w:tc>
        <w:tc>
          <w:tcPr>
            <w:tcW w:w="5625" w:type="dxa"/>
            <w:noWrap w:val="0"/>
            <w:vAlign w:val="top"/>
          </w:tcPr>
          <w:p w14:paraId="6AC2E433">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极低水平放射性废物</w:t>
            </w:r>
          </w:p>
        </w:tc>
        <w:tc>
          <w:tcPr>
            <w:tcW w:w="1300" w:type="dxa"/>
            <w:noWrap w:val="0"/>
            <w:vAlign w:val="center"/>
          </w:tcPr>
          <w:p w14:paraId="66EB236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r>
      <w:tr w14:paraId="549D1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1754" w:type="dxa"/>
            <w:vMerge w:val="continue"/>
            <w:noWrap w:val="0"/>
            <w:vAlign w:val="center"/>
          </w:tcPr>
          <w:p w14:paraId="1543D952">
            <w:pPr>
              <w:rPr>
                <w:rFonts w:hint="eastAsia" w:ascii="宋体" w:hAnsi="宋体" w:eastAsia="宋体" w:cs="宋体"/>
                <w:color w:val="auto"/>
                <w:sz w:val="21"/>
                <w:szCs w:val="21"/>
                <w:highlight w:val="none"/>
              </w:rPr>
            </w:pPr>
          </w:p>
        </w:tc>
        <w:tc>
          <w:tcPr>
            <w:tcW w:w="5625" w:type="dxa"/>
            <w:noWrap w:val="0"/>
            <w:vAlign w:val="top"/>
          </w:tcPr>
          <w:p w14:paraId="247074D3">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低水平放射性废物</w:t>
            </w:r>
          </w:p>
        </w:tc>
        <w:tc>
          <w:tcPr>
            <w:tcW w:w="1300" w:type="dxa"/>
            <w:noWrap w:val="0"/>
            <w:vAlign w:val="center"/>
          </w:tcPr>
          <w:p w14:paraId="6BB2257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6C7D0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1754" w:type="dxa"/>
            <w:vMerge w:val="continue"/>
            <w:noWrap w:val="0"/>
            <w:vAlign w:val="center"/>
          </w:tcPr>
          <w:p w14:paraId="3E08F095">
            <w:pPr>
              <w:rPr>
                <w:rFonts w:hint="eastAsia" w:ascii="宋体" w:hAnsi="宋体" w:eastAsia="宋体" w:cs="宋体"/>
                <w:color w:val="auto"/>
                <w:sz w:val="21"/>
                <w:szCs w:val="21"/>
                <w:highlight w:val="none"/>
              </w:rPr>
            </w:pPr>
          </w:p>
        </w:tc>
        <w:tc>
          <w:tcPr>
            <w:tcW w:w="5625" w:type="dxa"/>
            <w:noWrap w:val="0"/>
            <w:vAlign w:val="top"/>
          </w:tcPr>
          <w:p w14:paraId="3AD9F3A4">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中水平放射性废物</w:t>
            </w:r>
          </w:p>
        </w:tc>
        <w:tc>
          <w:tcPr>
            <w:tcW w:w="1300" w:type="dxa"/>
            <w:noWrap w:val="0"/>
            <w:vAlign w:val="center"/>
          </w:tcPr>
          <w:p w14:paraId="062414D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r>
      <w:tr w14:paraId="64443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1754" w:type="dxa"/>
            <w:vMerge w:val="continue"/>
            <w:noWrap w:val="0"/>
            <w:vAlign w:val="center"/>
          </w:tcPr>
          <w:p w14:paraId="590694A2">
            <w:pPr>
              <w:rPr>
                <w:rFonts w:hint="eastAsia" w:ascii="宋体" w:hAnsi="宋体" w:eastAsia="宋体" w:cs="宋体"/>
                <w:color w:val="auto"/>
                <w:sz w:val="21"/>
                <w:szCs w:val="21"/>
                <w:highlight w:val="none"/>
              </w:rPr>
            </w:pPr>
          </w:p>
        </w:tc>
        <w:tc>
          <w:tcPr>
            <w:tcW w:w="5625" w:type="dxa"/>
            <w:noWrap w:val="0"/>
            <w:vAlign w:val="top"/>
          </w:tcPr>
          <w:p w14:paraId="6EAF72FF">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高水平放射性废物</w:t>
            </w:r>
          </w:p>
        </w:tc>
        <w:tc>
          <w:tcPr>
            <w:tcW w:w="1300" w:type="dxa"/>
            <w:noWrap w:val="0"/>
            <w:vAlign w:val="center"/>
          </w:tcPr>
          <w:p w14:paraId="224BA59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29977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1754" w:type="dxa"/>
            <w:vMerge w:val="restart"/>
            <w:noWrap w:val="0"/>
            <w:vAlign w:val="center"/>
          </w:tcPr>
          <w:p w14:paraId="3FD6456F">
            <w:pPr>
              <w:jc w:val="center"/>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排放去向或区域</w:t>
            </w:r>
          </w:p>
        </w:tc>
        <w:tc>
          <w:tcPr>
            <w:tcW w:w="5625" w:type="dxa"/>
            <w:noWrap w:val="0"/>
            <w:vAlign w:val="top"/>
          </w:tcPr>
          <w:p w14:paraId="533F0EA8">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二类环境空气功能区</w:t>
            </w:r>
            <w:r>
              <w:rPr>
                <w:rFonts w:hint="eastAsia" w:ascii="宋体" w:hAnsi="宋体" w:eastAsia="宋体" w:cs="宋体"/>
                <w:color w:val="auto"/>
                <w:sz w:val="21"/>
                <w:szCs w:val="21"/>
                <w:highlight w:val="none"/>
              </w:rPr>
              <w:t>（工业区和农村地区）</w:t>
            </w:r>
            <w:r>
              <w:rPr>
                <w:rFonts w:hint="eastAsia" w:ascii="宋体" w:hAnsi="宋体" w:cs="宋体"/>
                <w:color w:val="auto"/>
                <w:sz w:val="21"/>
                <w:szCs w:val="21"/>
                <w:highlight w:val="none"/>
                <w:lang w:val="en-US" w:eastAsia="zh-CN"/>
              </w:rPr>
              <w:t>/V类水体（或者污水集中处理设施）/</w:t>
            </w:r>
            <w:r>
              <w:rPr>
                <w:rFonts w:hint="eastAsia" w:ascii="宋体" w:hAnsi="宋体" w:eastAsia="宋体" w:cs="宋体"/>
                <w:color w:val="auto"/>
                <w:sz w:val="21"/>
                <w:szCs w:val="21"/>
                <w:highlight w:val="none"/>
                <w:lang w:val="en-US" w:eastAsia="zh-CN"/>
              </w:rPr>
              <w:t>第四类海水水质的区域</w:t>
            </w:r>
          </w:p>
        </w:tc>
        <w:tc>
          <w:tcPr>
            <w:tcW w:w="1300" w:type="dxa"/>
            <w:noWrap w:val="0"/>
            <w:vAlign w:val="center"/>
          </w:tcPr>
          <w:p w14:paraId="5B78B87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72C00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1754" w:type="dxa"/>
            <w:vMerge w:val="continue"/>
            <w:noWrap w:val="0"/>
            <w:vAlign w:val="center"/>
          </w:tcPr>
          <w:p w14:paraId="54FFB4B3">
            <w:pPr>
              <w:rPr>
                <w:rFonts w:hint="eastAsia" w:ascii="宋体" w:hAnsi="宋体" w:eastAsia="宋体" w:cs="宋体"/>
                <w:color w:val="auto"/>
                <w:sz w:val="21"/>
                <w:szCs w:val="21"/>
                <w:highlight w:val="none"/>
              </w:rPr>
            </w:pPr>
          </w:p>
        </w:tc>
        <w:tc>
          <w:tcPr>
            <w:tcW w:w="5625" w:type="dxa"/>
            <w:noWrap w:val="0"/>
            <w:vAlign w:val="top"/>
          </w:tcPr>
          <w:p w14:paraId="7538F677">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Ⅳ类</w:t>
            </w:r>
            <w:r>
              <w:rPr>
                <w:rFonts w:hint="eastAsia" w:ascii="宋体" w:hAnsi="宋体" w:eastAsia="宋体" w:cs="宋体"/>
                <w:color w:val="auto"/>
                <w:sz w:val="21"/>
                <w:szCs w:val="21"/>
                <w:highlight w:val="none"/>
              </w:rPr>
              <w:t>水体</w:t>
            </w:r>
            <w:r>
              <w:rPr>
                <w:rFonts w:hint="eastAsia" w:ascii="宋体" w:hAnsi="宋体" w:eastAsia="宋体" w:cs="宋体"/>
                <w:color w:val="auto"/>
                <w:sz w:val="21"/>
                <w:szCs w:val="21"/>
                <w:highlight w:val="none"/>
                <w:lang w:val="en-US" w:eastAsia="zh-CN"/>
              </w:rPr>
              <w:t>/第三类海水水质的区域</w:t>
            </w:r>
          </w:p>
        </w:tc>
        <w:tc>
          <w:tcPr>
            <w:tcW w:w="1300" w:type="dxa"/>
            <w:noWrap w:val="0"/>
            <w:vAlign w:val="center"/>
          </w:tcPr>
          <w:p w14:paraId="225AAA4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r>
      <w:tr w14:paraId="26DDB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jc w:val="center"/>
        </w:trPr>
        <w:tc>
          <w:tcPr>
            <w:tcW w:w="1754" w:type="dxa"/>
            <w:vMerge w:val="continue"/>
            <w:noWrap w:val="0"/>
            <w:vAlign w:val="center"/>
          </w:tcPr>
          <w:p w14:paraId="7B8D820B">
            <w:pPr>
              <w:rPr>
                <w:rFonts w:hint="eastAsia" w:ascii="宋体" w:hAnsi="宋体" w:eastAsia="宋体" w:cs="宋体"/>
                <w:color w:val="auto"/>
                <w:sz w:val="21"/>
                <w:szCs w:val="21"/>
                <w:highlight w:val="none"/>
              </w:rPr>
            </w:pPr>
          </w:p>
        </w:tc>
        <w:tc>
          <w:tcPr>
            <w:tcW w:w="5625" w:type="dxa"/>
            <w:noWrap w:val="0"/>
            <w:vAlign w:val="top"/>
          </w:tcPr>
          <w:p w14:paraId="2E107A94">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二类环境空气功能区</w:t>
            </w:r>
            <w:r>
              <w:rPr>
                <w:rFonts w:hint="eastAsia" w:ascii="宋体" w:hAnsi="宋体" w:eastAsia="宋体" w:cs="宋体"/>
                <w:color w:val="auto"/>
                <w:sz w:val="21"/>
                <w:szCs w:val="21"/>
                <w:highlight w:val="none"/>
                <w:lang w:eastAsia="zh-CN"/>
              </w:rPr>
              <w:t>（居民区、商业交通居民混合区、文化区）/</w:t>
            </w:r>
            <w:r>
              <w:rPr>
                <w:rFonts w:hint="eastAsia" w:ascii="宋体" w:hAnsi="宋体" w:cs="宋体"/>
                <w:color w:val="auto"/>
                <w:sz w:val="21"/>
                <w:szCs w:val="21"/>
                <w:highlight w:val="none"/>
                <w:lang w:eastAsia="zh-CN"/>
              </w:rPr>
              <w:t>Ⅲ类</w:t>
            </w:r>
            <w:r>
              <w:rPr>
                <w:rFonts w:hint="eastAsia" w:ascii="宋体" w:hAnsi="宋体" w:eastAsia="宋体" w:cs="宋体"/>
                <w:color w:val="auto"/>
                <w:sz w:val="21"/>
                <w:szCs w:val="21"/>
                <w:highlight w:val="none"/>
                <w:lang w:eastAsia="zh-CN"/>
              </w:rPr>
              <w:t>水体/饮用水水源准保护区/自然保护地外的生态保护红线区域</w:t>
            </w:r>
          </w:p>
        </w:tc>
        <w:tc>
          <w:tcPr>
            <w:tcW w:w="1300" w:type="dxa"/>
            <w:noWrap w:val="0"/>
            <w:vAlign w:val="center"/>
          </w:tcPr>
          <w:p w14:paraId="217743B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45C9F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1754" w:type="dxa"/>
            <w:vMerge w:val="continue"/>
            <w:noWrap w:val="0"/>
            <w:vAlign w:val="center"/>
          </w:tcPr>
          <w:p w14:paraId="7CFEA674">
            <w:pPr>
              <w:rPr>
                <w:rFonts w:hint="eastAsia" w:ascii="宋体" w:hAnsi="宋体" w:eastAsia="宋体" w:cs="宋体"/>
                <w:color w:val="auto"/>
                <w:sz w:val="21"/>
                <w:szCs w:val="21"/>
                <w:highlight w:val="none"/>
              </w:rPr>
            </w:pPr>
          </w:p>
        </w:tc>
        <w:tc>
          <w:tcPr>
            <w:tcW w:w="5625" w:type="dxa"/>
            <w:noWrap w:val="0"/>
            <w:vAlign w:val="top"/>
          </w:tcPr>
          <w:p w14:paraId="711D70FE">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Ⅱ类</w:t>
            </w:r>
            <w:r>
              <w:rPr>
                <w:rFonts w:hint="eastAsia" w:ascii="宋体" w:hAnsi="宋体" w:eastAsia="宋体" w:cs="宋体"/>
                <w:color w:val="auto"/>
                <w:sz w:val="21"/>
                <w:szCs w:val="21"/>
                <w:highlight w:val="none"/>
              </w:rPr>
              <w:t>水体</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自然保护地一般控制区</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饮用水水源二级保护区</w:t>
            </w:r>
            <w:r>
              <w:rPr>
                <w:rFonts w:hint="eastAsia" w:ascii="宋体" w:hAnsi="宋体" w:eastAsia="宋体" w:cs="宋体"/>
                <w:color w:val="auto"/>
                <w:sz w:val="21"/>
                <w:szCs w:val="21"/>
                <w:highlight w:val="none"/>
                <w:lang w:val="en-US" w:eastAsia="zh-CN"/>
              </w:rPr>
              <w:t>/第二类海水水质的区域</w:t>
            </w:r>
          </w:p>
        </w:tc>
        <w:tc>
          <w:tcPr>
            <w:tcW w:w="1300" w:type="dxa"/>
            <w:noWrap w:val="0"/>
            <w:vAlign w:val="center"/>
          </w:tcPr>
          <w:p w14:paraId="5307FEF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r>
      <w:tr w14:paraId="2BCBC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754" w:type="dxa"/>
            <w:vMerge w:val="continue"/>
            <w:noWrap w:val="0"/>
            <w:vAlign w:val="center"/>
          </w:tcPr>
          <w:p w14:paraId="4630955F">
            <w:pPr>
              <w:rPr>
                <w:rFonts w:hint="eastAsia" w:ascii="宋体" w:hAnsi="宋体" w:eastAsia="宋体" w:cs="宋体"/>
                <w:color w:val="auto"/>
                <w:sz w:val="21"/>
                <w:szCs w:val="21"/>
                <w:highlight w:val="none"/>
              </w:rPr>
            </w:pPr>
          </w:p>
        </w:tc>
        <w:tc>
          <w:tcPr>
            <w:tcW w:w="5625" w:type="dxa"/>
            <w:noWrap w:val="0"/>
            <w:vAlign w:val="top"/>
          </w:tcPr>
          <w:p w14:paraId="6D6974EE">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一类环境空气功能区</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I类水体</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自然保护地核心保护区</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饮用水水源一级保护区</w:t>
            </w:r>
            <w:r>
              <w:rPr>
                <w:rFonts w:hint="eastAsia" w:ascii="宋体" w:hAnsi="宋体" w:eastAsia="宋体" w:cs="宋体"/>
                <w:color w:val="auto"/>
                <w:sz w:val="21"/>
                <w:szCs w:val="21"/>
                <w:highlight w:val="none"/>
                <w:lang w:val="en-US" w:eastAsia="zh-CN"/>
              </w:rPr>
              <w:t>/第一类海水水质的区域</w:t>
            </w:r>
          </w:p>
        </w:tc>
        <w:tc>
          <w:tcPr>
            <w:tcW w:w="1300" w:type="dxa"/>
            <w:noWrap w:val="0"/>
            <w:vAlign w:val="center"/>
          </w:tcPr>
          <w:p w14:paraId="13E9400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bl>
    <w:p w14:paraId="0D54631B">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509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42"/>
        <w:gridCol w:w="5906"/>
        <w:gridCol w:w="1365"/>
      </w:tblGrid>
      <w:tr w14:paraId="6174D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8679" w:type="dxa"/>
            <w:gridSpan w:val="3"/>
            <w:noWrap w:val="0"/>
            <w:vAlign w:val="top"/>
          </w:tcPr>
          <w:p w14:paraId="230C1828">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（十）放射性污染防治类</w:t>
            </w:r>
          </w:p>
        </w:tc>
      </w:tr>
      <w:tr w14:paraId="2389B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1754" w:type="dxa"/>
            <w:noWrap w:val="0"/>
            <w:vAlign w:val="center"/>
          </w:tcPr>
          <w:p w14:paraId="7FBCC79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925" w:type="dxa"/>
            <w:gridSpan w:val="2"/>
            <w:noWrap w:val="0"/>
            <w:vAlign w:val="top"/>
          </w:tcPr>
          <w:p w14:paraId="2A89037B">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r>
      <w:tr w14:paraId="41C2E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1754" w:type="dxa"/>
            <w:noWrap w:val="0"/>
            <w:vAlign w:val="center"/>
          </w:tcPr>
          <w:p w14:paraId="6FB2C60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6925" w:type="dxa"/>
            <w:gridSpan w:val="2"/>
            <w:noWrap w:val="0"/>
            <w:vAlign w:val="top"/>
          </w:tcPr>
          <w:p w14:paraId="5F8863E1">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在内河水域和海上处置放射性固体废物、放射性物质的</w:t>
            </w:r>
          </w:p>
        </w:tc>
      </w:tr>
      <w:tr w14:paraId="678E5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jc w:val="center"/>
        </w:trPr>
        <w:tc>
          <w:tcPr>
            <w:tcW w:w="1754" w:type="dxa"/>
            <w:noWrap w:val="0"/>
            <w:vAlign w:val="center"/>
          </w:tcPr>
          <w:p w14:paraId="1FE9EDD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6925" w:type="dxa"/>
            <w:gridSpan w:val="2"/>
            <w:noWrap w:val="0"/>
            <w:vAlign w:val="center"/>
          </w:tcPr>
          <w:p w14:paraId="0F571C9D">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《中华人民共和国生态环境法典》第三百五十二条第二款 禁止向海域排放污染海洋环境、破坏海洋生态的放射性废水。</w:t>
            </w:r>
          </w:p>
          <w:p w14:paraId="71CB7F56">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《中华人民共和国生态环境法典》第六百三十九条</w:t>
            </w:r>
            <w:r>
              <w:rPr>
                <w:rFonts w:hint="eastAsia" w:ascii="宋体" w:hAnsi="宋体" w:eastAsia="宋体" w:cs="宋体"/>
                <w:color w:val="auto"/>
                <w:sz w:val="21"/>
                <w:szCs w:val="21"/>
                <w:highlight w:val="none"/>
                <w:lang w:val="en-US" w:eastAsia="zh-CN"/>
              </w:rPr>
              <w:t>第三款</w:t>
            </w:r>
            <w:r>
              <w:rPr>
                <w:rFonts w:hint="eastAsia" w:ascii="宋体" w:hAnsi="宋体" w:eastAsia="宋体" w:cs="宋体"/>
                <w:color w:val="auto"/>
                <w:sz w:val="21"/>
                <w:szCs w:val="21"/>
                <w:highlight w:val="none"/>
              </w:rPr>
              <w:t xml:space="preserve">  禁止在内河水域和海上处置放射性固体废物。</w:t>
            </w:r>
          </w:p>
        </w:tc>
      </w:tr>
      <w:tr w14:paraId="1D475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1754" w:type="dxa"/>
            <w:noWrap w:val="0"/>
            <w:vAlign w:val="center"/>
          </w:tcPr>
          <w:p w14:paraId="4741A94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6925" w:type="dxa"/>
            <w:gridSpan w:val="2"/>
            <w:noWrap w:val="0"/>
            <w:vAlign w:val="center"/>
          </w:tcPr>
          <w:p w14:paraId="3710F97B">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《中华人民共和国生态环境法典》第一千一百九十五条  违反本法规定，在内河水域和海上处置放射性固体废物、放射性物质的，由生态环境主管部门责令停止违法行为，限期采取治理措施消除污染，处五十万元以上二百万元以下的罚款；逾期不采取治理措施的，指定有治理能力的单位代为治理，所需费用由违法者承担。</w:t>
            </w:r>
          </w:p>
        </w:tc>
      </w:tr>
      <w:tr w14:paraId="5A6D2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1754" w:type="dxa"/>
            <w:noWrap w:val="0"/>
            <w:vAlign w:val="center"/>
          </w:tcPr>
          <w:p w14:paraId="45B3BDB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625" w:type="dxa"/>
            <w:noWrap w:val="0"/>
            <w:vAlign w:val="top"/>
          </w:tcPr>
          <w:p w14:paraId="58E8C31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300" w:type="dxa"/>
            <w:noWrap w:val="0"/>
            <w:vAlign w:val="top"/>
          </w:tcPr>
          <w:p w14:paraId="6E9367D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08FBE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1754" w:type="dxa"/>
            <w:vMerge w:val="restart"/>
            <w:noWrap w:val="0"/>
            <w:vAlign w:val="center"/>
          </w:tcPr>
          <w:p w14:paraId="0517BFE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放射性废物</w:t>
            </w:r>
          </w:p>
          <w:p w14:paraId="7A4C97F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类型</w:t>
            </w:r>
          </w:p>
        </w:tc>
        <w:tc>
          <w:tcPr>
            <w:tcW w:w="5625" w:type="dxa"/>
            <w:noWrap w:val="0"/>
            <w:vAlign w:val="top"/>
          </w:tcPr>
          <w:p w14:paraId="5E95DE10">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极短寿命放射性废物</w:t>
            </w:r>
          </w:p>
        </w:tc>
        <w:tc>
          <w:tcPr>
            <w:tcW w:w="1300" w:type="dxa"/>
            <w:noWrap w:val="0"/>
            <w:vAlign w:val="center"/>
          </w:tcPr>
          <w:p w14:paraId="6EDCE9F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27952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1754" w:type="dxa"/>
            <w:vMerge w:val="continue"/>
            <w:noWrap w:val="0"/>
            <w:vAlign w:val="center"/>
          </w:tcPr>
          <w:p w14:paraId="28FD45D3">
            <w:pPr>
              <w:rPr>
                <w:rFonts w:hint="eastAsia" w:ascii="宋体" w:hAnsi="宋体" w:eastAsia="宋体" w:cs="宋体"/>
                <w:color w:val="auto"/>
                <w:sz w:val="21"/>
                <w:szCs w:val="21"/>
                <w:highlight w:val="none"/>
              </w:rPr>
            </w:pPr>
          </w:p>
        </w:tc>
        <w:tc>
          <w:tcPr>
            <w:tcW w:w="5625" w:type="dxa"/>
            <w:noWrap w:val="0"/>
            <w:vAlign w:val="top"/>
          </w:tcPr>
          <w:p w14:paraId="21485524">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极低水平放射性废物</w:t>
            </w:r>
          </w:p>
        </w:tc>
        <w:tc>
          <w:tcPr>
            <w:tcW w:w="1300" w:type="dxa"/>
            <w:noWrap w:val="0"/>
            <w:vAlign w:val="center"/>
          </w:tcPr>
          <w:p w14:paraId="41185BE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r>
      <w:tr w14:paraId="4E926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1754" w:type="dxa"/>
            <w:vMerge w:val="continue"/>
            <w:noWrap w:val="0"/>
            <w:vAlign w:val="center"/>
          </w:tcPr>
          <w:p w14:paraId="35BCC207">
            <w:pPr>
              <w:rPr>
                <w:rFonts w:hint="eastAsia" w:ascii="宋体" w:hAnsi="宋体" w:eastAsia="宋体" w:cs="宋体"/>
                <w:color w:val="auto"/>
                <w:sz w:val="21"/>
                <w:szCs w:val="21"/>
                <w:highlight w:val="none"/>
              </w:rPr>
            </w:pPr>
          </w:p>
        </w:tc>
        <w:tc>
          <w:tcPr>
            <w:tcW w:w="5625" w:type="dxa"/>
            <w:noWrap w:val="0"/>
            <w:vAlign w:val="top"/>
          </w:tcPr>
          <w:p w14:paraId="53F05F41">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低水平放射性废物</w:t>
            </w:r>
          </w:p>
        </w:tc>
        <w:tc>
          <w:tcPr>
            <w:tcW w:w="1300" w:type="dxa"/>
            <w:noWrap w:val="0"/>
            <w:vAlign w:val="center"/>
          </w:tcPr>
          <w:p w14:paraId="7A42EAC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491C8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1754" w:type="dxa"/>
            <w:vMerge w:val="continue"/>
            <w:noWrap w:val="0"/>
            <w:vAlign w:val="center"/>
          </w:tcPr>
          <w:p w14:paraId="36B2BBF2">
            <w:pPr>
              <w:rPr>
                <w:rFonts w:hint="eastAsia" w:ascii="宋体" w:hAnsi="宋体" w:eastAsia="宋体" w:cs="宋体"/>
                <w:color w:val="auto"/>
                <w:sz w:val="21"/>
                <w:szCs w:val="21"/>
                <w:highlight w:val="none"/>
              </w:rPr>
            </w:pPr>
          </w:p>
        </w:tc>
        <w:tc>
          <w:tcPr>
            <w:tcW w:w="5625" w:type="dxa"/>
            <w:noWrap w:val="0"/>
            <w:vAlign w:val="top"/>
          </w:tcPr>
          <w:p w14:paraId="447A5D62">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中水平放射性废物</w:t>
            </w:r>
          </w:p>
        </w:tc>
        <w:tc>
          <w:tcPr>
            <w:tcW w:w="1300" w:type="dxa"/>
            <w:noWrap w:val="0"/>
            <w:vAlign w:val="center"/>
          </w:tcPr>
          <w:p w14:paraId="60ED98C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r>
      <w:tr w14:paraId="79302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1754" w:type="dxa"/>
            <w:vMerge w:val="continue"/>
            <w:noWrap w:val="0"/>
            <w:vAlign w:val="center"/>
          </w:tcPr>
          <w:p w14:paraId="3C020519">
            <w:pPr>
              <w:rPr>
                <w:rFonts w:hint="eastAsia" w:ascii="宋体" w:hAnsi="宋体" w:eastAsia="宋体" w:cs="宋体"/>
                <w:color w:val="auto"/>
                <w:sz w:val="21"/>
                <w:szCs w:val="21"/>
                <w:highlight w:val="none"/>
              </w:rPr>
            </w:pPr>
          </w:p>
        </w:tc>
        <w:tc>
          <w:tcPr>
            <w:tcW w:w="5625" w:type="dxa"/>
            <w:noWrap w:val="0"/>
            <w:vAlign w:val="top"/>
          </w:tcPr>
          <w:p w14:paraId="363E8CBF">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高水平放射性废物</w:t>
            </w:r>
          </w:p>
        </w:tc>
        <w:tc>
          <w:tcPr>
            <w:tcW w:w="1300" w:type="dxa"/>
            <w:noWrap w:val="0"/>
            <w:vAlign w:val="center"/>
          </w:tcPr>
          <w:p w14:paraId="5BA7D0E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38161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jc w:val="center"/>
        </w:trPr>
        <w:tc>
          <w:tcPr>
            <w:tcW w:w="1754" w:type="dxa"/>
            <w:vMerge w:val="restart"/>
            <w:noWrap w:val="0"/>
            <w:vAlign w:val="center"/>
          </w:tcPr>
          <w:p w14:paraId="58F673F8">
            <w:pPr>
              <w:jc w:val="center"/>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排放去向或区域</w:t>
            </w:r>
          </w:p>
        </w:tc>
        <w:tc>
          <w:tcPr>
            <w:tcW w:w="5625" w:type="dxa"/>
            <w:noWrap w:val="0"/>
            <w:vAlign w:val="top"/>
          </w:tcPr>
          <w:p w14:paraId="65A40706">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V类水体</w:t>
            </w:r>
            <w:r>
              <w:rPr>
                <w:rFonts w:hint="eastAsia" w:ascii="宋体" w:hAnsi="宋体" w:eastAsia="宋体" w:cs="宋体"/>
                <w:color w:val="auto"/>
                <w:sz w:val="21"/>
                <w:szCs w:val="21"/>
                <w:highlight w:val="none"/>
                <w:lang w:val="en-US" w:eastAsia="zh-CN"/>
              </w:rPr>
              <w:t>/第四类海水水质的区域</w:t>
            </w:r>
          </w:p>
        </w:tc>
        <w:tc>
          <w:tcPr>
            <w:tcW w:w="1300" w:type="dxa"/>
            <w:noWrap w:val="0"/>
            <w:vAlign w:val="center"/>
          </w:tcPr>
          <w:p w14:paraId="014B58F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3E861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754" w:type="dxa"/>
            <w:vMerge w:val="continue"/>
            <w:noWrap w:val="0"/>
            <w:vAlign w:val="center"/>
          </w:tcPr>
          <w:p w14:paraId="15AF41E3">
            <w:pPr>
              <w:rPr>
                <w:rFonts w:hint="eastAsia" w:ascii="宋体" w:hAnsi="宋体" w:eastAsia="宋体" w:cs="宋体"/>
                <w:color w:val="auto"/>
                <w:sz w:val="21"/>
                <w:szCs w:val="21"/>
                <w:highlight w:val="none"/>
              </w:rPr>
            </w:pPr>
          </w:p>
        </w:tc>
        <w:tc>
          <w:tcPr>
            <w:tcW w:w="5625" w:type="dxa"/>
            <w:noWrap w:val="0"/>
            <w:vAlign w:val="top"/>
          </w:tcPr>
          <w:p w14:paraId="787374DB">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eastAsia="zh-CN"/>
              </w:rPr>
              <w:t>Ⅳ类</w:t>
            </w:r>
            <w:r>
              <w:rPr>
                <w:rFonts w:hint="eastAsia" w:ascii="宋体" w:hAnsi="宋体" w:eastAsia="宋体" w:cs="宋体"/>
                <w:color w:val="auto"/>
                <w:sz w:val="21"/>
                <w:szCs w:val="21"/>
                <w:highlight w:val="none"/>
              </w:rPr>
              <w:t>水体</w:t>
            </w:r>
            <w:r>
              <w:rPr>
                <w:rFonts w:hint="eastAsia" w:ascii="宋体" w:hAnsi="宋体" w:eastAsia="宋体" w:cs="宋体"/>
                <w:color w:val="auto"/>
                <w:sz w:val="21"/>
                <w:szCs w:val="21"/>
                <w:highlight w:val="none"/>
                <w:lang w:val="en-US" w:eastAsia="zh-CN"/>
              </w:rPr>
              <w:t>/第三类海水水质的区域</w:t>
            </w:r>
          </w:p>
        </w:tc>
        <w:tc>
          <w:tcPr>
            <w:tcW w:w="1300" w:type="dxa"/>
            <w:noWrap w:val="0"/>
            <w:vAlign w:val="center"/>
          </w:tcPr>
          <w:p w14:paraId="100AF29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r>
      <w:tr w14:paraId="21CB3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jc w:val="center"/>
        </w:trPr>
        <w:tc>
          <w:tcPr>
            <w:tcW w:w="1754" w:type="dxa"/>
            <w:vMerge w:val="continue"/>
            <w:noWrap w:val="0"/>
            <w:vAlign w:val="center"/>
          </w:tcPr>
          <w:p w14:paraId="1726F0FE">
            <w:pPr>
              <w:rPr>
                <w:rFonts w:hint="eastAsia" w:ascii="宋体" w:hAnsi="宋体" w:eastAsia="宋体" w:cs="宋体"/>
                <w:color w:val="auto"/>
                <w:sz w:val="21"/>
                <w:szCs w:val="21"/>
                <w:highlight w:val="none"/>
              </w:rPr>
            </w:pPr>
          </w:p>
        </w:tc>
        <w:tc>
          <w:tcPr>
            <w:tcW w:w="5625" w:type="dxa"/>
            <w:noWrap w:val="0"/>
            <w:vAlign w:val="top"/>
          </w:tcPr>
          <w:p w14:paraId="5890F74F">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eastAsia="zh-CN"/>
              </w:rPr>
              <w:t>Ⅲ类</w:t>
            </w:r>
            <w:r>
              <w:rPr>
                <w:rFonts w:hint="eastAsia" w:ascii="宋体" w:hAnsi="宋体" w:eastAsia="宋体" w:cs="宋体"/>
                <w:color w:val="auto"/>
                <w:sz w:val="21"/>
                <w:szCs w:val="21"/>
                <w:highlight w:val="none"/>
                <w:lang w:eastAsia="zh-CN"/>
              </w:rPr>
              <w:t>水体/饮用水水源准保护区/自然保护地外的生态保护红线区域</w:t>
            </w:r>
          </w:p>
        </w:tc>
        <w:tc>
          <w:tcPr>
            <w:tcW w:w="1300" w:type="dxa"/>
            <w:noWrap w:val="0"/>
            <w:vAlign w:val="center"/>
          </w:tcPr>
          <w:p w14:paraId="7B661A2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600D1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1754" w:type="dxa"/>
            <w:vMerge w:val="continue"/>
            <w:noWrap w:val="0"/>
            <w:vAlign w:val="center"/>
          </w:tcPr>
          <w:p w14:paraId="4321DB3F">
            <w:pPr>
              <w:rPr>
                <w:rFonts w:hint="eastAsia" w:ascii="宋体" w:hAnsi="宋体" w:eastAsia="宋体" w:cs="宋体"/>
                <w:color w:val="auto"/>
                <w:sz w:val="21"/>
                <w:szCs w:val="21"/>
                <w:highlight w:val="none"/>
              </w:rPr>
            </w:pPr>
          </w:p>
        </w:tc>
        <w:tc>
          <w:tcPr>
            <w:tcW w:w="5625" w:type="dxa"/>
            <w:noWrap w:val="0"/>
            <w:vAlign w:val="top"/>
          </w:tcPr>
          <w:p w14:paraId="2AFC933B">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eastAsia="zh-CN"/>
              </w:rPr>
              <w:t>Ⅱ类</w:t>
            </w:r>
            <w:r>
              <w:rPr>
                <w:rFonts w:hint="eastAsia" w:ascii="宋体" w:hAnsi="宋体" w:eastAsia="宋体" w:cs="宋体"/>
                <w:color w:val="auto"/>
                <w:sz w:val="21"/>
                <w:szCs w:val="21"/>
                <w:highlight w:val="none"/>
              </w:rPr>
              <w:t>水体</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自然保护地一般控制区</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饮用水水源二级保护区</w:t>
            </w:r>
            <w:r>
              <w:rPr>
                <w:rFonts w:hint="eastAsia" w:ascii="宋体" w:hAnsi="宋体" w:eastAsia="宋体" w:cs="宋体"/>
                <w:color w:val="auto"/>
                <w:sz w:val="21"/>
                <w:szCs w:val="21"/>
                <w:highlight w:val="none"/>
                <w:lang w:val="en-US" w:eastAsia="zh-CN"/>
              </w:rPr>
              <w:t>/第二类海水水质的区域</w:t>
            </w:r>
          </w:p>
        </w:tc>
        <w:tc>
          <w:tcPr>
            <w:tcW w:w="1300" w:type="dxa"/>
            <w:noWrap w:val="0"/>
            <w:vAlign w:val="center"/>
          </w:tcPr>
          <w:p w14:paraId="3A8B78F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r>
      <w:tr w14:paraId="10C39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 w:hRule="atLeast"/>
          <w:jc w:val="center"/>
        </w:trPr>
        <w:tc>
          <w:tcPr>
            <w:tcW w:w="1754" w:type="dxa"/>
            <w:vMerge w:val="continue"/>
            <w:noWrap w:val="0"/>
            <w:vAlign w:val="center"/>
          </w:tcPr>
          <w:p w14:paraId="09D86F9F">
            <w:pPr>
              <w:rPr>
                <w:rFonts w:hint="eastAsia" w:ascii="宋体" w:hAnsi="宋体" w:eastAsia="宋体" w:cs="宋体"/>
                <w:color w:val="auto"/>
                <w:sz w:val="21"/>
                <w:szCs w:val="21"/>
                <w:highlight w:val="none"/>
              </w:rPr>
            </w:pPr>
          </w:p>
        </w:tc>
        <w:tc>
          <w:tcPr>
            <w:tcW w:w="5625" w:type="dxa"/>
            <w:noWrap w:val="0"/>
            <w:vAlign w:val="top"/>
          </w:tcPr>
          <w:p w14:paraId="2FDF7BA7">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I类水体</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自然保护地核心保护区</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饮用水水源一级保护区</w:t>
            </w:r>
            <w:r>
              <w:rPr>
                <w:rFonts w:hint="eastAsia" w:ascii="宋体" w:hAnsi="宋体" w:eastAsia="宋体" w:cs="宋体"/>
                <w:color w:val="auto"/>
                <w:sz w:val="21"/>
                <w:szCs w:val="21"/>
                <w:highlight w:val="none"/>
                <w:lang w:val="en-US" w:eastAsia="zh-CN"/>
              </w:rPr>
              <w:t>/第一类海水水质的区域</w:t>
            </w:r>
          </w:p>
        </w:tc>
        <w:tc>
          <w:tcPr>
            <w:tcW w:w="1300" w:type="dxa"/>
            <w:noWrap w:val="0"/>
            <w:vAlign w:val="center"/>
          </w:tcPr>
          <w:p w14:paraId="442C8C3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bl>
    <w:p w14:paraId="0467D059">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2"/>
        <w:gridCol w:w="5657"/>
        <w:gridCol w:w="1489"/>
      </w:tblGrid>
      <w:tr w14:paraId="02A6A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3"/>
            <w:noWrap w:val="0"/>
            <w:vAlign w:val="center"/>
          </w:tcPr>
          <w:p w14:paraId="3E8A2549">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（十）放射性污染防治类</w:t>
            </w:r>
          </w:p>
        </w:tc>
      </w:tr>
      <w:tr w14:paraId="546F5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6" w:type="dxa"/>
            <w:noWrap w:val="0"/>
            <w:vAlign w:val="center"/>
          </w:tcPr>
          <w:p w14:paraId="6768D3E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806" w:type="dxa"/>
            <w:gridSpan w:val="2"/>
            <w:noWrap w:val="0"/>
            <w:vAlign w:val="center"/>
          </w:tcPr>
          <w:p w14:paraId="3EB2055F">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r>
      <w:tr w14:paraId="470C3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6" w:type="dxa"/>
            <w:noWrap w:val="0"/>
            <w:vAlign w:val="center"/>
          </w:tcPr>
          <w:p w14:paraId="153602E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6806" w:type="dxa"/>
            <w:gridSpan w:val="2"/>
            <w:noWrap w:val="0"/>
            <w:vAlign w:val="center"/>
          </w:tcPr>
          <w:p w14:paraId="28915E8C">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不按照规定设置放射性标识、标志、中文警示说明的</w:t>
            </w:r>
          </w:p>
        </w:tc>
      </w:tr>
      <w:tr w14:paraId="08534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jc w:val="center"/>
        </w:trPr>
        <w:tc>
          <w:tcPr>
            <w:tcW w:w="1716" w:type="dxa"/>
            <w:noWrap w:val="0"/>
            <w:vAlign w:val="center"/>
          </w:tcPr>
          <w:p w14:paraId="7DFE40D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6806" w:type="dxa"/>
            <w:gridSpan w:val="2"/>
            <w:noWrap w:val="0"/>
            <w:vAlign w:val="center"/>
          </w:tcPr>
          <w:p w14:paraId="616C9E3A">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《中华人民共和国生态环境法典》第六百一十条  放射性物质和射线装置应当设置明显的放射性标识和中文警示说明。生产、贮存、销售、使用、处置放射性物质和射线装置的场所，以及运输放射性物质的工具，应当设置明显的放射性标志。</w:t>
            </w:r>
          </w:p>
        </w:tc>
      </w:tr>
      <w:tr w14:paraId="6C63C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6" w:type="dxa"/>
            <w:noWrap w:val="0"/>
            <w:vAlign w:val="center"/>
          </w:tcPr>
          <w:p w14:paraId="42DF624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6806" w:type="dxa"/>
            <w:gridSpan w:val="2"/>
            <w:noWrap w:val="0"/>
            <w:vAlign w:val="center"/>
          </w:tcPr>
          <w:p w14:paraId="5C971067">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《中华人民共和国生态环境法典》第一千一百九十六条</w:t>
            </w:r>
            <w:r>
              <w:rPr>
                <w:rFonts w:hint="eastAsia" w:ascii="宋体" w:hAnsi="宋体" w:eastAsia="宋体" w:cs="宋体"/>
                <w:color w:val="auto"/>
                <w:sz w:val="21"/>
                <w:szCs w:val="21"/>
                <w:highlight w:val="none"/>
                <w:lang w:val="en-US" w:eastAsia="zh-CN"/>
              </w:rPr>
              <w:t>第一项</w:t>
            </w:r>
            <w:r>
              <w:rPr>
                <w:rFonts w:hint="eastAsia" w:ascii="宋体" w:hAnsi="宋体" w:eastAsia="宋体" w:cs="宋体"/>
                <w:color w:val="auto"/>
                <w:sz w:val="21"/>
                <w:szCs w:val="21"/>
                <w:highlight w:val="none"/>
              </w:rPr>
              <w:t xml:space="preserve">  违反本法规定，有下列情形之一的，由生态环境主管部门、核工业主管部门按照职责分工责令限期改正，处二万元以上二十万元以下的罚款；逾期不改正的，责令限制生产、停产整治：</w:t>
            </w:r>
          </w:p>
          <w:p w14:paraId="46023F18">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（一）不按照规定设置放射性标识、标志、中文警示说明；</w:t>
            </w:r>
          </w:p>
        </w:tc>
      </w:tr>
      <w:tr w14:paraId="13515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6" w:type="dxa"/>
            <w:noWrap w:val="0"/>
            <w:vAlign w:val="center"/>
          </w:tcPr>
          <w:p w14:paraId="116C4A4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388" w:type="dxa"/>
            <w:noWrap w:val="0"/>
            <w:vAlign w:val="center"/>
          </w:tcPr>
          <w:p w14:paraId="1629038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418" w:type="dxa"/>
            <w:noWrap w:val="0"/>
            <w:vAlign w:val="center"/>
          </w:tcPr>
          <w:p w14:paraId="67C23A8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57C15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6" w:type="dxa"/>
            <w:vMerge w:val="restart"/>
            <w:noWrap w:val="0"/>
            <w:vAlign w:val="center"/>
          </w:tcPr>
          <w:p w14:paraId="3F05920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违法事实</w:t>
            </w:r>
          </w:p>
        </w:tc>
        <w:tc>
          <w:tcPr>
            <w:tcW w:w="5388" w:type="dxa"/>
            <w:noWrap w:val="0"/>
            <w:vAlign w:val="center"/>
          </w:tcPr>
          <w:p w14:paraId="1AA4EB18">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未按规定设置放射性标识、标志、中文警示说明，缺少其中一项</w:t>
            </w:r>
          </w:p>
        </w:tc>
        <w:tc>
          <w:tcPr>
            <w:tcW w:w="1418" w:type="dxa"/>
            <w:noWrap w:val="0"/>
            <w:vAlign w:val="center"/>
          </w:tcPr>
          <w:p w14:paraId="28FDD72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2D2BC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6" w:type="dxa"/>
            <w:vMerge w:val="continue"/>
            <w:noWrap w:val="0"/>
            <w:vAlign w:val="center"/>
          </w:tcPr>
          <w:p w14:paraId="5EEEA19E">
            <w:pPr>
              <w:jc w:val="center"/>
              <w:rPr>
                <w:rFonts w:hint="eastAsia" w:ascii="宋体" w:hAnsi="宋体" w:eastAsia="宋体" w:cs="宋体"/>
                <w:color w:val="auto"/>
                <w:sz w:val="21"/>
                <w:szCs w:val="21"/>
                <w:highlight w:val="none"/>
              </w:rPr>
            </w:pPr>
          </w:p>
        </w:tc>
        <w:tc>
          <w:tcPr>
            <w:tcW w:w="5388" w:type="dxa"/>
            <w:noWrap w:val="0"/>
            <w:vAlign w:val="center"/>
          </w:tcPr>
          <w:p w14:paraId="4687FE71">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未按规定设置放射性标识、标志、中文警示说明，缺少其中两项</w:t>
            </w:r>
          </w:p>
        </w:tc>
        <w:tc>
          <w:tcPr>
            <w:tcW w:w="1418" w:type="dxa"/>
            <w:noWrap w:val="0"/>
            <w:vAlign w:val="center"/>
          </w:tcPr>
          <w:p w14:paraId="678CA515">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3</w:t>
            </w:r>
          </w:p>
        </w:tc>
      </w:tr>
      <w:tr w14:paraId="13F3A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6" w:type="dxa"/>
            <w:vMerge w:val="continue"/>
            <w:noWrap w:val="0"/>
            <w:vAlign w:val="center"/>
          </w:tcPr>
          <w:p w14:paraId="66885DBC">
            <w:pPr>
              <w:jc w:val="center"/>
              <w:rPr>
                <w:rFonts w:hint="eastAsia" w:ascii="宋体" w:hAnsi="宋体" w:eastAsia="宋体" w:cs="宋体"/>
                <w:color w:val="auto"/>
                <w:sz w:val="21"/>
                <w:szCs w:val="21"/>
                <w:highlight w:val="none"/>
              </w:rPr>
            </w:pPr>
          </w:p>
        </w:tc>
        <w:tc>
          <w:tcPr>
            <w:tcW w:w="5388" w:type="dxa"/>
            <w:noWrap w:val="0"/>
            <w:vAlign w:val="center"/>
          </w:tcPr>
          <w:p w14:paraId="33A6A2F8">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未按规定设置放射性标识、标志、中文警示说明，缺少其中三项</w:t>
            </w:r>
          </w:p>
        </w:tc>
        <w:tc>
          <w:tcPr>
            <w:tcW w:w="1418" w:type="dxa"/>
            <w:noWrap w:val="0"/>
            <w:vAlign w:val="center"/>
          </w:tcPr>
          <w:p w14:paraId="31805CB9">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r>
      <w:tr w14:paraId="75903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6" w:type="dxa"/>
            <w:vMerge w:val="restart"/>
            <w:noWrap w:val="0"/>
            <w:vAlign w:val="center"/>
          </w:tcPr>
          <w:p w14:paraId="505CD230">
            <w:pPr>
              <w:jc w:val="center"/>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放射源类型</w:t>
            </w:r>
          </w:p>
        </w:tc>
        <w:tc>
          <w:tcPr>
            <w:tcW w:w="5388" w:type="dxa"/>
            <w:noWrap w:val="0"/>
            <w:vAlign w:val="center"/>
          </w:tcPr>
          <w:p w14:paraId="5009F8EC">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Ⅳ类</w:t>
            </w:r>
            <w:r>
              <w:rPr>
                <w:rFonts w:hint="eastAsia" w:ascii="宋体" w:hAnsi="宋体" w:eastAsia="宋体" w:cs="宋体"/>
                <w:color w:val="auto"/>
                <w:sz w:val="21"/>
                <w:szCs w:val="21"/>
                <w:highlight w:val="none"/>
              </w:rPr>
              <w:t>、V类放射源或</w:t>
            </w:r>
            <w:r>
              <w:rPr>
                <w:rFonts w:hint="eastAsia" w:ascii="宋体" w:hAnsi="宋体" w:cs="宋体"/>
                <w:color w:val="auto"/>
                <w:sz w:val="21"/>
                <w:szCs w:val="21"/>
                <w:highlight w:val="none"/>
                <w:lang w:eastAsia="zh-CN"/>
              </w:rPr>
              <w:t>Ⅲ</w:t>
            </w:r>
            <w:r>
              <w:rPr>
                <w:rFonts w:hint="eastAsia" w:ascii="宋体" w:hAnsi="宋体" w:eastAsia="宋体" w:cs="宋体"/>
                <w:color w:val="auto"/>
                <w:sz w:val="21"/>
                <w:szCs w:val="21"/>
                <w:highlight w:val="none"/>
              </w:rPr>
              <w:t>类射线装置的</w:t>
            </w:r>
          </w:p>
        </w:tc>
        <w:tc>
          <w:tcPr>
            <w:tcW w:w="1418" w:type="dxa"/>
            <w:noWrap w:val="0"/>
            <w:vAlign w:val="center"/>
          </w:tcPr>
          <w:p w14:paraId="2669A20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010C5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6" w:type="dxa"/>
            <w:vMerge w:val="continue"/>
            <w:noWrap w:val="0"/>
            <w:vAlign w:val="center"/>
          </w:tcPr>
          <w:p w14:paraId="28E2E62C">
            <w:pPr>
              <w:jc w:val="center"/>
              <w:rPr>
                <w:rFonts w:hint="eastAsia" w:ascii="宋体" w:hAnsi="宋体" w:eastAsia="宋体" w:cs="宋体"/>
                <w:color w:val="auto"/>
                <w:sz w:val="21"/>
                <w:szCs w:val="21"/>
                <w:highlight w:val="none"/>
              </w:rPr>
            </w:pPr>
          </w:p>
        </w:tc>
        <w:tc>
          <w:tcPr>
            <w:tcW w:w="5388" w:type="dxa"/>
            <w:noWrap w:val="0"/>
            <w:vAlign w:val="center"/>
          </w:tcPr>
          <w:p w14:paraId="3CB50377">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Ⅲ类</w:t>
            </w:r>
            <w:r>
              <w:rPr>
                <w:rFonts w:hint="eastAsia" w:ascii="宋体" w:hAnsi="宋体" w:eastAsia="宋体" w:cs="宋体"/>
                <w:color w:val="auto"/>
                <w:sz w:val="21"/>
                <w:szCs w:val="21"/>
                <w:highlight w:val="none"/>
              </w:rPr>
              <w:t>放射源或</w:t>
            </w:r>
            <w:r>
              <w:rPr>
                <w:rFonts w:hint="eastAsia" w:ascii="宋体" w:hAnsi="宋体" w:cs="宋体"/>
                <w:color w:val="auto"/>
                <w:sz w:val="21"/>
                <w:szCs w:val="21"/>
                <w:highlight w:val="none"/>
                <w:lang w:eastAsia="zh-CN"/>
              </w:rPr>
              <w:t>Ⅱ类</w:t>
            </w:r>
            <w:r>
              <w:rPr>
                <w:rFonts w:hint="eastAsia" w:ascii="宋体" w:hAnsi="宋体" w:eastAsia="宋体" w:cs="宋体"/>
                <w:color w:val="auto"/>
                <w:sz w:val="21"/>
                <w:szCs w:val="21"/>
                <w:highlight w:val="none"/>
              </w:rPr>
              <w:t>射线装置的</w:t>
            </w:r>
          </w:p>
        </w:tc>
        <w:tc>
          <w:tcPr>
            <w:tcW w:w="1418" w:type="dxa"/>
            <w:noWrap w:val="0"/>
            <w:vAlign w:val="center"/>
          </w:tcPr>
          <w:p w14:paraId="138C1E4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0DB03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6" w:type="dxa"/>
            <w:vMerge w:val="continue"/>
            <w:noWrap w:val="0"/>
            <w:vAlign w:val="center"/>
          </w:tcPr>
          <w:p w14:paraId="397D72F4">
            <w:pPr>
              <w:jc w:val="center"/>
              <w:rPr>
                <w:rFonts w:hint="eastAsia" w:ascii="宋体" w:hAnsi="宋体" w:eastAsia="宋体" w:cs="宋体"/>
                <w:color w:val="auto"/>
                <w:sz w:val="21"/>
                <w:szCs w:val="21"/>
                <w:highlight w:val="none"/>
              </w:rPr>
            </w:pPr>
          </w:p>
        </w:tc>
        <w:tc>
          <w:tcPr>
            <w:tcW w:w="5388" w:type="dxa"/>
            <w:noWrap w:val="0"/>
            <w:vAlign w:val="center"/>
          </w:tcPr>
          <w:p w14:paraId="38EF0E48">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I类、</w:t>
            </w:r>
            <w:r>
              <w:rPr>
                <w:rFonts w:hint="eastAsia" w:ascii="宋体" w:hAnsi="宋体" w:cs="宋体"/>
                <w:color w:val="auto"/>
                <w:sz w:val="21"/>
                <w:szCs w:val="21"/>
                <w:highlight w:val="none"/>
                <w:lang w:eastAsia="zh-CN"/>
              </w:rPr>
              <w:t>Ⅱ类</w:t>
            </w:r>
            <w:r>
              <w:rPr>
                <w:rFonts w:hint="eastAsia" w:ascii="宋体" w:hAnsi="宋体" w:eastAsia="宋体" w:cs="宋体"/>
                <w:color w:val="auto"/>
                <w:sz w:val="21"/>
                <w:szCs w:val="21"/>
                <w:highlight w:val="none"/>
              </w:rPr>
              <w:t>放射源或I类射线装置的</w:t>
            </w:r>
          </w:p>
        </w:tc>
        <w:tc>
          <w:tcPr>
            <w:tcW w:w="1418" w:type="dxa"/>
            <w:noWrap w:val="0"/>
            <w:vAlign w:val="center"/>
          </w:tcPr>
          <w:p w14:paraId="63C3378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4BA77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6" w:type="dxa"/>
            <w:vMerge w:val="restart"/>
            <w:noWrap w:val="0"/>
            <w:vAlign w:val="center"/>
          </w:tcPr>
          <w:p w14:paraId="616F32D5">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不按照规定设置放射性标识、标志、中文警示说明</w:t>
            </w:r>
            <w:r>
              <w:rPr>
                <w:rFonts w:hint="eastAsia" w:ascii="宋体" w:hAnsi="宋体" w:eastAsia="宋体" w:cs="宋体"/>
                <w:color w:val="auto"/>
                <w:sz w:val="21"/>
                <w:szCs w:val="21"/>
                <w:highlight w:val="none"/>
                <w:lang w:val="en-US" w:eastAsia="zh-CN"/>
              </w:rPr>
              <w:t>数量</w:t>
            </w:r>
          </w:p>
        </w:tc>
        <w:tc>
          <w:tcPr>
            <w:tcW w:w="5388" w:type="dxa"/>
            <w:noWrap w:val="0"/>
            <w:vAlign w:val="center"/>
          </w:tcPr>
          <w:p w14:paraId="5CAA7927">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不足5个</w:t>
            </w:r>
          </w:p>
        </w:tc>
        <w:tc>
          <w:tcPr>
            <w:tcW w:w="1418" w:type="dxa"/>
            <w:noWrap w:val="0"/>
            <w:vAlign w:val="center"/>
          </w:tcPr>
          <w:p w14:paraId="19E13E5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4B283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6" w:type="dxa"/>
            <w:vMerge w:val="continue"/>
            <w:noWrap w:val="0"/>
            <w:vAlign w:val="center"/>
          </w:tcPr>
          <w:p w14:paraId="1FCB156D">
            <w:pPr>
              <w:jc w:val="center"/>
              <w:rPr>
                <w:rFonts w:hint="eastAsia" w:ascii="宋体" w:hAnsi="宋体" w:eastAsia="宋体" w:cs="宋体"/>
                <w:color w:val="auto"/>
                <w:sz w:val="21"/>
                <w:szCs w:val="21"/>
                <w:highlight w:val="none"/>
              </w:rPr>
            </w:pPr>
          </w:p>
        </w:tc>
        <w:tc>
          <w:tcPr>
            <w:tcW w:w="5388" w:type="dxa"/>
            <w:noWrap w:val="0"/>
            <w:vAlign w:val="center"/>
          </w:tcPr>
          <w:p w14:paraId="2DE9AD98">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5个以上，不足10个</w:t>
            </w:r>
          </w:p>
        </w:tc>
        <w:tc>
          <w:tcPr>
            <w:tcW w:w="1418" w:type="dxa"/>
            <w:noWrap w:val="0"/>
            <w:vAlign w:val="center"/>
          </w:tcPr>
          <w:p w14:paraId="4467F97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59ED1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6" w:type="dxa"/>
            <w:vMerge w:val="continue"/>
            <w:noWrap w:val="0"/>
            <w:vAlign w:val="center"/>
          </w:tcPr>
          <w:p w14:paraId="5BE22921">
            <w:pPr>
              <w:jc w:val="center"/>
              <w:rPr>
                <w:rFonts w:hint="eastAsia" w:ascii="宋体" w:hAnsi="宋体" w:eastAsia="宋体" w:cs="宋体"/>
                <w:color w:val="auto"/>
                <w:sz w:val="21"/>
                <w:szCs w:val="21"/>
                <w:highlight w:val="none"/>
              </w:rPr>
            </w:pPr>
          </w:p>
        </w:tc>
        <w:tc>
          <w:tcPr>
            <w:tcW w:w="5388" w:type="dxa"/>
            <w:noWrap w:val="0"/>
            <w:vAlign w:val="center"/>
          </w:tcPr>
          <w:p w14:paraId="18431C6F">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10个以上</w:t>
            </w:r>
          </w:p>
        </w:tc>
        <w:tc>
          <w:tcPr>
            <w:tcW w:w="1418" w:type="dxa"/>
            <w:noWrap w:val="0"/>
            <w:vAlign w:val="center"/>
          </w:tcPr>
          <w:p w14:paraId="78FFC15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bl>
    <w:p w14:paraId="176460CE">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7"/>
        <w:gridCol w:w="5774"/>
        <w:gridCol w:w="1367"/>
      </w:tblGrid>
      <w:tr w14:paraId="6E12E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3"/>
            <w:noWrap w:val="0"/>
            <w:vAlign w:val="center"/>
          </w:tcPr>
          <w:p w14:paraId="63E4345A">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（十）放射性污染防治类</w:t>
            </w:r>
          </w:p>
        </w:tc>
      </w:tr>
      <w:tr w14:paraId="0B6B7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1" w:type="dxa"/>
            <w:noWrap w:val="0"/>
            <w:vAlign w:val="center"/>
          </w:tcPr>
          <w:p w14:paraId="032EB5A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801" w:type="dxa"/>
            <w:gridSpan w:val="2"/>
            <w:noWrap w:val="0"/>
            <w:vAlign w:val="center"/>
          </w:tcPr>
          <w:p w14:paraId="6EA201B3">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r>
      <w:tr w14:paraId="6428A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1" w:type="dxa"/>
            <w:noWrap w:val="0"/>
            <w:vAlign w:val="center"/>
          </w:tcPr>
          <w:p w14:paraId="4FD0044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6801" w:type="dxa"/>
            <w:gridSpan w:val="2"/>
            <w:noWrap w:val="0"/>
            <w:vAlign w:val="center"/>
          </w:tcPr>
          <w:p w14:paraId="1FCD0693">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不按照规定建立健全安全保卫制度的</w:t>
            </w:r>
          </w:p>
        </w:tc>
      </w:tr>
      <w:tr w14:paraId="0CDD1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1" w:type="dxa"/>
            <w:noWrap w:val="0"/>
            <w:vAlign w:val="center"/>
          </w:tcPr>
          <w:p w14:paraId="2557492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6801" w:type="dxa"/>
            <w:gridSpan w:val="2"/>
            <w:noWrap w:val="0"/>
            <w:vAlign w:val="center"/>
          </w:tcPr>
          <w:p w14:paraId="706ADDC6">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《中华人民共和国生态环境法典》第六百二十八条</w:t>
            </w:r>
            <w:r>
              <w:rPr>
                <w:rFonts w:hint="eastAsia" w:ascii="宋体" w:hAnsi="宋体" w:eastAsia="宋体" w:cs="宋体"/>
                <w:color w:val="auto"/>
                <w:sz w:val="21"/>
                <w:szCs w:val="21"/>
                <w:highlight w:val="none"/>
                <w:lang w:val="en-US" w:eastAsia="zh-CN"/>
              </w:rPr>
              <w:t>第一款</w:t>
            </w:r>
            <w:r>
              <w:rPr>
                <w:rFonts w:hint="eastAsia" w:ascii="宋体" w:hAnsi="宋体" w:eastAsia="宋体" w:cs="宋体"/>
                <w:color w:val="auto"/>
                <w:sz w:val="21"/>
                <w:szCs w:val="21"/>
                <w:highlight w:val="none"/>
              </w:rPr>
              <w:t xml:space="preserve">  生产、贮存、销售、使用放射源的单位和其他生产经营者，应当建立健全安全保卫制度，指定专人负责，落实安全责任制，制定必要的事故应急措施。发生放射源丢失、被盗和放射性污染事故时，有关单位和个人应当立即采取应急措施，并向公安机关、卫生健康主管部门和生态环境主管部门报告。</w:t>
            </w:r>
          </w:p>
        </w:tc>
      </w:tr>
      <w:tr w14:paraId="6F568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1" w:type="dxa"/>
            <w:noWrap w:val="0"/>
            <w:vAlign w:val="center"/>
          </w:tcPr>
          <w:p w14:paraId="42EACED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6801" w:type="dxa"/>
            <w:gridSpan w:val="2"/>
            <w:noWrap w:val="0"/>
            <w:vAlign w:val="center"/>
          </w:tcPr>
          <w:p w14:paraId="4B119CCB">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《中华人民共和国生态环境法典》第一千一百九十六条</w:t>
            </w:r>
            <w:r>
              <w:rPr>
                <w:rFonts w:hint="eastAsia" w:ascii="宋体" w:hAnsi="宋体" w:eastAsia="宋体" w:cs="宋体"/>
                <w:color w:val="auto"/>
                <w:sz w:val="21"/>
                <w:szCs w:val="21"/>
                <w:highlight w:val="none"/>
                <w:lang w:val="en-US" w:eastAsia="zh-CN"/>
              </w:rPr>
              <w:t>第二项</w:t>
            </w:r>
            <w:r>
              <w:rPr>
                <w:rFonts w:hint="eastAsia" w:ascii="宋体" w:hAnsi="宋体" w:eastAsia="宋体" w:cs="宋体"/>
                <w:color w:val="auto"/>
                <w:sz w:val="21"/>
                <w:szCs w:val="21"/>
                <w:highlight w:val="none"/>
              </w:rPr>
              <w:t xml:space="preserve">  违反本法规定，有下列情形之一的，由生态环境主管部门、核工业主管部门按照职责分工责令限期改正，处二万元以上二十万元以下的罚款；逾期不改正的，责令限制生产、停产整治：</w:t>
            </w:r>
          </w:p>
          <w:p w14:paraId="1153F3BA">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（二）不按照规定建立健全安全保卫制度；</w:t>
            </w:r>
          </w:p>
        </w:tc>
      </w:tr>
      <w:tr w14:paraId="56EBE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1" w:type="dxa"/>
            <w:noWrap w:val="0"/>
            <w:vAlign w:val="center"/>
          </w:tcPr>
          <w:p w14:paraId="280DBD0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499" w:type="dxa"/>
            <w:noWrap w:val="0"/>
            <w:vAlign w:val="center"/>
          </w:tcPr>
          <w:p w14:paraId="15C18AA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302" w:type="dxa"/>
            <w:noWrap w:val="0"/>
            <w:vAlign w:val="center"/>
          </w:tcPr>
          <w:p w14:paraId="27770B6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64C22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1" w:type="dxa"/>
            <w:vMerge w:val="restart"/>
            <w:noWrap w:val="0"/>
            <w:vAlign w:val="center"/>
          </w:tcPr>
          <w:p w14:paraId="3800C3AD">
            <w:pPr>
              <w:jc w:val="center"/>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放射源类型</w:t>
            </w:r>
          </w:p>
        </w:tc>
        <w:tc>
          <w:tcPr>
            <w:tcW w:w="5499" w:type="dxa"/>
            <w:noWrap w:val="0"/>
            <w:vAlign w:val="center"/>
          </w:tcPr>
          <w:p w14:paraId="4EFBFE1D">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Ⅳ类</w:t>
            </w:r>
            <w:r>
              <w:rPr>
                <w:rFonts w:hint="eastAsia" w:ascii="宋体" w:hAnsi="宋体" w:eastAsia="宋体" w:cs="宋体"/>
                <w:color w:val="auto"/>
                <w:sz w:val="21"/>
                <w:szCs w:val="21"/>
                <w:highlight w:val="none"/>
              </w:rPr>
              <w:t>、V类放射源或</w:t>
            </w:r>
            <w:r>
              <w:rPr>
                <w:rFonts w:hint="eastAsia" w:ascii="宋体" w:hAnsi="宋体" w:cs="宋体"/>
                <w:color w:val="auto"/>
                <w:sz w:val="21"/>
                <w:szCs w:val="21"/>
                <w:highlight w:val="none"/>
                <w:lang w:eastAsia="zh-CN"/>
              </w:rPr>
              <w:t>Ⅲ</w:t>
            </w:r>
            <w:r>
              <w:rPr>
                <w:rFonts w:hint="eastAsia" w:ascii="宋体" w:hAnsi="宋体" w:eastAsia="宋体" w:cs="宋体"/>
                <w:color w:val="auto"/>
                <w:sz w:val="21"/>
                <w:szCs w:val="21"/>
                <w:highlight w:val="none"/>
              </w:rPr>
              <w:t>类射线装置的</w:t>
            </w:r>
          </w:p>
        </w:tc>
        <w:tc>
          <w:tcPr>
            <w:tcW w:w="1302" w:type="dxa"/>
            <w:noWrap w:val="0"/>
            <w:vAlign w:val="center"/>
          </w:tcPr>
          <w:p w14:paraId="7DAB306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5013A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1" w:type="dxa"/>
            <w:vMerge w:val="continue"/>
            <w:noWrap w:val="0"/>
            <w:vAlign w:val="center"/>
          </w:tcPr>
          <w:p w14:paraId="66458D58">
            <w:pPr>
              <w:rPr>
                <w:rFonts w:hint="eastAsia" w:ascii="宋体" w:hAnsi="宋体" w:eastAsia="宋体" w:cs="宋体"/>
                <w:color w:val="auto"/>
                <w:sz w:val="21"/>
                <w:szCs w:val="21"/>
                <w:highlight w:val="none"/>
              </w:rPr>
            </w:pPr>
          </w:p>
        </w:tc>
        <w:tc>
          <w:tcPr>
            <w:tcW w:w="5499" w:type="dxa"/>
            <w:noWrap w:val="0"/>
            <w:vAlign w:val="center"/>
          </w:tcPr>
          <w:p w14:paraId="25BC29DD">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Ⅲ类</w:t>
            </w:r>
            <w:r>
              <w:rPr>
                <w:rFonts w:hint="eastAsia" w:ascii="宋体" w:hAnsi="宋体" w:eastAsia="宋体" w:cs="宋体"/>
                <w:color w:val="auto"/>
                <w:sz w:val="21"/>
                <w:szCs w:val="21"/>
                <w:highlight w:val="none"/>
              </w:rPr>
              <w:t>放射源或</w:t>
            </w:r>
            <w:r>
              <w:rPr>
                <w:rFonts w:hint="eastAsia" w:ascii="宋体" w:hAnsi="宋体" w:cs="宋体"/>
                <w:color w:val="auto"/>
                <w:sz w:val="21"/>
                <w:szCs w:val="21"/>
                <w:highlight w:val="none"/>
                <w:lang w:eastAsia="zh-CN"/>
              </w:rPr>
              <w:t>Ⅱ类</w:t>
            </w:r>
            <w:r>
              <w:rPr>
                <w:rFonts w:hint="eastAsia" w:ascii="宋体" w:hAnsi="宋体" w:eastAsia="宋体" w:cs="宋体"/>
                <w:color w:val="auto"/>
                <w:sz w:val="21"/>
                <w:szCs w:val="21"/>
                <w:highlight w:val="none"/>
              </w:rPr>
              <w:t>射线装置的</w:t>
            </w:r>
          </w:p>
        </w:tc>
        <w:tc>
          <w:tcPr>
            <w:tcW w:w="1302" w:type="dxa"/>
            <w:noWrap w:val="0"/>
            <w:vAlign w:val="center"/>
          </w:tcPr>
          <w:p w14:paraId="07A9F27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576AC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1" w:type="dxa"/>
            <w:vMerge w:val="continue"/>
            <w:noWrap w:val="0"/>
            <w:vAlign w:val="center"/>
          </w:tcPr>
          <w:p w14:paraId="5286CE47">
            <w:pPr>
              <w:rPr>
                <w:rFonts w:hint="eastAsia" w:ascii="宋体" w:hAnsi="宋体" w:eastAsia="宋体" w:cs="宋体"/>
                <w:color w:val="auto"/>
                <w:sz w:val="21"/>
                <w:szCs w:val="21"/>
                <w:highlight w:val="none"/>
              </w:rPr>
            </w:pPr>
          </w:p>
        </w:tc>
        <w:tc>
          <w:tcPr>
            <w:tcW w:w="5499" w:type="dxa"/>
            <w:noWrap w:val="0"/>
            <w:vAlign w:val="center"/>
          </w:tcPr>
          <w:p w14:paraId="75850383">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I类、</w:t>
            </w:r>
            <w:r>
              <w:rPr>
                <w:rFonts w:hint="eastAsia" w:ascii="宋体" w:hAnsi="宋体" w:cs="宋体"/>
                <w:color w:val="auto"/>
                <w:sz w:val="21"/>
                <w:szCs w:val="21"/>
                <w:highlight w:val="none"/>
                <w:lang w:eastAsia="zh-CN"/>
              </w:rPr>
              <w:t>Ⅱ类</w:t>
            </w:r>
            <w:r>
              <w:rPr>
                <w:rFonts w:hint="eastAsia" w:ascii="宋体" w:hAnsi="宋体" w:eastAsia="宋体" w:cs="宋体"/>
                <w:color w:val="auto"/>
                <w:sz w:val="21"/>
                <w:szCs w:val="21"/>
                <w:highlight w:val="none"/>
              </w:rPr>
              <w:t>放射源或I类射线装置的</w:t>
            </w:r>
          </w:p>
        </w:tc>
        <w:tc>
          <w:tcPr>
            <w:tcW w:w="1302" w:type="dxa"/>
            <w:noWrap w:val="0"/>
            <w:vAlign w:val="center"/>
          </w:tcPr>
          <w:p w14:paraId="6E27246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bl>
    <w:p w14:paraId="599A245A">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13"/>
        <w:gridCol w:w="5756"/>
        <w:gridCol w:w="1379"/>
      </w:tblGrid>
      <w:tr w14:paraId="24502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3"/>
            <w:noWrap w:val="0"/>
            <w:vAlign w:val="center"/>
          </w:tcPr>
          <w:p w14:paraId="6704521D">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（十）放射性污染防治类</w:t>
            </w:r>
          </w:p>
        </w:tc>
      </w:tr>
      <w:tr w14:paraId="46677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7" w:type="dxa"/>
            <w:noWrap w:val="0"/>
            <w:vAlign w:val="center"/>
          </w:tcPr>
          <w:p w14:paraId="6D82417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795" w:type="dxa"/>
            <w:gridSpan w:val="2"/>
            <w:noWrap w:val="0"/>
            <w:vAlign w:val="center"/>
          </w:tcPr>
          <w:p w14:paraId="746CFF67">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r>
      <w:tr w14:paraId="76DCF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7" w:type="dxa"/>
            <w:noWrap w:val="0"/>
            <w:vAlign w:val="center"/>
          </w:tcPr>
          <w:p w14:paraId="6859BCE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6795" w:type="dxa"/>
            <w:gridSpan w:val="2"/>
            <w:noWrap w:val="0"/>
            <w:vAlign w:val="center"/>
          </w:tcPr>
          <w:p w14:paraId="21113391">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不按照规定单独存放放射性同位素的</w:t>
            </w:r>
          </w:p>
        </w:tc>
      </w:tr>
      <w:tr w14:paraId="744DD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7" w:type="dxa"/>
            <w:noWrap w:val="0"/>
            <w:vAlign w:val="center"/>
          </w:tcPr>
          <w:p w14:paraId="6B6CA2E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6795" w:type="dxa"/>
            <w:gridSpan w:val="2"/>
            <w:noWrap w:val="0"/>
            <w:vAlign w:val="center"/>
          </w:tcPr>
          <w:p w14:paraId="55FE5C95">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《中华人民共和国生态环境法典》第六百二十五条  放射性同位素应当单独存放，不得与易燃、易爆、腐蚀性物品等一起存放，其贮存场所应当采取有效的防火、防盗、防射线泄漏的安全防护措施，并指定专人负责保管。贮存、领取、使用、归还放射性同位素时，应当进行登记、检查，做到账物相符。</w:t>
            </w:r>
          </w:p>
        </w:tc>
      </w:tr>
      <w:tr w14:paraId="61F99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7" w:type="dxa"/>
            <w:noWrap w:val="0"/>
            <w:vAlign w:val="center"/>
          </w:tcPr>
          <w:p w14:paraId="21905FC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6795" w:type="dxa"/>
            <w:gridSpan w:val="2"/>
            <w:noWrap w:val="0"/>
            <w:vAlign w:val="center"/>
          </w:tcPr>
          <w:p w14:paraId="625AC67D">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《中华人民共和国生态环境法典》第一千一百九十六条</w:t>
            </w:r>
            <w:r>
              <w:rPr>
                <w:rFonts w:hint="eastAsia" w:ascii="宋体" w:hAnsi="宋体" w:cs="宋体"/>
                <w:color w:val="auto"/>
                <w:sz w:val="21"/>
                <w:szCs w:val="21"/>
                <w:highlight w:val="none"/>
                <w:lang w:val="en-US" w:eastAsia="zh-CN"/>
              </w:rPr>
              <w:t>第三项</w:t>
            </w:r>
            <w:r>
              <w:rPr>
                <w:rFonts w:hint="eastAsia" w:ascii="宋体" w:hAnsi="宋体" w:eastAsia="宋体" w:cs="宋体"/>
                <w:color w:val="auto"/>
                <w:sz w:val="21"/>
                <w:szCs w:val="21"/>
                <w:highlight w:val="none"/>
              </w:rPr>
              <w:t xml:space="preserve">  违反本法规定，有下列情形之一的，由生态环境主管部门、核工业主管部门按照职责分工责令限期改正，处二万元以上二十万元以下的罚款；逾期不改正的，责令限制生产、停产整治：</w:t>
            </w:r>
          </w:p>
          <w:p w14:paraId="6875C3D3">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（三）不按照规定单独存放放射性同位素；</w:t>
            </w:r>
          </w:p>
        </w:tc>
      </w:tr>
      <w:tr w14:paraId="0BA08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7" w:type="dxa"/>
            <w:noWrap w:val="0"/>
            <w:vAlign w:val="center"/>
          </w:tcPr>
          <w:p w14:paraId="2AFF227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482" w:type="dxa"/>
            <w:noWrap w:val="0"/>
            <w:vAlign w:val="center"/>
          </w:tcPr>
          <w:p w14:paraId="62FCA61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313" w:type="dxa"/>
            <w:noWrap w:val="0"/>
            <w:vAlign w:val="center"/>
          </w:tcPr>
          <w:p w14:paraId="00C6083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43713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7" w:type="dxa"/>
            <w:vMerge w:val="restart"/>
            <w:noWrap w:val="0"/>
            <w:vAlign w:val="center"/>
          </w:tcPr>
          <w:p w14:paraId="546B1AFF">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违法事实</w:t>
            </w:r>
          </w:p>
        </w:tc>
        <w:tc>
          <w:tcPr>
            <w:tcW w:w="5482" w:type="dxa"/>
            <w:noWrap w:val="0"/>
            <w:vAlign w:val="center"/>
          </w:tcPr>
          <w:p w14:paraId="4FC8F0D9">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与一般物品一起存放</w:t>
            </w:r>
          </w:p>
        </w:tc>
        <w:tc>
          <w:tcPr>
            <w:tcW w:w="1313" w:type="dxa"/>
            <w:noWrap w:val="0"/>
            <w:vAlign w:val="center"/>
          </w:tcPr>
          <w:p w14:paraId="33C6F9BD">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r>
      <w:tr w14:paraId="40CB1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7" w:type="dxa"/>
            <w:vMerge w:val="continue"/>
            <w:noWrap w:val="0"/>
            <w:vAlign w:val="center"/>
          </w:tcPr>
          <w:p w14:paraId="6ECD19E8">
            <w:pPr>
              <w:jc w:val="center"/>
              <w:rPr>
                <w:rFonts w:hint="eastAsia" w:ascii="宋体" w:hAnsi="宋体" w:eastAsia="宋体" w:cs="宋体"/>
                <w:color w:val="auto"/>
                <w:sz w:val="21"/>
                <w:szCs w:val="21"/>
                <w:highlight w:val="none"/>
              </w:rPr>
            </w:pPr>
          </w:p>
        </w:tc>
        <w:tc>
          <w:tcPr>
            <w:tcW w:w="5482" w:type="dxa"/>
            <w:noWrap w:val="0"/>
            <w:vAlign w:val="center"/>
          </w:tcPr>
          <w:p w14:paraId="3FF70251">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与易燃、易爆、腐蚀性物品一起存放</w:t>
            </w:r>
          </w:p>
        </w:tc>
        <w:tc>
          <w:tcPr>
            <w:tcW w:w="1313" w:type="dxa"/>
            <w:noWrap w:val="0"/>
            <w:vAlign w:val="center"/>
          </w:tcPr>
          <w:p w14:paraId="44D1517B">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r>
      <w:tr w14:paraId="051F7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7" w:type="dxa"/>
            <w:vMerge w:val="restart"/>
            <w:noWrap w:val="0"/>
            <w:vAlign w:val="center"/>
          </w:tcPr>
          <w:p w14:paraId="603E2FC1">
            <w:pPr>
              <w:jc w:val="center"/>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放射源类型</w:t>
            </w:r>
          </w:p>
        </w:tc>
        <w:tc>
          <w:tcPr>
            <w:tcW w:w="5482" w:type="dxa"/>
            <w:noWrap w:val="0"/>
            <w:vAlign w:val="center"/>
          </w:tcPr>
          <w:p w14:paraId="0EDE0359">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Ⅳ类</w:t>
            </w:r>
            <w:r>
              <w:rPr>
                <w:rFonts w:hint="eastAsia" w:ascii="宋体" w:hAnsi="宋体" w:eastAsia="宋体" w:cs="宋体"/>
                <w:color w:val="auto"/>
                <w:sz w:val="21"/>
                <w:szCs w:val="21"/>
                <w:highlight w:val="none"/>
              </w:rPr>
              <w:t>、V类放射源或</w:t>
            </w:r>
            <w:r>
              <w:rPr>
                <w:rFonts w:hint="eastAsia" w:ascii="宋体" w:hAnsi="宋体" w:cs="宋体"/>
                <w:color w:val="auto"/>
                <w:sz w:val="21"/>
                <w:szCs w:val="21"/>
                <w:highlight w:val="none"/>
                <w:lang w:eastAsia="zh-CN"/>
              </w:rPr>
              <w:t>Ⅲ</w:t>
            </w:r>
            <w:r>
              <w:rPr>
                <w:rFonts w:hint="eastAsia" w:ascii="宋体" w:hAnsi="宋体" w:eastAsia="宋体" w:cs="宋体"/>
                <w:color w:val="auto"/>
                <w:sz w:val="21"/>
                <w:szCs w:val="21"/>
                <w:highlight w:val="none"/>
              </w:rPr>
              <w:t>类射线装置的</w:t>
            </w:r>
          </w:p>
        </w:tc>
        <w:tc>
          <w:tcPr>
            <w:tcW w:w="1313" w:type="dxa"/>
            <w:noWrap w:val="0"/>
            <w:vAlign w:val="center"/>
          </w:tcPr>
          <w:p w14:paraId="71618461">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1</w:t>
            </w:r>
          </w:p>
        </w:tc>
      </w:tr>
      <w:tr w14:paraId="345F7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7" w:type="dxa"/>
            <w:vMerge w:val="continue"/>
            <w:noWrap w:val="0"/>
            <w:vAlign w:val="center"/>
          </w:tcPr>
          <w:p w14:paraId="0F475773">
            <w:pPr>
              <w:rPr>
                <w:rFonts w:hint="eastAsia" w:ascii="宋体" w:hAnsi="宋体" w:eastAsia="宋体" w:cs="宋体"/>
                <w:color w:val="auto"/>
                <w:sz w:val="21"/>
                <w:szCs w:val="21"/>
                <w:highlight w:val="none"/>
              </w:rPr>
            </w:pPr>
          </w:p>
        </w:tc>
        <w:tc>
          <w:tcPr>
            <w:tcW w:w="5482" w:type="dxa"/>
            <w:noWrap w:val="0"/>
            <w:vAlign w:val="center"/>
          </w:tcPr>
          <w:p w14:paraId="0120F627">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Ⅲ类</w:t>
            </w:r>
            <w:r>
              <w:rPr>
                <w:rFonts w:hint="eastAsia" w:ascii="宋体" w:hAnsi="宋体" w:eastAsia="宋体" w:cs="宋体"/>
                <w:color w:val="auto"/>
                <w:sz w:val="21"/>
                <w:szCs w:val="21"/>
                <w:highlight w:val="none"/>
              </w:rPr>
              <w:t>放射源或</w:t>
            </w:r>
            <w:r>
              <w:rPr>
                <w:rFonts w:hint="eastAsia" w:ascii="宋体" w:hAnsi="宋体" w:cs="宋体"/>
                <w:color w:val="auto"/>
                <w:sz w:val="21"/>
                <w:szCs w:val="21"/>
                <w:highlight w:val="none"/>
                <w:lang w:eastAsia="zh-CN"/>
              </w:rPr>
              <w:t>Ⅱ类</w:t>
            </w:r>
            <w:r>
              <w:rPr>
                <w:rFonts w:hint="eastAsia" w:ascii="宋体" w:hAnsi="宋体" w:eastAsia="宋体" w:cs="宋体"/>
                <w:color w:val="auto"/>
                <w:sz w:val="21"/>
                <w:szCs w:val="21"/>
                <w:highlight w:val="none"/>
              </w:rPr>
              <w:t>射线装置的</w:t>
            </w:r>
          </w:p>
        </w:tc>
        <w:tc>
          <w:tcPr>
            <w:tcW w:w="1313" w:type="dxa"/>
            <w:noWrap w:val="0"/>
            <w:vAlign w:val="center"/>
          </w:tcPr>
          <w:p w14:paraId="246425E4">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3</w:t>
            </w:r>
          </w:p>
        </w:tc>
      </w:tr>
      <w:tr w14:paraId="774F6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7" w:type="dxa"/>
            <w:vMerge w:val="continue"/>
            <w:noWrap w:val="0"/>
            <w:vAlign w:val="center"/>
          </w:tcPr>
          <w:p w14:paraId="220AF971">
            <w:pPr>
              <w:rPr>
                <w:rFonts w:hint="eastAsia" w:ascii="宋体" w:hAnsi="宋体" w:eastAsia="宋体" w:cs="宋体"/>
                <w:color w:val="auto"/>
                <w:sz w:val="21"/>
                <w:szCs w:val="21"/>
                <w:highlight w:val="none"/>
              </w:rPr>
            </w:pPr>
          </w:p>
        </w:tc>
        <w:tc>
          <w:tcPr>
            <w:tcW w:w="5482" w:type="dxa"/>
            <w:noWrap w:val="0"/>
            <w:vAlign w:val="center"/>
          </w:tcPr>
          <w:p w14:paraId="17FCB8C2">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I类、</w:t>
            </w:r>
            <w:r>
              <w:rPr>
                <w:rFonts w:hint="eastAsia" w:ascii="宋体" w:hAnsi="宋体" w:cs="宋体"/>
                <w:color w:val="auto"/>
                <w:sz w:val="21"/>
                <w:szCs w:val="21"/>
                <w:highlight w:val="none"/>
                <w:lang w:eastAsia="zh-CN"/>
              </w:rPr>
              <w:t>Ⅱ类</w:t>
            </w:r>
            <w:r>
              <w:rPr>
                <w:rFonts w:hint="eastAsia" w:ascii="宋体" w:hAnsi="宋体" w:eastAsia="宋体" w:cs="宋体"/>
                <w:color w:val="auto"/>
                <w:sz w:val="21"/>
                <w:szCs w:val="21"/>
                <w:highlight w:val="none"/>
              </w:rPr>
              <w:t>放射源或I类射线装置的</w:t>
            </w:r>
          </w:p>
        </w:tc>
        <w:tc>
          <w:tcPr>
            <w:tcW w:w="1313" w:type="dxa"/>
            <w:noWrap w:val="0"/>
            <w:vAlign w:val="center"/>
          </w:tcPr>
          <w:p w14:paraId="630AFAC7">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5</w:t>
            </w:r>
          </w:p>
        </w:tc>
      </w:tr>
    </w:tbl>
    <w:p w14:paraId="34552BDC">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12"/>
        <w:gridCol w:w="5759"/>
        <w:gridCol w:w="1377"/>
      </w:tblGrid>
      <w:tr w14:paraId="74DE5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3"/>
            <w:noWrap w:val="0"/>
            <w:vAlign w:val="center"/>
          </w:tcPr>
          <w:p w14:paraId="4C9EDC33">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（十）放射性污染防治类</w:t>
            </w:r>
          </w:p>
        </w:tc>
      </w:tr>
      <w:tr w14:paraId="0960F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6" w:type="dxa"/>
            <w:noWrap w:val="0"/>
            <w:vAlign w:val="center"/>
          </w:tcPr>
          <w:p w14:paraId="0861A5B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796" w:type="dxa"/>
            <w:gridSpan w:val="2"/>
            <w:noWrap w:val="0"/>
            <w:vAlign w:val="center"/>
          </w:tcPr>
          <w:p w14:paraId="76A4DAB0">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w:t>
            </w:r>
          </w:p>
        </w:tc>
      </w:tr>
      <w:tr w14:paraId="199DE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6" w:type="dxa"/>
            <w:noWrap w:val="0"/>
            <w:vAlign w:val="center"/>
          </w:tcPr>
          <w:p w14:paraId="23575FE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6796" w:type="dxa"/>
            <w:gridSpan w:val="2"/>
            <w:noWrap w:val="0"/>
            <w:vAlign w:val="center"/>
          </w:tcPr>
          <w:p w14:paraId="4AF2260B">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不按照规定采取安全和防护措施的</w:t>
            </w:r>
          </w:p>
        </w:tc>
      </w:tr>
      <w:tr w14:paraId="4CB71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6" w:type="dxa"/>
            <w:noWrap w:val="0"/>
            <w:vAlign w:val="center"/>
          </w:tcPr>
          <w:p w14:paraId="3B3919E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6796" w:type="dxa"/>
            <w:gridSpan w:val="2"/>
            <w:noWrap w:val="0"/>
            <w:vAlign w:val="center"/>
          </w:tcPr>
          <w:p w14:paraId="7ECB5610">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《中华人民共和国生态环境法典》第六百零八条第一款　核设施营运单位，核技术利用单位和其他生产经营者，铀（钍）矿和伴生放射性矿开发利用单位，专门从事放射性废物贮存、处理、处置的单位应当采取安全与防护措施，预防发生可能导致放射性污染的各类事故，避免放射性污染危害。</w:t>
            </w:r>
          </w:p>
          <w:p w14:paraId="45FDC2BB">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《中华人民共和国生态环境法典》第六百二十五条 放射性同位素应当单独存放，不得与易燃、易爆、腐蚀性物品等一起存放，其贮存场所应当采取有效的防火、防盗、防射线泄漏的安全防护措施，并指定专人负责保管。贮存、领取、使用、归还放射性同位素时，应当进行登记、检查，做到账物相符。</w:t>
            </w:r>
          </w:p>
        </w:tc>
      </w:tr>
      <w:tr w14:paraId="5A7E0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6" w:type="dxa"/>
            <w:noWrap w:val="0"/>
            <w:vAlign w:val="center"/>
          </w:tcPr>
          <w:p w14:paraId="21D8BA6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6796" w:type="dxa"/>
            <w:gridSpan w:val="2"/>
            <w:noWrap w:val="0"/>
            <w:vAlign w:val="center"/>
          </w:tcPr>
          <w:p w14:paraId="1989003D">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《中华人民共和国生态环境法典》第一千一百九十六条</w:t>
            </w:r>
            <w:r>
              <w:rPr>
                <w:rFonts w:hint="eastAsia" w:ascii="宋体" w:hAnsi="宋体" w:cs="宋体"/>
                <w:color w:val="auto"/>
                <w:sz w:val="21"/>
                <w:szCs w:val="21"/>
                <w:highlight w:val="none"/>
                <w:lang w:val="en-US" w:eastAsia="zh-CN"/>
              </w:rPr>
              <w:t>第四项</w:t>
            </w:r>
            <w:r>
              <w:rPr>
                <w:rFonts w:hint="eastAsia" w:ascii="宋体" w:hAnsi="宋体" w:eastAsia="宋体" w:cs="宋体"/>
                <w:color w:val="auto"/>
                <w:sz w:val="21"/>
                <w:szCs w:val="21"/>
                <w:highlight w:val="none"/>
              </w:rPr>
              <w:t xml:space="preserve">  违反本法规定，有下列情形之一的，由生态环境主管部门、核工业主管部门按照职责分工责令限期改正，处二万元以上二十万元以下的罚款；逾期不改正的，责令限制生产、停产整治：</w:t>
            </w:r>
          </w:p>
          <w:p w14:paraId="1E8310BB">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（四）不按照规定采取安全和防护措施；</w:t>
            </w:r>
          </w:p>
        </w:tc>
      </w:tr>
      <w:tr w14:paraId="02335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6" w:type="dxa"/>
            <w:noWrap w:val="0"/>
            <w:vAlign w:val="center"/>
          </w:tcPr>
          <w:p w14:paraId="0E3D881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485" w:type="dxa"/>
            <w:noWrap w:val="0"/>
            <w:vAlign w:val="center"/>
          </w:tcPr>
          <w:p w14:paraId="755807E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311" w:type="dxa"/>
            <w:noWrap w:val="0"/>
            <w:vAlign w:val="center"/>
          </w:tcPr>
          <w:p w14:paraId="27F112B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1C8B9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6" w:type="dxa"/>
            <w:vMerge w:val="restart"/>
            <w:noWrap w:val="0"/>
            <w:vAlign w:val="center"/>
          </w:tcPr>
          <w:p w14:paraId="7F955B9B">
            <w:pPr>
              <w:jc w:val="center"/>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放射源类型</w:t>
            </w:r>
          </w:p>
        </w:tc>
        <w:tc>
          <w:tcPr>
            <w:tcW w:w="5485" w:type="dxa"/>
            <w:noWrap w:val="0"/>
            <w:vAlign w:val="center"/>
          </w:tcPr>
          <w:p w14:paraId="2F404605">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Ⅳ类</w:t>
            </w:r>
            <w:r>
              <w:rPr>
                <w:rFonts w:hint="eastAsia" w:ascii="宋体" w:hAnsi="宋体" w:eastAsia="宋体" w:cs="宋体"/>
                <w:color w:val="auto"/>
                <w:sz w:val="21"/>
                <w:szCs w:val="21"/>
                <w:highlight w:val="none"/>
              </w:rPr>
              <w:t>、V类放射源或</w:t>
            </w:r>
            <w:r>
              <w:rPr>
                <w:rFonts w:hint="eastAsia" w:ascii="宋体" w:hAnsi="宋体" w:cs="宋体"/>
                <w:color w:val="auto"/>
                <w:sz w:val="21"/>
                <w:szCs w:val="21"/>
                <w:highlight w:val="none"/>
                <w:lang w:eastAsia="zh-CN"/>
              </w:rPr>
              <w:t>Ⅲ</w:t>
            </w:r>
            <w:r>
              <w:rPr>
                <w:rFonts w:hint="eastAsia" w:ascii="宋体" w:hAnsi="宋体" w:eastAsia="宋体" w:cs="宋体"/>
                <w:color w:val="auto"/>
                <w:sz w:val="21"/>
                <w:szCs w:val="21"/>
                <w:highlight w:val="none"/>
              </w:rPr>
              <w:t>类射线装置的</w:t>
            </w:r>
          </w:p>
        </w:tc>
        <w:tc>
          <w:tcPr>
            <w:tcW w:w="1311" w:type="dxa"/>
            <w:noWrap w:val="0"/>
            <w:vAlign w:val="center"/>
          </w:tcPr>
          <w:p w14:paraId="5B2AA07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6F450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6" w:type="dxa"/>
            <w:vMerge w:val="continue"/>
            <w:noWrap w:val="0"/>
            <w:vAlign w:val="center"/>
          </w:tcPr>
          <w:p w14:paraId="164F94E8">
            <w:pPr>
              <w:rPr>
                <w:rFonts w:hint="eastAsia" w:ascii="宋体" w:hAnsi="宋体" w:eastAsia="宋体" w:cs="宋体"/>
                <w:color w:val="auto"/>
                <w:sz w:val="21"/>
                <w:szCs w:val="21"/>
                <w:highlight w:val="none"/>
              </w:rPr>
            </w:pPr>
          </w:p>
        </w:tc>
        <w:tc>
          <w:tcPr>
            <w:tcW w:w="5485" w:type="dxa"/>
            <w:noWrap w:val="0"/>
            <w:vAlign w:val="center"/>
          </w:tcPr>
          <w:p w14:paraId="30B190E9">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Ⅲ类</w:t>
            </w:r>
            <w:r>
              <w:rPr>
                <w:rFonts w:hint="eastAsia" w:ascii="宋体" w:hAnsi="宋体" w:eastAsia="宋体" w:cs="宋体"/>
                <w:color w:val="auto"/>
                <w:sz w:val="21"/>
                <w:szCs w:val="21"/>
                <w:highlight w:val="none"/>
              </w:rPr>
              <w:t>放射源或</w:t>
            </w:r>
            <w:r>
              <w:rPr>
                <w:rFonts w:hint="eastAsia" w:ascii="宋体" w:hAnsi="宋体" w:cs="宋体"/>
                <w:color w:val="auto"/>
                <w:sz w:val="21"/>
                <w:szCs w:val="21"/>
                <w:highlight w:val="none"/>
                <w:lang w:eastAsia="zh-CN"/>
              </w:rPr>
              <w:t>Ⅱ类</w:t>
            </w:r>
            <w:r>
              <w:rPr>
                <w:rFonts w:hint="eastAsia" w:ascii="宋体" w:hAnsi="宋体" w:eastAsia="宋体" w:cs="宋体"/>
                <w:color w:val="auto"/>
                <w:sz w:val="21"/>
                <w:szCs w:val="21"/>
                <w:highlight w:val="none"/>
              </w:rPr>
              <w:t>射线装置的</w:t>
            </w:r>
          </w:p>
        </w:tc>
        <w:tc>
          <w:tcPr>
            <w:tcW w:w="1311" w:type="dxa"/>
            <w:noWrap w:val="0"/>
            <w:vAlign w:val="center"/>
          </w:tcPr>
          <w:p w14:paraId="401A4ED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7E0FB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6" w:type="dxa"/>
            <w:vMerge w:val="continue"/>
            <w:noWrap w:val="0"/>
            <w:vAlign w:val="center"/>
          </w:tcPr>
          <w:p w14:paraId="53F72E87">
            <w:pPr>
              <w:rPr>
                <w:rFonts w:hint="eastAsia" w:ascii="宋体" w:hAnsi="宋体" w:eastAsia="宋体" w:cs="宋体"/>
                <w:color w:val="auto"/>
                <w:sz w:val="21"/>
                <w:szCs w:val="21"/>
                <w:highlight w:val="none"/>
              </w:rPr>
            </w:pPr>
          </w:p>
        </w:tc>
        <w:tc>
          <w:tcPr>
            <w:tcW w:w="5485" w:type="dxa"/>
            <w:noWrap w:val="0"/>
            <w:vAlign w:val="center"/>
          </w:tcPr>
          <w:p w14:paraId="2CA517A6">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I类、</w:t>
            </w:r>
            <w:r>
              <w:rPr>
                <w:rFonts w:hint="eastAsia" w:ascii="宋体" w:hAnsi="宋体" w:cs="宋体"/>
                <w:color w:val="auto"/>
                <w:sz w:val="21"/>
                <w:szCs w:val="21"/>
                <w:highlight w:val="none"/>
                <w:lang w:eastAsia="zh-CN"/>
              </w:rPr>
              <w:t>Ⅱ类</w:t>
            </w:r>
            <w:r>
              <w:rPr>
                <w:rFonts w:hint="eastAsia" w:ascii="宋体" w:hAnsi="宋体" w:eastAsia="宋体" w:cs="宋体"/>
                <w:color w:val="auto"/>
                <w:sz w:val="21"/>
                <w:szCs w:val="21"/>
                <w:highlight w:val="none"/>
              </w:rPr>
              <w:t>放射源或I类射线装置的</w:t>
            </w:r>
          </w:p>
        </w:tc>
        <w:tc>
          <w:tcPr>
            <w:tcW w:w="1311" w:type="dxa"/>
            <w:noWrap w:val="0"/>
            <w:vAlign w:val="center"/>
          </w:tcPr>
          <w:p w14:paraId="60A09BE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bl>
    <w:p w14:paraId="37E79E55">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12"/>
        <w:gridCol w:w="5759"/>
        <w:gridCol w:w="1377"/>
      </w:tblGrid>
      <w:tr w14:paraId="3240A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3"/>
            <w:noWrap w:val="0"/>
            <w:vAlign w:val="center"/>
          </w:tcPr>
          <w:p w14:paraId="62E443C9">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（十）放射性污染防治类</w:t>
            </w:r>
          </w:p>
        </w:tc>
      </w:tr>
      <w:tr w14:paraId="653CA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6" w:type="dxa"/>
            <w:noWrap w:val="0"/>
            <w:vAlign w:val="center"/>
          </w:tcPr>
          <w:p w14:paraId="31D308D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796" w:type="dxa"/>
            <w:gridSpan w:val="2"/>
            <w:noWrap w:val="0"/>
            <w:vAlign w:val="center"/>
          </w:tcPr>
          <w:p w14:paraId="48D927DE">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w:t>
            </w:r>
          </w:p>
        </w:tc>
      </w:tr>
      <w:tr w14:paraId="04AB4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6" w:type="dxa"/>
            <w:noWrap w:val="0"/>
            <w:vAlign w:val="center"/>
          </w:tcPr>
          <w:p w14:paraId="0571A12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6796" w:type="dxa"/>
            <w:gridSpan w:val="2"/>
            <w:noWrap w:val="0"/>
            <w:vAlign w:val="center"/>
          </w:tcPr>
          <w:p w14:paraId="43DB76A0">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未对其工作人员进行放射性安全教育、培训和采取有效的防护安全措施的</w:t>
            </w:r>
          </w:p>
        </w:tc>
      </w:tr>
      <w:tr w14:paraId="4F8EE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6" w:type="dxa"/>
            <w:noWrap w:val="0"/>
            <w:vAlign w:val="center"/>
          </w:tcPr>
          <w:p w14:paraId="1CC4B8F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6796" w:type="dxa"/>
            <w:gridSpan w:val="2"/>
            <w:noWrap w:val="0"/>
            <w:vAlign w:val="center"/>
          </w:tcPr>
          <w:p w14:paraId="69CE472E">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《中华人民共和国生态环境法典》第六百零八条</w:t>
            </w:r>
            <w:r>
              <w:rPr>
                <w:rFonts w:hint="eastAsia" w:ascii="宋体" w:hAnsi="宋体" w:eastAsia="宋体" w:cs="宋体"/>
                <w:color w:val="auto"/>
                <w:sz w:val="21"/>
                <w:szCs w:val="21"/>
                <w:highlight w:val="none"/>
                <w:lang w:val="en-US" w:eastAsia="zh-CN"/>
              </w:rPr>
              <w:t>第二款</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核设施营运单位，核技术利用单位和其他生产经营者，铀</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钍</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矿和伴生放射性矿开发利用单位，专门从事放射性废物贮存、处理、处置的单位应当对其工作人员进行放射性安全教育、培训，采取有效的防护安全措施。</w:t>
            </w:r>
          </w:p>
        </w:tc>
      </w:tr>
      <w:tr w14:paraId="7D8E8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6" w:type="dxa"/>
            <w:noWrap w:val="0"/>
            <w:vAlign w:val="center"/>
          </w:tcPr>
          <w:p w14:paraId="0E95828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6796" w:type="dxa"/>
            <w:gridSpan w:val="2"/>
            <w:noWrap w:val="0"/>
            <w:vAlign w:val="center"/>
          </w:tcPr>
          <w:p w14:paraId="7CFBF790">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《中华人民共和国生态环境法典》第一千一百九十六条</w:t>
            </w:r>
            <w:r>
              <w:rPr>
                <w:rFonts w:hint="eastAsia" w:ascii="宋体" w:hAnsi="宋体" w:eastAsia="宋体" w:cs="宋体"/>
                <w:color w:val="auto"/>
                <w:sz w:val="21"/>
                <w:szCs w:val="21"/>
                <w:highlight w:val="none"/>
                <w:lang w:val="en-US" w:eastAsia="zh-CN"/>
              </w:rPr>
              <w:t>第五项</w:t>
            </w:r>
            <w:r>
              <w:rPr>
                <w:rFonts w:hint="eastAsia" w:ascii="宋体" w:hAnsi="宋体" w:eastAsia="宋体" w:cs="宋体"/>
                <w:color w:val="auto"/>
                <w:sz w:val="21"/>
                <w:szCs w:val="21"/>
                <w:highlight w:val="none"/>
              </w:rPr>
              <w:t xml:space="preserve">  违反本法规定，有下列情形之一的，由生态环境主管部门、核工业主管部门按照职责分工责令限期改正，处二万元以上二十万元以下的罚款；逾期不改正的，责令限制生产、停产整治：</w:t>
            </w:r>
          </w:p>
          <w:p w14:paraId="14B5035B">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（五）未对其工作人员进行放射性安全教育、培训和采取有效的防护安全措施。</w:t>
            </w:r>
          </w:p>
        </w:tc>
      </w:tr>
      <w:tr w14:paraId="42A59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6" w:type="dxa"/>
            <w:noWrap w:val="0"/>
            <w:vAlign w:val="center"/>
          </w:tcPr>
          <w:p w14:paraId="7D93634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485" w:type="dxa"/>
            <w:noWrap w:val="0"/>
            <w:vAlign w:val="center"/>
          </w:tcPr>
          <w:p w14:paraId="2DCA1F5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311" w:type="dxa"/>
            <w:noWrap w:val="0"/>
            <w:vAlign w:val="center"/>
          </w:tcPr>
          <w:p w14:paraId="77BA872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666C8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6" w:type="dxa"/>
            <w:vMerge w:val="restart"/>
            <w:noWrap w:val="0"/>
            <w:vAlign w:val="center"/>
          </w:tcPr>
          <w:p w14:paraId="157B5A75">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违法事实</w:t>
            </w:r>
          </w:p>
        </w:tc>
        <w:tc>
          <w:tcPr>
            <w:tcW w:w="5485" w:type="dxa"/>
            <w:noWrap w:val="0"/>
            <w:vAlign w:val="center"/>
          </w:tcPr>
          <w:p w14:paraId="0195BECB">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未进行放射性安全教育、培训，已采取有效的防护安全措施</w:t>
            </w:r>
          </w:p>
        </w:tc>
        <w:tc>
          <w:tcPr>
            <w:tcW w:w="1311" w:type="dxa"/>
            <w:noWrap w:val="0"/>
            <w:vAlign w:val="center"/>
          </w:tcPr>
          <w:p w14:paraId="33AA2205">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r>
      <w:tr w14:paraId="643E4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6" w:type="dxa"/>
            <w:vMerge w:val="continue"/>
            <w:noWrap w:val="0"/>
            <w:vAlign w:val="center"/>
          </w:tcPr>
          <w:p w14:paraId="30FA1BD5">
            <w:pPr>
              <w:jc w:val="center"/>
              <w:rPr>
                <w:rFonts w:hint="eastAsia" w:ascii="宋体" w:hAnsi="宋体" w:eastAsia="宋体" w:cs="宋体"/>
                <w:color w:val="auto"/>
                <w:sz w:val="21"/>
                <w:szCs w:val="21"/>
                <w:highlight w:val="none"/>
              </w:rPr>
            </w:pPr>
          </w:p>
        </w:tc>
        <w:tc>
          <w:tcPr>
            <w:tcW w:w="5485" w:type="dxa"/>
            <w:noWrap w:val="0"/>
            <w:vAlign w:val="center"/>
          </w:tcPr>
          <w:p w14:paraId="545BA8BB">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已进行放射性安全教育、培训，未采取有效的防护安全措施</w:t>
            </w:r>
          </w:p>
        </w:tc>
        <w:tc>
          <w:tcPr>
            <w:tcW w:w="1311" w:type="dxa"/>
            <w:noWrap w:val="0"/>
            <w:vAlign w:val="center"/>
          </w:tcPr>
          <w:p w14:paraId="2B4D01D5">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r>
      <w:tr w14:paraId="517E9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6" w:type="dxa"/>
            <w:vMerge w:val="continue"/>
            <w:noWrap w:val="0"/>
            <w:vAlign w:val="center"/>
          </w:tcPr>
          <w:p w14:paraId="2E1ECF6B">
            <w:pPr>
              <w:jc w:val="center"/>
              <w:rPr>
                <w:rFonts w:hint="eastAsia" w:ascii="宋体" w:hAnsi="宋体" w:eastAsia="宋体" w:cs="宋体"/>
                <w:color w:val="auto"/>
                <w:sz w:val="21"/>
                <w:szCs w:val="21"/>
                <w:highlight w:val="none"/>
              </w:rPr>
            </w:pPr>
          </w:p>
        </w:tc>
        <w:tc>
          <w:tcPr>
            <w:tcW w:w="5485" w:type="dxa"/>
            <w:noWrap w:val="0"/>
            <w:vAlign w:val="center"/>
          </w:tcPr>
          <w:p w14:paraId="5316DD54">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未进行放射性安全教育、培训，未采取有效的防护安全措施</w:t>
            </w:r>
          </w:p>
        </w:tc>
        <w:tc>
          <w:tcPr>
            <w:tcW w:w="1311" w:type="dxa"/>
            <w:noWrap w:val="0"/>
            <w:vAlign w:val="center"/>
          </w:tcPr>
          <w:p w14:paraId="11BCF33D">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r>
      <w:tr w14:paraId="198D1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6" w:type="dxa"/>
            <w:vMerge w:val="restart"/>
            <w:noWrap w:val="0"/>
            <w:vAlign w:val="center"/>
          </w:tcPr>
          <w:p w14:paraId="04455A5A">
            <w:pPr>
              <w:jc w:val="center"/>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放射源类型</w:t>
            </w:r>
          </w:p>
        </w:tc>
        <w:tc>
          <w:tcPr>
            <w:tcW w:w="5485" w:type="dxa"/>
            <w:noWrap w:val="0"/>
            <w:vAlign w:val="center"/>
          </w:tcPr>
          <w:p w14:paraId="046B03CF">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Ⅳ类</w:t>
            </w:r>
            <w:r>
              <w:rPr>
                <w:rFonts w:hint="eastAsia" w:ascii="宋体" w:hAnsi="宋体" w:eastAsia="宋体" w:cs="宋体"/>
                <w:color w:val="auto"/>
                <w:sz w:val="21"/>
                <w:szCs w:val="21"/>
                <w:highlight w:val="none"/>
              </w:rPr>
              <w:t>、V类放射源或</w:t>
            </w:r>
            <w:r>
              <w:rPr>
                <w:rFonts w:hint="eastAsia" w:ascii="宋体" w:hAnsi="宋体" w:cs="宋体"/>
                <w:color w:val="auto"/>
                <w:sz w:val="21"/>
                <w:szCs w:val="21"/>
                <w:highlight w:val="none"/>
                <w:lang w:eastAsia="zh-CN"/>
              </w:rPr>
              <w:t>Ⅲ</w:t>
            </w:r>
            <w:r>
              <w:rPr>
                <w:rFonts w:hint="eastAsia" w:ascii="宋体" w:hAnsi="宋体" w:eastAsia="宋体" w:cs="宋体"/>
                <w:color w:val="auto"/>
                <w:sz w:val="21"/>
                <w:szCs w:val="21"/>
                <w:highlight w:val="none"/>
              </w:rPr>
              <w:t>类射线装置的</w:t>
            </w:r>
          </w:p>
        </w:tc>
        <w:tc>
          <w:tcPr>
            <w:tcW w:w="1311" w:type="dxa"/>
            <w:noWrap w:val="0"/>
            <w:vAlign w:val="center"/>
          </w:tcPr>
          <w:p w14:paraId="7E25768B">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1</w:t>
            </w:r>
          </w:p>
        </w:tc>
      </w:tr>
      <w:tr w14:paraId="480E1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6" w:type="dxa"/>
            <w:vMerge w:val="continue"/>
            <w:noWrap w:val="0"/>
            <w:vAlign w:val="center"/>
          </w:tcPr>
          <w:p w14:paraId="103F4946">
            <w:pPr>
              <w:rPr>
                <w:rFonts w:hint="eastAsia" w:ascii="宋体" w:hAnsi="宋体" w:eastAsia="宋体" w:cs="宋体"/>
                <w:color w:val="auto"/>
                <w:sz w:val="21"/>
                <w:szCs w:val="21"/>
                <w:highlight w:val="none"/>
              </w:rPr>
            </w:pPr>
          </w:p>
        </w:tc>
        <w:tc>
          <w:tcPr>
            <w:tcW w:w="5485" w:type="dxa"/>
            <w:noWrap w:val="0"/>
            <w:vAlign w:val="center"/>
          </w:tcPr>
          <w:p w14:paraId="1892D0E4">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Ⅲ类</w:t>
            </w:r>
            <w:r>
              <w:rPr>
                <w:rFonts w:hint="eastAsia" w:ascii="宋体" w:hAnsi="宋体" w:eastAsia="宋体" w:cs="宋体"/>
                <w:color w:val="auto"/>
                <w:sz w:val="21"/>
                <w:szCs w:val="21"/>
                <w:highlight w:val="none"/>
              </w:rPr>
              <w:t>放射源或</w:t>
            </w:r>
            <w:r>
              <w:rPr>
                <w:rFonts w:hint="eastAsia" w:ascii="宋体" w:hAnsi="宋体" w:cs="宋体"/>
                <w:color w:val="auto"/>
                <w:sz w:val="21"/>
                <w:szCs w:val="21"/>
                <w:highlight w:val="none"/>
                <w:lang w:eastAsia="zh-CN"/>
              </w:rPr>
              <w:t>Ⅱ类</w:t>
            </w:r>
            <w:r>
              <w:rPr>
                <w:rFonts w:hint="eastAsia" w:ascii="宋体" w:hAnsi="宋体" w:eastAsia="宋体" w:cs="宋体"/>
                <w:color w:val="auto"/>
                <w:sz w:val="21"/>
                <w:szCs w:val="21"/>
                <w:highlight w:val="none"/>
              </w:rPr>
              <w:t>射线装置的</w:t>
            </w:r>
          </w:p>
        </w:tc>
        <w:tc>
          <w:tcPr>
            <w:tcW w:w="1311" w:type="dxa"/>
            <w:noWrap w:val="0"/>
            <w:vAlign w:val="center"/>
          </w:tcPr>
          <w:p w14:paraId="515EA411">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3</w:t>
            </w:r>
          </w:p>
        </w:tc>
      </w:tr>
      <w:tr w14:paraId="44249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6" w:type="dxa"/>
            <w:vMerge w:val="continue"/>
            <w:noWrap w:val="0"/>
            <w:vAlign w:val="center"/>
          </w:tcPr>
          <w:p w14:paraId="78A79072">
            <w:pPr>
              <w:rPr>
                <w:rFonts w:hint="eastAsia" w:ascii="宋体" w:hAnsi="宋体" w:eastAsia="宋体" w:cs="宋体"/>
                <w:color w:val="auto"/>
                <w:sz w:val="21"/>
                <w:szCs w:val="21"/>
                <w:highlight w:val="none"/>
              </w:rPr>
            </w:pPr>
          </w:p>
        </w:tc>
        <w:tc>
          <w:tcPr>
            <w:tcW w:w="5485" w:type="dxa"/>
            <w:noWrap w:val="0"/>
            <w:vAlign w:val="center"/>
          </w:tcPr>
          <w:p w14:paraId="78357130">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I类、</w:t>
            </w:r>
            <w:r>
              <w:rPr>
                <w:rFonts w:hint="eastAsia" w:ascii="宋体" w:hAnsi="宋体" w:cs="宋体"/>
                <w:color w:val="auto"/>
                <w:sz w:val="21"/>
                <w:szCs w:val="21"/>
                <w:highlight w:val="none"/>
                <w:lang w:eastAsia="zh-CN"/>
              </w:rPr>
              <w:t>Ⅱ类</w:t>
            </w:r>
            <w:r>
              <w:rPr>
                <w:rFonts w:hint="eastAsia" w:ascii="宋体" w:hAnsi="宋体" w:eastAsia="宋体" w:cs="宋体"/>
                <w:color w:val="auto"/>
                <w:sz w:val="21"/>
                <w:szCs w:val="21"/>
                <w:highlight w:val="none"/>
              </w:rPr>
              <w:t>放射源或I类射线装置的</w:t>
            </w:r>
          </w:p>
        </w:tc>
        <w:tc>
          <w:tcPr>
            <w:tcW w:w="1311" w:type="dxa"/>
            <w:noWrap w:val="0"/>
            <w:vAlign w:val="center"/>
          </w:tcPr>
          <w:p w14:paraId="764E65E3">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5</w:t>
            </w:r>
          </w:p>
        </w:tc>
      </w:tr>
    </w:tbl>
    <w:p w14:paraId="1E7531F0">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508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8"/>
        <w:gridCol w:w="5641"/>
        <w:gridCol w:w="1646"/>
      </w:tblGrid>
      <w:tr w14:paraId="75EEE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62" w:type="dxa"/>
            <w:gridSpan w:val="3"/>
            <w:tcBorders>
              <w:top w:val="single" w:color="auto" w:sz="4" w:space="0"/>
              <w:left w:val="single" w:color="auto" w:sz="4" w:space="0"/>
              <w:bottom w:val="single" w:color="auto" w:sz="4" w:space="0"/>
              <w:right w:val="single" w:color="auto" w:sz="4" w:space="0"/>
            </w:tcBorders>
            <w:noWrap w:val="0"/>
            <w:vAlign w:val="center"/>
          </w:tcPr>
          <w:p w14:paraId="7B0E11DD">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（十）放射性污染防治类</w:t>
            </w:r>
          </w:p>
        </w:tc>
      </w:tr>
      <w:tr w14:paraId="72EE3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2" w:type="dxa"/>
            <w:tcBorders>
              <w:top w:val="single" w:color="auto" w:sz="4" w:space="0"/>
              <w:left w:val="single" w:color="auto" w:sz="4" w:space="0"/>
              <w:bottom w:val="single" w:color="auto" w:sz="4" w:space="0"/>
              <w:right w:val="single" w:color="auto" w:sz="4" w:space="0"/>
            </w:tcBorders>
            <w:noWrap w:val="0"/>
            <w:vAlign w:val="center"/>
          </w:tcPr>
          <w:p w14:paraId="4EDE1E6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940" w:type="dxa"/>
            <w:gridSpan w:val="2"/>
            <w:tcBorders>
              <w:top w:val="single" w:color="auto" w:sz="4" w:space="0"/>
              <w:left w:val="single" w:color="auto" w:sz="4" w:space="0"/>
              <w:bottom w:val="single" w:color="auto" w:sz="4" w:space="0"/>
              <w:right w:val="single" w:color="auto" w:sz="4" w:space="0"/>
            </w:tcBorders>
            <w:noWrap w:val="0"/>
            <w:vAlign w:val="center"/>
          </w:tcPr>
          <w:p w14:paraId="4AE5C6E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w:t>
            </w:r>
          </w:p>
        </w:tc>
      </w:tr>
      <w:tr w14:paraId="2B684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2" w:type="dxa"/>
            <w:tcBorders>
              <w:top w:val="single" w:color="auto" w:sz="4" w:space="0"/>
              <w:left w:val="single" w:color="auto" w:sz="4" w:space="0"/>
              <w:bottom w:val="single" w:color="auto" w:sz="4" w:space="0"/>
              <w:right w:val="single" w:color="auto" w:sz="4" w:space="0"/>
            </w:tcBorders>
            <w:noWrap w:val="0"/>
            <w:vAlign w:val="center"/>
          </w:tcPr>
          <w:p w14:paraId="5A5D291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6940" w:type="dxa"/>
            <w:gridSpan w:val="2"/>
            <w:tcBorders>
              <w:top w:val="single" w:color="auto" w:sz="4" w:space="0"/>
              <w:left w:val="single" w:color="auto" w:sz="4" w:space="0"/>
              <w:bottom w:val="single" w:color="auto" w:sz="4" w:space="0"/>
              <w:right w:val="single" w:color="auto" w:sz="4" w:space="0"/>
            </w:tcBorders>
            <w:noWrap w:val="0"/>
            <w:vAlign w:val="center"/>
          </w:tcPr>
          <w:p w14:paraId="509BE736">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违反规定生产、销售、使用、转让、进出口、贮存放射性同位素和射线装置以及装备有放射性同位素的仪表的</w:t>
            </w:r>
          </w:p>
        </w:tc>
      </w:tr>
      <w:tr w14:paraId="16EA7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2" w:type="dxa"/>
            <w:tcBorders>
              <w:top w:val="single" w:color="auto" w:sz="4" w:space="0"/>
              <w:left w:val="single" w:color="auto" w:sz="4" w:space="0"/>
              <w:bottom w:val="single" w:color="auto" w:sz="4" w:space="0"/>
              <w:right w:val="single" w:color="auto" w:sz="4" w:space="0"/>
            </w:tcBorders>
            <w:noWrap w:val="0"/>
            <w:vAlign w:val="center"/>
          </w:tcPr>
          <w:p w14:paraId="37AE06A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6940" w:type="dxa"/>
            <w:gridSpan w:val="2"/>
            <w:tcBorders>
              <w:top w:val="single" w:color="auto" w:sz="4" w:space="0"/>
              <w:left w:val="single" w:color="auto" w:sz="4" w:space="0"/>
              <w:bottom w:val="single" w:color="auto" w:sz="4" w:space="0"/>
              <w:right w:val="single" w:color="auto" w:sz="4" w:space="0"/>
            </w:tcBorders>
            <w:noWrap w:val="0"/>
            <w:vAlign w:val="center"/>
          </w:tcPr>
          <w:p w14:paraId="1339382B">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《中华人民共和国生态环境法典》第六百二十三条  生产、销售、使用放射性同位素和射线装置的单位和其他生产经营者，应当按照国务院有关放射性同位素与射线装置放射防护的规定取得许可证。未取得许可证的，不得从事放射性同位素和射线装置生产、销售、使用活动。禁止在网络上销售放射性同位素和射线装置。</w:t>
            </w:r>
          </w:p>
          <w:p w14:paraId="415A0E37">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转让、进出口放射性同位素和射线装置的单位和其他生产经营者以及装备有放射性同位素的仪表的单位和其他生产经营者，应当按照国务院有关放射性同位素与射线装置放射防护的规定办理有关手续。</w:t>
            </w:r>
          </w:p>
          <w:p w14:paraId="4FDFF0E7">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《中华人民共和国生态环境法典》第六百二十四条第一款　生产、销售、使用放射性同位素和射线装置的单位和其他生产经营者，应当在申请许可证前依法取得生态环境影响报告书、生态环境影响报告表批准文件或者已经办理生态环境影响登记表备案手续。</w:t>
            </w:r>
          </w:p>
        </w:tc>
      </w:tr>
      <w:tr w14:paraId="245FF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2" w:type="dxa"/>
            <w:tcBorders>
              <w:top w:val="single" w:color="auto" w:sz="4" w:space="0"/>
              <w:left w:val="single" w:color="auto" w:sz="4" w:space="0"/>
              <w:bottom w:val="single" w:color="auto" w:sz="4" w:space="0"/>
              <w:right w:val="single" w:color="auto" w:sz="4" w:space="0"/>
            </w:tcBorders>
            <w:noWrap w:val="0"/>
            <w:vAlign w:val="center"/>
          </w:tcPr>
          <w:p w14:paraId="30250E2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6940" w:type="dxa"/>
            <w:gridSpan w:val="2"/>
            <w:tcBorders>
              <w:top w:val="single" w:color="auto" w:sz="4" w:space="0"/>
              <w:left w:val="single" w:color="auto" w:sz="4" w:space="0"/>
              <w:bottom w:val="single" w:color="auto" w:sz="4" w:space="0"/>
              <w:right w:val="single" w:color="auto" w:sz="4" w:space="0"/>
            </w:tcBorders>
            <w:noWrap w:val="0"/>
            <w:vAlign w:val="center"/>
          </w:tcPr>
          <w:p w14:paraId="5F1DD4A0">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《中华人民共和国生态环境法典》第一千一百九十八条  违反本法规定，生产、销售、使用、转让、进出口、贮存放射性同位素和射线装置以及装备有放射性同位素的仪表的，由生态环境主管部门、市场监督管理部门、海关按照职责分工责令停止违法行为，限期改正，没收违法所得，并处五万元以上五十万元以下的罚款；逾期不改正的，处违法所得一倍以上五倍以下的罚款，违法所得不足五十万元的，以五十万元计算，责令限制生产、停产整治或者吊销许可证。</w:t>
            </w:r>
          </w:p>
        </w:tc>
      </w:tr>
      <w:tr w14:paraId="219F1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2" w:type="dxa"/>
            <w:tcBorders>
              <w:top w:val="single" w:color="auto" w:sz="4" w:space="0"/>
              <w:left w:val="single" w:color="auto" w:sz="4" w:space="0"/>
              <w:bottom w:val="single" w:color="auto" w:sz="4" w:space="0"/>
              <w:right w:val="single" w:color="auto" w:sz="4" w:space="0"/>
            </w:tcBorders>
            <w:noWrap w:val="0"/>
            <w:vAlign w:val="center"/>
          </w:tcPr>
          <w:p w14:paraId="531B374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372" w:type="dxa"/>
            <w:tcBorders>
              <w:top w:val="single" w:color="auto" w:sz="4" w:space="0"/>
              <w:left w:val="single" w:color="auto" w:sz="4" w:space="0"/>
              <w:bottom w:val="single" w:color="auto" w:sz="4" w:space="0"/>
              <w:right w:val="single" w:color="auto" w:sz="4" w:space="0"/>
            </w:tcBorders>
            <w:noWrap w:val="0"/>
            <w:vAlign w:val="center"/>
          </w:tcPr>
          <w:p w14:paraId="4C95690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568" w:type="dxa"/>
            <w:tcBorders>
              <w:top w:val="single" w:color="auto" w:sz="4" w:space="0"/>
              <w:left w:val="single" w:color="auto" w:sz="4" w:space="0"/>
              <w:bottom w:val="single" w:color="auto" w:sz="4" w:space="0"/>
              <w:right w:val="single" w:color="auto" w:sz="4" w:space="0"/>
            </w:tcBorders>
            <w:noWrap w:val="0"/>
            <w:vAlign w:val="center"/>
          </w:tcPr>
          <w:p w14:paraId="41D6460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11C8B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2" w:type="dxa"/>
            <w:vMerge w:val="restart"/>
            <w:tcBorders>
              <w:top w:val="single" w:color="auto" w:sz="4" w:space="0"/>
              <w:left w:val="single" w:color="auto" w:sz="4" w:space="0"/>
              <w:right w:val="single" w:color="auto" w:sz="4" w:space="0"/>
            </w:tcBorders>
            <w:noWrap w:val="0"/>
            <w:vAlign w:val="center"/>
          </w:tcPr>
          <w:p w14:paraId="137A7F0A">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放射性同位素和射线装置以及装备有放射性同位素的仪表的</w:t>
            </w:r>
            <w:r>
              <w:rPr>
                <w:rFonts w:hint="eastAsia" w:ascii="宋体" w:hAnsi="宋体" w:eastAsia="宋体" w:cs="宋体"/>
                <w:color w:val="auto"/>
                <w:sz w:val="21"/>
                <w:szCs w:val="21"/>
                <w:highlight w:val="none"/>
                <w:lang w:val="en-US" w:eastAsia="zh-CN"/>
              </w:rPr>
              <w:t>数量</w:t>
            </w:r>
          </w:p>
        </w:tc>
        <w:tc>
          <w:tcPr>
            <w:tcW w:w="5372" w:type="dxa"/>
            <w:tcBorders>
              <w:top w:val="single" w:color="auto" w:sz="4" w:space="0"/>
              <w:left w:val="single" w:color="auto" w:sz="4" w:space="0"/>
              <w:bottom w:val="single" w:color="auto" w:sz="4" w:space="0"/>
              <w:right w:val="single" w:color="auto" w:sz="4" w:space="0"/>
            </w:tcBorders>
            <w:noWrap w:val="0"/>
            <w:vAlign w:val="center"/>
          </w:tcPr>
          <w:p w14:paraId="32FDCB87">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1个</w:t>
            </w:r>
          </w:p>
        </w:tc>
        <w:tc>
          <w:tcPr>
            <w:tcW w:w="1568" w:type="dxa"/>
            <w:tcBorders>
              <w:top w:val="single" w:color="auto" w:sz="4" w:space="0"/>
              <w:left w:val="single" w:color="auto" w:sz="4" w:space="0"/>
              <w:bottom w:val="single" w:color="auto" w:sz="4" w:space="0"/>
              <w:right w:val="single" w:color="auto" w:sz="4" w:space="0"/>
            </w:tcBorders>
            <w:noWrap w:val="0"/>
            <w:vAlign w:val="center"/>
          </w:tcPr>
          <w:p w14:paraId="30EB24F2">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r>
      <w:tr w14:paraId="4095B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2" w:type="dxa"/>
            <w:vMerge w:val="continue"/>
            <w:tcBorders>
              <w:left w:val="single" w:color="auto" w:sz="4" w:space="0"/>
              <w:right w:val="single" w:color="auto" w:sz="4" w:space="0"/>
            </w:tcBorders>
            <w:noWrap w:val="0"/>
            <w:vAlign w:val="center"/>
          </w:tcPr>
          <w:p w14:paraId="6A878358">
            <w:pPr>
              <w:jc w:val="center"/>
              <w:rPr>
                <w:rFonts w:hint="eastAsia" w:ascii="宋体" w:hAnsi="宋体" w:eastAsia="宋体" w:cs="宋体"/>
                <w:color w:val="auto"/>
                <w:sz w:val="21"/>
                <w:szCs w:val="21"/>
                <w:highlight w:val="none"/>
              </w:rPr>
            </w:pPr>
          </w:p>
        </w:tc>
        <w:tc>
          <w:tcPr>
            <w:tcW w:w="5372" w:type="dxa"/>
            <w:tcBorders>
              <w:top w:val="single" w:color="auto" w:sz="4" w:space="0"/>
              <w:left w:val="single" w:color="auto" w:sz="4" w:space="0"/>
              <w:bottom w:val="single" w:color="auto" w:sz="4" w:space="0"/>
              <w:right w:val="single" w:color="auto" w:sz="4" w:space="0"/>
            </w:tcBorders>
            <w:noWrap w:val="0"/>
            <w:vAlign w:val="center"/>
          </w:tcPr>
          <w:p w14:paraId="70058CFF">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2个</w:t>
            </w:r>
          </w:p>
        </w:tc>
        <w:tc>
          <w:tcPr>
            <w:tcW w:w="1568" w:type="dxa"/>
            <w:tcBorders>
              <w:top w:val="single" w:color="auto" w:sz="4" w:space="0"/>
              <w:left w:val="single" w:color="auto" w:sz="4" w:space="0"/>
              <w:bottom w:val="single" w:color="auto" w:sz="4" w:space="0"/>
              <w:right w:val="single" w:color="auto" w:sz="4" w:space="0"/>
            </w:tcBorders>
            <w:noWrap w:val="0"/>
            <w:vAlign w:val="center"/>
          </w:tcPr>
          <w:p w14:paraId="52ABF0F8">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r>
      <w:tr w14:paraId="45AB0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2" w:type="dxa"/>
            <w:vMerge w:val="continue"/>
            <w:tcBorders>
              <w:left w:val="single" w:color="auto" w:sz="4" w:space="0"/>
              <w:bottom w:val="single" w:color="auto" w:sz="4" w:space="0"/>
              <w:right w:val="single" w:color="auto" w:sz="4" w:space="0"/>
            </w:tcBorders>
            <w:noWrap w:val="0"/>
            <w:vAlign w:val="center"/>
          </w:tcPr>
          <w:p w14:paraId="7DA720F2">
            <w:pPr>
              <w:jc w:val="center"/>
              <w:rPr>
                <w:rFonts w:hint="eastAsia" w:ascii="宋体" w:hAnsi="宋体" w:eastAsia="宋体" w:cs="宋体"/>
                <w:color w:val="auto"/>
                <w:sz w:val="21"/>
                <w:szCs w:val="21"/>
                <w:highlight w:val="none"/>
              </w:rPr>
            </w:pPr>
          </w:p>
        </w:tc>
        <w:tc>
          <w:tcPr>
            <w:tcW w:w="5372" w:type="dxa"/>
            <w:tcBorders>
              <w:top w:val="single" w:color="auto" w:sz="4" w:space="0"/>
              <w:left w:val="single" w:color="auto" w:sz="4" w:space="0"/>
              <w:bottom w:val="single" w:color="auto" w:sz="4" w:space="0"/>
              <w:right w:val="single" w:color="auto" w:sz="4" w:space="0"/>
            </w:tcBorders>
            <w:noWrap w:val="0"/>
            <w:vAlign w:val="center"/>
          </w:tcPr>
          <w:p w14:paraId="5EC52E93">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3个及以上</w:t>
            </w:r>
          </w:p>
        </w:tc>
        <w:tc>
          <w:tcPr>
            <w:tcW w:w="1568" w:type="dxa"/>
            <w:tcBorders>
              <w:top w:val="single" w:color="auto" w:sz="4" w:space="0"/>
              <w:left w:val="single" w:color="auto" w:sz="4" w:space="0"/>
              <w:bottom w:val="single" w:color="auto" w:sz="4" w:space="0"/>
              <w:right w:val="single" w:color="auto" w:sz="4" w:space="0"/>
            </w:tcBorders>
            <w:noWrap w:val="0"/>
            <w:vAlign w:val="center"/>
          </w:tcPr>
          <w:p w14:paraId="33633DDA">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r>
      <w:tr w14:paraId="0A1B9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2" w:type="dxa"/>
            <w:vMerge w:val="restart"/>
            <w:tcBorders>
              <w:top w:val="single" w:color="auto" w:sz="4" w:space="0"/>
              <w:left w:val="single" w:color="auto" w:sz="4" w:space="0"/>
              <w:right w:val="single" w:color="auto" w:sz="4" w:space="0"/>
            </w:tcBorders>
            <w:noWrap w:val="0"/>
            <w:vAlign w:val="center"/>
          </w:tcPr>
          <w:p w14:paraId="52289E13">
            <w:pPr>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eastAsia="zh-CN"/>
              </w:rPr>
              <w:t>放射源类型</w:t>
            </w:r>
          </w:p>
        </w:tc>
        <w:tc>
          <w:tcPr>
            <w:tcW w:w="5372" w:type="dxa"/>
            <w:tcBorders>
              <w:top w:val="single" w:color="auto" w:sz="4" w:space="0"/>
              <w:left w:val="single" w:color="auto" w:sz="4" w:space="0"/>
              <w:bottom w:val="single" w:color="auto" w:sz="4" w:space="0"/>
              <w:right w:val="single" w:color="auto" w:sz="4" w:space="0"/>
            </w:tcBorders>
            <w:noWrap w:val="0"/>
            <w:vAlign w:val="center"/>
          </w:tcPr>
          <w:p w14:paraId="0F0BE6D3">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Ⅳ类</w:t>
            </w:r>
            <w:r>
              <w:rPr>
                <w:rFonts w:hint="eastAsia" w:ascii="宋体" w:hAnsi="宋体" w:eastAsia="宋体" w:cs="宋体"/>
                <w:color w:val="auto"/>
                <w:sz w:val="21"/>
                <w:szCs w:val="21"/>
                <w:highlight w:val="none"/>
              </w:rPr>
              <w:t>、V类放射源或</w:t>
            </w:r>
            <w:r>
              <w:rPr>
                <w:rFonts w:hint="eastAsia" w:ascii="宋体" w:hAnsi="宋体" w:cs="宋体"/>
                <w:color w:val="auto"/>
                <w:sz w:val="21"/>
                <w:szCs w:val="21"/>
                <w:highlight w:val="none"/>
                <w:lang w:eastAsia="zh-CN"/>
              </w:rPr>
              <w:t>Ⅲ</w:t>
            </w:r>
            <w:r>
              <w:rPr>
                <w:rFonts w:hint="eastAsia" w:ascii="宋体" w:hAnsi="宋体" w:eastAsia="宋体" w:cs="宋体"/>
                <w:color w:val="auto"/>
                <w:sz w:val="21"/>
                <w:szCs w:val="21"/>
                <w:highlight w:val="none"/>
              </w:rPr>
              <w:t>类射线装置的</w:t>
            </w:r>
          </w:p>
        </w:tc>
        <w:tc>
          <w:tcPr>
            <w:tcW w:w="1568" w:type="dxa"/>
            <w:tcBorders>
              <w:top w:val="single" w:color="auto" w:sz="4" w:space="0"/>
              <w:left w:val="single" w:color="auto" w:sz="4" w:space="0"/>
              <w:bottom w:val="single" w:color="auto" w:sz="4" w:space="0"/>
              <w:right w:val="single" w:color="auto" w:sz="4" w:space="0"/>
            </w:tcBorders>
            <w:noWrap w:val="0"/>
            <w:vAlign w:val="center"/>
          </w:tcPr>
          <w:p w14:paraId="4016F9A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662E2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2" w:type="dxa"/>
            <w:vMerge w:val="continue"/>
            <w:tcBorders>
              <w:top w:val="single" w:color="auto" w:sz="4" w:space="0"/>
              <w:left w:val="single" w:color="auto" w:sz="4" w:space="0"/>
              <w:bottom w:val="single" w:color="auto" w:sz="4" w:space="0"/>
              <w:right w:val="single" w:color="auto" w:sz="4" w:space="0"/>
            </w:tcBorders>
            <w:noWrap w:val="0"/>
            <w:vAlign w:val="center"/>
          </w:tcPr>
          <w:p w14:paraId="78710CDF">
            <w:pPr>
              <w:rPr>
                <w:rFonts w:hint="eastAsia" w:ascii="宋体" w:hAnsi="宋体" w:eastAsia="宋体" w:cs="宋体"/>
                <w:color w:val="auto"/>
                <w:sz w:val="21"/>
                <w:szCs w:val="21"/>
                <w:highlight w:val="none"/>
              </w:rPr>
            </w:pPr>
          </w:p>
        </w:tc>
        <w:tc>
          <w:tcPr>
            <w:tcW w:w="5372" w:type="dxa"/>
            <w:tcBorders>
              <w:top w:val="single" w:color="auto" w:sz="4" w:space="0"/>
              <w:left w:val="single" w:color="auto" w:sz="4" w:space="0"/>
              <w:bottom w:val="single" w:color="auto" w:sz="4" w:space="0"/>
              <w:right w:val="single" w:color="auto" w:sz="4" w:space="0"/>
            </w:tcBorders>
            <w:noWrap w:val="0"/>
            <w:vAlign w:val="center"/>
          </w:tcPr>
          <w:p w14:paraId="41AE73DE">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Ⅲ类</w:t>
            </w:r>
            <w:r>
              <w:rPr>
                <w:rFonts w:hint="eastAsia" w:ascii="宋体" w:hAnsi="宋体" w:eastAsia="宋体" w:cs="宋体"/>
                <w:color w:val="auto"/>
                <w:sz w:val="21"/>
                <w:szCs w:val="21"/>
                <w:highlight w:val="none"/>
              </w:rPr>
              <w:t>放射源或</w:t>
            </w:r>
            <w:r>
              <w:rPr>
                <w:rFonts w:hint="eastAsia" w:ascii="宋体" w:hAnsi="宋体" w:cs="宋体"/>
                <w:color w:val="auto"/>
                <w:sz w:val="21"/>
                <w:szCs w:val="21"/>
                <w:highlight w:val="none"/>
                <w:lang w:eastAsia="zh-CN"/>
              </w:rPr>
              <w:t>Ⅱ类</w:t>
            </w:r>
            <w:r>
              <w:rPr>
                <w:rFonts w:hint="eastAsia" w:ascii="宋体" w:hAnsi="宋体" w:eastAsia="宋体" w:cs="宋体"/>
                <w:color w:val="auto"/>
                <w:sz w:val="21"/>
                <w:szCs w:val="21"/>
                <w:highlight w:val="none"/>
              </w:rPr>
              <w:t>射线装置的</w:t>
            </w:r>
          </w:p>
        </w:tc>
        <w:tc>
          <w:tcPr>
            <w:tcW w:w="1568" w:type="dxa"/>
            <w:tcBorders>
              <w:top w:val="single" w:color="auto" w:sz="4" w:space="0"/>
              <w:left w:val="single" w:color="auto" w:sz="4" w:space="0"/>
              <w:bottom w:val="single" w:color="auto" w:sz="4" w:space="0"/>
              <w:right w:val="single" w:color="auto" w:sz="4" w:space="0"/>
            </w:tcBorders>
            <w:noWrap w:val="0"/>
            <w:vAlign w:val="center"/>
          </w:tcPr>
          <w:p w14:paraId="7317DC6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02659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2" w:type="dxa"/>
            <w:vMerge w:val="continue"/>
            <w:tcBorders>
              <w:top w:val="single" w:color="auto" w:sz="4" w:space="0"/>
              <w:left w:val="single" w:color="auto" w:sz="4" w:space="0"/>
              <w:bottom w:val="single" w:color="auto" w:sz="4" w:space="0"/>
              <w:right w:val="single" w:color="auto" w:sz="4" w:space="0"/>
            </w:tcBorders>
            <w:noWrap w:val="0"/>
            <w:vAlign w:val="center"/>
          </w:tcPr>
          <w:p w14:paraId="40398C90">
            <w:pPr>
              <w:rPr>
                <w:rFonts w:hint="eastAsia" w:ascii="宋体" w:hAnsi="宋体" w:eastAsia="宋体" w:cs="宋体"/>
                <w:color w:val="auto"/>
                <w:sz w:val="21"/>
                <w:szCs w:val="21"/>
                <w:highlight w:val="none"/>
              </w:rPr>
            </w:pPr>
          </w:p>
        </w:tc>
        <w:tc>
          <w:tcPr>
            <w:tcW w:w="5372" w:type="dxa"/>
            <w:tcBorders>
              <w:top w:val="single" w:color="auto" w:sz="4" w:space="0"/>
              <w:left w:val="single" w:color="auto" w:sz="4" w:space="0"/>
              <w:bottom w:val="single" w:color="auto" w:sz="4" w:space="0"/>
              <w:right w:val="single" w:color="auto" w:sz="4" w:space="0"/>
            </w:tcBorders>
            <w:noWrap w:val="0"/>
            <w:vAlign w:val="center"/>
          </w:tcPr>
          <w:p w14:paraId="5DEFBAC9">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I类、</w:t>
            </w:r>
            <w:r>
              <w:rPr>
                <w:rFonts w:hint="eastAsia" w:ascii="宋体" w:hAnsi="宋体" w:cs="宋体"/>
                <w:color w:val="auto"/>
                <w:sz w:val="21"/>
                <w:szCs w:val="21"/>
                <w:highlight w:val="none"/>
                <w:lang w:eastAsia="zh-CN"/>
              </w:rPr>
              <w:t>Ⅱ类</w:t>
            </w:r>
            <w:r>
              <w:rPr>
                <w:rFonts w:hint="eastAsia" w:ascii="宋体" w:hAnsi="宋体" w:eastAsia="宋体" w:cs="宋体"/>
                <w:color w:val="auto"/>
                <w:sz w:val="21"/>
                <w:szCs w:val="21"/>
                <w:highlight w:val="none"/>
              </w:rPr>
              <w:t>放射源或I类射线装置的</w:t>
            </w:r>
          </w:p>
        </w:tc>
        <w:tc>
          <w:tcPr>
            <w:tcW w:w="1568" w:type="dxa"/>
            <w:tcBorders>
              <w:top w:val="single" w:color="auto" w:sz="4" w:space="0"/>
              <w:left w:val="single" w:color="auto" w:sz="4" w:space="0"/>
              <w:bottom w:val="single" w:color="auto" w:sz="4" w:space="0"/>
              <w:right w:val="single" w:color="auto" w:sz="4" w:space="0"/>
            </w:tcBorders>
            <w:noWrap w:val="0"/>
            <w:vAlign w:val="center"/>
          </w:tcPr>
          <w:p w14:paraId="59A5AA1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bl>
    <w:p w14:paraId="009957A5">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508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6"/>
        <w:gridCol w:w="5643"/>
        <w:gridCol w:w="1646"/>
      </w:tblGrid>
      <w:tr w14:paraId="643A5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62" w:type="dxa"/>
            <w:gridSpan w:val="3"/>
            <w:tcBorders>
              <w:top w:val="single" w:color="auto" w:sz="4" w:space="0"/>
              <w:left w:val="single" w:color="auto" w:sz="4" w:space="0"/>
              <w:bottom w:val="single" w:color="auto" w:sz="4" w:space="0"/>
              <w:right w:val="single" w:color="auto" w:sz="4" w:space="0"/>
            </w:tcBorders>
            <w:noWrap w:val="0"/>
            <w:vAlign w:val="center"/>
          </w:tcPr>
          <w:p w14:paraId="46619B3D">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（十）放射性污染防治类</w:t>
            </w:r>
          </w:p>
        </w:tc>
      </w:tr>
      <w:tr w14:paraId="443A5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0" w:type="dxa"/>
            <w:tcBorders>
              <w:top w:val="single" w:color="auto" w:sz="4" w:space="0"/>
              <w:left w:val="single" w:color="auto" w:sz="4" w:space="0"/>
              <w:bottom w:val="single" w:color="auto" w:sz="4" w:space="0"/>
              <w:right w:val="single" w:color="auto" w:sz="4" w:space="0"/>
            </w:tcBorders>
            <w:noWrap w:val="0"/>
            <w:vAlign w:val="center"/>
          </w:tcPr>
          <w:p w14:paraId="354A17E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942" w:type="dxa"/>
            <w:gridSpan w:val="2"/>
            <w:tcBorders>
              <w:top w:val="single" w:color="auto" w:sz="4" w:space="0"/>
              <w:left w:val="single" w:color="auto" w:sz="4" w:space="0"/>
              <w:bottom w:val="single" w:color="auto" w:sz="4" w:space="0"/>
              <w:right w:val="single" w:color="auto" w:sz="4" w:space="0"/>
            </w:tcBorders>
            <w:noWrap w:val="0"/>
            <w:vAlign w:val="center"/>
          </w:tcPr>
          <w:p w14:paraId="5B98FF13">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w:t>
            </w:r>
          </w:p>
        </w:tc>
      </w:tr>
      <w:tr w14:paraId="507A6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0" w:type="dxa"/>
            <w:tcBorders>
              <w:top w:val="single" w:color="auto" w:sz="4" w:space="0"/>
              <w:left w:val="single" w:color="auto" w:sz="4" w:space="0"/>
              <w:bottom w:val="single" w:color="auto" w:sz="4" w:space="0"/>
              <w:right w:val="single" w:color="auto" w:sz="4" w:space="0"/>
            </w:tcBorders>
            <w:noWrap w:val="0"/>
            <w:vAlign w:val="center"/>
          </w:tcPr>
          <w:p w14:paraId="299A608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6942" w:type="dxa"/>
            <w:gridSpan w:val="2"/>
            <w:tcBorders>
              <w:top w:val="single" w:color="auto" w:sz="4" w:space="0"/>
              <w:left w:val="single" w:color="auto" w:sz="4" w:space="0"/>
              <w:bottom w:val="single" w:color="auto" w:sz="4" w:space="0"/>
              <w:right w:val="single" w:color="auto" w:sz="4" w:space="0"/>
            </w:tcBorders>
            <w:noWrap w:val="0"/>
            <w:vAlign w:val="center"/>
          </w:tcPr>
          <w:p w14:paraId="318D7F77">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生产放射源的单位和其他生产经营者未按照规定回收和利用废旧放射源的</w:t>
            </w:r>
          </w:p>
        </w:tc>
      </w:tr>
      <w:tr w14:paraId="765F3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0" w:type="dxa"/>
            <w:tcBorders>
              <w:top w:val="single" w:color="auto" w:sz="4" w:space="0"/>
              <w:left w:val="single" w:color="auto" w:sz="4" w:space="0"/>
              <w:bottom w:val="single" w:color="auto" w:sz="4" w:space="0"/>
              <w:right w:val="single" w:color="auto" w:sz="4" w:space="0"/>
            </w:tcBorders>
            <w:noWrap w:val="0"/>
            <w:vAlign w:val="center"/>
          </w:tcPr>
          <w:p w14:paraId="37F92D8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6942" w:type="dxa"/>
            <w:gridSpan w:val="2"/>
            <w:tcBorders>
              <w:top w:val="single" w:color="auto" w:sz="4" w:space="0"/>
              <w:left w:val="single" w:color="auto" w:sz="4" w:space="0"/>
              <w:bottom w:val="single" w:color="auto" w:sz="4" w:space="0"/>
              <w:right w:val="single" w:color="auto" w:sz="4" w:space="0"/>
            </w:tcBorders>
            <w:noWrap w:val="0"/>
            <w:vAlign w:val="center"/>
          </w:tcPr>
          <w:p w14:paraId="1C1FC54A">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《中华人民共和国生态环境法典》第六百二十六条</w:t>
            </w:r>
            <w:r>
              <w:rPr>
                <w:rFonts w:hint="eastAsia" w:ascii="宋体" w:hAnsi="宋体" w:eastAsia="宋体" w:cs="宋体"/>
                <w:color w:val="auto"/>
                <w:sz w:val="21"/>
                <w:szCs w:val="21"/>
                <w:highlight w:val="none"/>
                <w:lang w:val="en-US" w:eastAsia="zh-CN"/>
              </w:rPr>
              <w:t>第二款</w:t>
            </w:r>
            <w:r>
              <w:rPr>
                <w:rFonts w:hint="eastAsia" w:ascii="宋体" w:hAnsi="宋体" w:eastAsia="宋体" w:cs="宋体"/>
                <w:color w:val="auto"/>
                <w:sz w:val="21"/>
                <w:szCs w:val="21"/>
                <w:highlight w:val="none"/>
              </w:rPr>
              <w:t xml:space="preserve">  生产放射源的单位和其他生产经营者，应当按照国务院生态环境主管部门的规定回收和利用废旧放射源；使用放射源的单位和其他生产经营者，应当按照国务院生态环境主管部门的规定将废旧放射源交回生产放射源的单位和其他生产经营者或者送交专门从事放射性废物贮存、处理、处置的单位。</w:t>
            </w:r>
          </w:p>
        </w:tc>
      </w:tr>
      <w:tr w14:paraId="4C247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0" w:type="dxa"/>
            <w:tcBorders>
              <w:top w:val="single" w:color="auto" w:sz="4" w:space="0"/>
              <w:left w:val="single" w:color="auto" w:sz="4" w:space="0"/>
              <w:bottom w:val="single" w:color="auto" w:sz="4" w:space="0"/>
              <w:right w:val="single" w:color="auto" w:sz="4" w:space="0"/>
            </w:tcBorders>
            <w:noWrap w:val="0"/>
            <w:vAlign w:val="center"/>
          </w:tcPr>
          <w:p w14:paraId="5B87BB7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6942" w:type="dxa"/>
            <w:gridSpan w:val="2"/>
            <w:tcBorders>
              <w:top w:val="single" w:color="auto" w:sz="4" w:space="0"/>
              <w:left w:val="single" w:color="auto" w:sz="4" w:space="0"/>
              <w:bottom w:val="single" w:color="auto" w:sz="4" w:space="0"/>
              <w:right w:val="single" w:color="auto" w:sz="4" w:space="0"/>
            </w:tcBorders>
            <w:noWrap w:val="0"/>
            <w:vAlign w:val="center"/>
          </w:tcPr>
          <w:p w14:paraId="44C2638C">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《中华人民共和国生态环境法典》第一千一百九十九条</w:t>
            </w:r>
            <w:r>
              <w:rPr>
                <w:rFonts w:hint="eastAsia" w:ascii="宋体" w:hAnsi="宋体" w:eastAsia="宋体" w:cs="宋体"/>
                <w:color w:val="auto"/>
                <w:sz w:val="21"/>
                <w:szCs w:val="21"/>
                <w:highlight w:val="none"/>
                <w:lang w:val="en-US" w:eastAsia="zh-CN"/>
              </w:rPr>
              <w:t>第一项</w:t>
            </w:r>
            <w:r>
              <w:rPr>
                <w:rFonts w:hint="eastAsia" w:ascii="宋体" w:hAnsi="宋体" w:eastAsia="宋体" w:cs="宋体"/>
                <w:color w:val="auto"/>
                <w:sz w:val="21"/>
                <w:szCs w:val="21"/>
                <w:highlight w:val="none"/>
              </w:rPr>
              <w:t xml:space="preserve">  违反本法规定，有下列情形之一的，由生态环境主管部门责令停止违法行为，限期改正，处五万元以上五十万元以下的罚款；逾期不改正的，由原发证机关指定有处理能力的单位代为处理或者实施退役，费用由生产、销售、使用放射性同位素和射线装置的单位承担：</w:t>
            </w:r>
          </w:p>
          <w:p w14:paraId="4855EDD3">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（一）生产放射源的单位和其他生产经营者未按照规定回收和利用废旧放射源；</w:t>
            </w:r>
          </w:p>
        </w:tc>
      </w:tr>
      <w:tr w14:paraId="5ABF5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0" w:type="dxa"/>
            <w:tcBorders>
              <w:top w:val="single" w:color="auto" w:sz="4" w:space="0"/>
              <w:left w:val="single" w:color="auto" w:sz="4" w:space="0"/>
              <w:bottom w:val="single" w:color="auto" w:sz="4" w:space="0"/>
              <w:right w:val="single" w:color="auto" w:sz="4" w:space="0"/>
            </w:tcBorders>
            <w:noWrap w:val="0"/>
            <w:vAlign w:val="center"/>
          </w:tcPr>
          <w:p w14:paraId="479BCBC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374" w:type="dxa"/>
            <w:tcBorders>
              <w:top w:val="single" w:color="auto" w:sz="4" w:space="0"/>
              <w:left w:val="single" w:color="auto" w:sz="4" w:space="0"/>
              <w:bottom w:val="single" w:color="auto" w:sz="4" w:space="0"/>
              <w:right w:val="single" w:color="auto" w:sz="4" w:space="0"/>
            </w:tcBorders>
            <w:noWrap w:val="0"/>
            <w:vAlign w:val="center"/>
          </w:tcPr>
          <w:p w14:paraId="0CA80DC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568" w:type="dxa"/>
            <w:tcBorders>
              <w:top w:val="single" w:color="auto" w:sz="4" w:space="0"/>
              <w:left w:val="single" w:color="auto" w:sz="4" w:space="0"/>
              <w:bottom w:val="single" w:color="auto" w:sz="4" w:space="0"/>
              <w:right w:val="single" w:color="auto" w:sz="4" w:space="0"/>
            </w:tcBorders>
            <w:noWrap w:val="0"/>
            <w:vAlign w:val="center"/>
          </w:tcPr>
          <w:p w14:paraId="5A7FAD2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63094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0" w:type="dxa"/>
            <w:vMerge w:val="restart"/>
            <w:tcBorders>
              <w:top w:val="single" w:color="auto" w:sz="4" w:space="0"/>
              <w:left w:val="single" w:color="auto" w:sz="4" w:space="0"/>
              <w:bottom w:val="single" w:color="auto" w:sz="4" w:space="0"/>
              <w:right w:val="single" w:color="auto" w:sz="4" w:space="0"/>
            </w:tcBorders>
            <w:noWrap w:val="0"/>
            <w:vAlign w:val="center"/>
          </w:tcPr>
          <w:p w14:paraId="2A2E6771">
            <w:pPr>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放</w:t>
            </w:r>
            <w:r>
              <w:rPr>
                <w:rFonts w:hint="eastAsia" w:ascii="宋体" w:hAnsi="宋体" w:eastAsia="宋体" w:cs="宋体"/>
                <w:color w:val="auto"/>
                <w:sz w:val="21"/>
                <w:szCs w:val="21"/>
                <w:highlight w:val="none"/>
              </w:rPr>
              <w:t>射源类型</w:t>
            </w:r>
          </w:p>
        </w:tc>
        <w:tc>
          <w:tcPr>
            <w:tcW w:w="5374" w:type="dxa"/>
            <w:tcBorders>
              <w:top w:val="single" w:color="auto" w:sz="4" w:space="0"/>
              <w:left w:val="single" w:color="auto" w:sz="4" w:space="0"/>
              <w:bottom w:val="single" w:color="auto" w:sz="4" w:space="0"/>
              <w:right w:val="single" w:color="auto" w:sz="4" w:space="0"/>
            </w:tcBorders>
            <w:noWrap w:val="0"/>
            <w:vAlign w:val="center"/>
          </w:tcPr>
          <w:p w14:paraId="50ABAE3B">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Ⅳ类、Ⅴ类放射源或Ⅲ类射线装置的</w:t>
            </w:r>
          </w:p>
        </w:tc>
        <w:tc>
          <w:tcPr>
            <w:tcW w:w="1568" w:type="dxa"/>
            <w:tcBorders>
              <w:top w:val="single" w:color="auto" w:sz="4" w:space="0"/>
              <w:left w:val="single" w:color="auto" w:sz="4" w:space="0"/>
              <w:bottom w:val="single" w:color="auto" w:sz="4" w:space="0"/>
              <w:right w:val="single" w:color="auto" w:sz="4" w:space="0"/>
            </w:tcBorders>
            <w:noWrap w:val="0"/>
            <w:vAlign w:val="center"/>
          </w:tcPr>
          <w:p w14:paraId="509DF020">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1</w:t>
            </w:r>
          </w:p>
        </w:tc>
      </w:tr>
      <w:tr w14:paraId="4C61B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0" w:type="dxa"/>
            <w:vMerge w:val="continue"/>
            <w:tcBorders>
              <w:top w:val="single" w:color="auto" w:sz="4" w:space="0"/>
              <w:left w:val="single" w:color="auto" w:sz="4" w:space="0"/>
              <w:bottom w:val="single" w:color="auto" w:sz="4" w:space="0"/>
              <w:right w:val="single" w:color="auto" w:sz="4" w:space="0"/>
            </w:tcBorders>
            <w:noWrap w:val="0"/>
            <w:vAlign w:val="center"/>
          </w:tcPr>
          <w:p w14:paraId="305FAD68">
            <w:pPr>
              <w:jc w:val="center"/>
              <w:rPr>
                <w:rFonts w:hint="eastAsia" w:ascii="宋体" w:hAnsi="宋体" w:eastAsia="宋体" w:cs="宋体"/>
                <w:color w:val="auto"/>
                <w:sz w:val="21"/>
                <w:szCs w:val="21"/>
                <w:highlight w:val="none"/>
              </w:rPr>
            </w:pPr>
          </w:p>
        </w:tc>
        <w:tc>
          <w:tcPr>
            <w:tcW w:w="5374" w:type="dxa"/>
            <w:tcBorders>
              <w:top w:val="single" w:color="auto" w:sz="4" w:space="0"/>
              <w:left w:val="single" w:color="auto" w:sz="4" w:space="0"/>
              <w:bottom w:val="single" w:color="auto" w:sz="4" w:space="0"/>
              <w:right w:val="single" w:color="auto" w:sz="4" w:space="0"/>
            </w:tcBorders>
            <w:noWrap w:val="0"/>
            <w:vAlign w:val="center"/>
          </w:tcPr>
          <w:p w14:paraId="5736F982">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Ⅲ类放射源或Ⅱ类射线装置的</w:t>
            </w:r>
          </w:p>
        </w:tc>
        <w:tc>
          <w:tcPr>
            <w:tcW w:w="1568" w:type="dxa"/>
            <w:tcBorders>
              <w:top w:val="single" w:color="auto" w:sz="4" w:space="0"/>
              <w:left w:val="single" w:color="auto" w:sz="4" w:space="0"/>
              <w:bottom w:val="single" w:color="auto" w:sz="4" w:space="0"/>
              <w:right w:val="single" w:color="auto" w:sz="4" w:space="0"/>
            </w:tcBorders>
            <w:noWrap w:val="0"/>
            <w:vAlign w:val="center"/>
          </w:tcPr>
          <w:p w14:paraId="7A09D6F9">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3</w:t>
            </w:r>
          </w:p>
        </w:tc>
      </w:tr>
      <w:tr w14:paraId="4974C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0" w:type="dxa"/>
            <w:vMerge w:val="continue"/>
            <w:tcBorders>
              <w:top w:val="single" w:color="auto" w:sz="4" w:space="0"/>
              <w:left w:val="single" w:color="auto" w:sz="4" w:space="0"/>
              <w:bottom w:val="single" w:color="auto" w:sz="4" w:space="0"/>
              <w:right w:val="single" w:color="auto" w:sz="4" w:space="0"/>
            </w:tcBorders>
            <w:noWrap w:val="0"/>
            <w:vAlign w:val="center"/>
          </w:tcPr>
          <w:p w14:paraId="07A94494">
            <w:pPr>
              <w:jc w:val="center"/>
              <w:rPr>
                <w:rFonts w:hint="eastAsia" w:ascii="宋体" w:hAnsi="宋体" w:eastAsia="宋体" w:cs="宋体"/>
                <w:color w:val="auto"/>
                <w:sz w:val="21"/>
                <w:szCs w:val="21"/>
                <w:highlight w:val="none"/>
              </w:rPr>
            </w:pPr>
          </w:p>
        </w:tc>
        <w:tc>
          <w:tcPr>
            <w:tcW w:w="5374" w:type="dxa"/>
            <w:tcBorders>
              <w:top w:val="single" w:color="auto" w:sz="4" w:space="0"/>
              <w:left w:val="single" w:color="auto" w:sz="4" w:space="0"/>
              <w:bottom w:val="single" w:color="auto" w:sz="4" w:space="0"/>
              <w:right w:val="single" w:color="auto" w:sz="4" w:space="0"/>
            </w:tcBorders>
            <w:noWrap w:val="0"/>
            <w:vAlign w:val="center"/>
          </w:tcPr>
          <w:p w14:paraId="0F57FC8B">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Ⅰ类、Ⅱ类放射源或Ⅰ类射线装置的</w:t>
            </w:r>
          </w:p>
        </w:tc>
        <w:tc>
          <w:tcPr>
            <w:tcW w:w="1568" w:type="dxa"/>
            <w:tcBorders>
              <w:top w:val="single" w:color="auto" w:sz="4" w:space="0"/>
              <w:left w:val="single" w:color="auto" w:sz="4" w:space="0"/>
              <w:bottom w:val="single" w:color="auto" w:sz="4" w:space="0"/>
              <w:right w:val="single" w:color="auto" w:sz="4" w:space="0"/>
            </w:tcBorders>
            <w:noWrap w:val="0"/>
            <w:vAlign w:val="center"/>
          </w:tcPr>
          <w:p w14:paraId="5E0E06FF">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5</w:t>
            </w:r>
          </w:p>
        </w:tc>
      </w:tr>
    </w:tbl>
    <w:p w14:paraId="47D7DD46">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508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4"/>
        <w:gridCol w:w="5646"/>
        <w:gridCol w:w="1645"/>
      </w:tblGrid>
      <w:tr w14:paraId="15385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62" w:type="dxa"/>
            <w:gridSpan w:val="3"/>
            <w:tcBorders>
              <w:top w:val="single" w:color="auto" w:sz="4" w:space="0"/>
              <w:left w:val="single" w:color="auto" w:sz="4" w:space="0"/>
              <w:bottom w:val="single" w:color="auto" w:sz="4" w:space="0"/>
              <w:right w:val="single" w:color="auto" w:sz="4" w:space="0"/>
            </w:tcBorders>
            <w:noWrap w:val="0"/>
            <w:vAlign w:val="center"/>
          </w:tcPr>
          <w:p w14:paraId="41091B51">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（十）放射性污染防治类</w:t>
            </w:r>
          </w:p>
        </w:tc>
      </w:tr>
      <w:tr w14:paraId="56D42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8" w:type="dxa"/>
            <w:tcBorders>
              <w:top w:val="single" w:color="auto" w:sz="4" w:space="0"/>
              <w:left w:val="single" w:color="auto" w:sz="4" w:space="0"/>
              <w:bottom w:val="single" w:color="auto" w:sz="4" w:space="0"/>
              <w:right w:val="single" w:color="auto" w:sz="4" w:space="0"/>
            </w:tcBorders>
            <w:noWrap w:val="0"/>
            <w:vAlign w:val="center"/>
          </w:tcPr>
          <w:p w14:paraId="5008C8E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944" w:type="dxa"/>
            <w:gridSpan w:val="2"/>
            <w:tcBorders>
              <w:top w:val="single" w:color="auto" w:sz="4" w:space="0"/>
              <w:left w:val="single" w:color="auto" w:sz="4" w:space="0"/>
              <w:bottom w:val="single" w:color="auto" w:sz="4" w:space="0"/>
              <w:right w:val="single" w:color="auto" w:sz="4" w:space="0"/>
            </w:tcBorders>
            <w:noWrap w:val="0"/>
            <w:vAlign w:val="center"/>
          </w:tcPr>
          <w:p w14:paraId="19C4B6C9">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w:t>
            </w:r>
          </w:p>
        </w:tc>
      </w:tr>
      <w:tr w14:paraId="060B3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8" w:type="dxa"/>
            <w:tcBorders>
              <w:top w:val="single" w:color="auto" w:sz="4" w:space="0"/>
              <w:left w:val="single" w:color="auto" w:sz="4" w:space="0"/>
              <w:bottom w:val="single" w:color="auto" w:sz="4" w:space="0"/>
              <w:right w:val="single" w:color="auto" w:sz="4" w:space="0"/>
            </w:tcBorders>
            <w:noWrap w:val="0"/>
            <w:vAlign w:val="center"/>
          </w:tcPr>
          <w:p w14:paraId="0B47FFB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6944" w:type="dxa"/>
            <w:gridSpan w:val="2"/>
            <w:tcBorders>
              <w:top w:val="single" w:color="auto" w:sz="4" w:space="0"/>
              <w:left w:val="single" w:color="auto" w:sz="4" w:space="0"/>
              <w:bottom w:val="single" w:color="auto" w:sz="4" w:space="0"/>
              <w:right w:val="single" w:color="auto" w:sz="4" w:space="0"/>
            </w:tcBorders>
            <w:noWrap w:val="0"/>
            <w:vAlign w:val="center"/>
          </w:tcPr>
          <w:p w14:paraId="19154233">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使用放射源的单位和其他生产经营者未按照规定交回、送交废旧放射源的</w:t>
            </w:r>
          </w:p>
        </w:tc>
      </w:tr>
      <w:tr w14:paraId="3A8B9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8" w:type="dxa"/>
            <w:tcBorders>
              <w:top w:val="single" w:color="auto" w:sz="4" w:space="0"/>
              <w:left w:val="single" w:color="auto" w:sz="4" w:space="0"/>
              <w:bottom w:val="single" w:color="auto" w:sz="4" w:space="0"/>
              <w:right w:val="single" w:color="auto" w:sz="4" w:space="0"/>
            </w:tcBorders>
            <w:noWrap w:val="0"/>
            <w:vAlign w:val="center"/>
          </w:tcPr>
          <w:p w14:paraId="1323414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6944" w:type="dxa"/>
            <w:gridSpan w:val="2"/>
            <w:tcBorders>
              <w:top w:val="single" w:color="auto" w:sz="4" w:space="0"/>
              <w:left w:val="single" w:color="auto" w:sz="4" w:space="0"/>
              <w:bottom w:val="single" w:color="auto" w:sz="4" w:space="0"/>
              <w:right w:val="single" w:color="auto" w:sz="4" w:space="0"/>
            </w:tcBorders>
            <w:noWrap w:val="0"/>
            <w:vAlign w:val="center"/>
          </w:tcPr>
          <w:p w14:paraId="374270C0">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《中华人民共和国生态环境法典》第六百二十六条</w:t>
            </w:r>
            <w:r>
              <w:rPr>
                <w:rFonts w:hint="eastAsia" w:ascii="宋体" w:hAnsi="宋体" w:eastAsia="宋体" w:cs="宋体"/>
                <w:color w:val="auto"/>
                <w:sz w:val="21"/>
                <w:szCs w:val="21"/>
                <w:highlight w:val="none"/>
                <w:lang w:val="en-US" w:eastAsia="zh-CN"/>
              </w:rPr>
              <w:t>第二款</w:t>
            </w:r>
            <w:r>
              <w:rPr>
                <w:rFonts w:hint="eastAsia" w:ascii="宋体" w:hAnsi="宋体" w:eastAsia="宋体" w:cs="宋体"/>
                <w:color w:val="auto"/>
                <w:sz w:val="21"/>
                <w:szCs w:val="21"/>
                <w:highlight w:val="none"/>
              </w:rPr>
              <w:t xml:space="preserve">  生产放射源的单位和其他生产经营者，应当按照国务院生态环境主管部门的规定回收和利用废旧放射源；使用放射源的单位和其他生产经营者，应当按照国务院生态环境主管部门的规定将废旧放射源交回生产放射源的单位和其他生产经营者或者送交专门从事放射性废物贮存、处理、处置的单位。</w:t>
            </w:r>
          </w:p>
        </w:tc>
      </w:tr>
      <w:tr w14:paraId="45656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8" w:type="dxa"/>
            <w:tcBorders>
              <w:top w:val="single" w:color="auto" w:sz="4" w:space="0"/>
              <w:left w:val="single" w:color="auto" w:sz="4" w:space="0"/>
              <w:bottom w:val="single" w:color="auto" w:sz="4" w:space="0"/>
              <w:right w:val="single" w:color="auto" w:sz="4" w:space="0"/>
            </w:tcBorders>
            <w:noWrap w:val="0"/>
            <w:vAlign w:val="center"/>
          </w:tcPr>
          <w:p w14:paraId="329CCE9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6944" w:type="dxa"/>
            <w:gridSpan w:val="2"/>
            <w:tcBorders>
              <w:top w:val="single" w:color="auto" w:sz="4" w:space="0"/>
              <w:left w:val="single" w:color="auto" w:sz="4" w:space="0"/>
              <w:bottom w:val="single" w:color="auto" w:sz="4" w:space="0"/>
              <w:right w:val="single" w:color="auto" w:sz="4" w:space="0"/>
            </w:tcBorders>
            <w:noWrap w:val="0"/>
            <w:vAlign w:val="center"/>
          </w:tcPr>
          <w:p w14:paraId="4079CE7F">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《中华人民共和国生态环境法典》第一千一百九十九条</w:t>
            </w:r>
            <w:r>
              <w:rPr>
                <w:rFonts w:hint="eastAsia" w:ascii="宋体" w:hAnsi="宋体" w:eastAsia="宋体" w:cs="宋体"/>
                <w:color w:val="auto"/>
                <w:sz w:val="21"/>
                <w:szCs w:val="21"/>
                <w:highlight w:val="none"/>
                <w:lang w:val="en-US" w:eastAsia="zh-CN"/>
              </w:rPr>
              <w:t>第二项</w:t>
            </w:r>
            <w:r>
              <w:rPr>
                <w:rFonts w:hint="eastAsia" w:ascii="宋体" w:hAnsi="宋体" w:eastAsia="宋体" w:cs="宋体"/>
                <w:color w:val="auto"/>
                <w:sz w:val="21"/>
                <w:szCs w:val="21"/>
                <w:highlight w:val="none"/>
              </w:rPr>
              <w:t xml:space="preserve">  违反本法规定，有下列情形之一的，由生态环境主管部门责令停止违法行为，限期改正，处五万元以上五十万元以下的罚款；逾期不改正的，由原发证机关指定有处理能力的单位代为处理或者实施退役，费用由生产、销售、使用放射性同位素和射线装置的单位承担：</w:t>
            </w:r>
          </w:p>
          <w:p w14:paraId="2FC754D5">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（二）使用放射源的单位和其他生产经营者未按照规定交回、送交废旧放射源；</w:t>
            </w:r>
          </w:p>
        </w:tc>
      </w:tr>
      <w:tr w14:paraId="34C71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8" w:type="dxa"/>
            <w:tcBorders>
              <w:top w:val="single" w:color="auto" w:sz="4" w:space="0"/>
              <w:left w:val="single" w:color="auto" w:sz="4" w:space="0"/>
              <w:bottom w:val="single" w:color="auto" w:sz="4" w:space="0"/>
              <w:right w:val="single" w:color="auto" w:sz="4" w:space="0"/>
            </w:tcBorders>
            <w:noWrap w:val="0"/>
            <w:vAlign w:val="center"/>
          </w:tcPr>
          <w:p w14:paraId="6B506D5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377" w:type="dxa"/>
            <w:tcBorders>
              <w:top w:val="single" w:color="auto" w:sz="4" w:space="0"/>
              <w:left w:val="single" w:color="auto" w:sz="4" w:space="0"/>
              <w:bottom w:val="single" w:color="auto" w:sz="4" w:space="0"/>
              <w:right w:val="single" w:color="auto" w:sz="4" w:space="0"/>
            </w:tcBorders>
            <w:noWrap w:val="0"/>
            <w:vAlign w:val="center"/>
          </w:tcPr>
          <w:p w14:paraId="2A0DA78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567" w:type="dxa"/>
            <w:tcBorders>
              <w:top w:val="single" w:color="auto" w:sz="4" w:space="0"/>
              <w:left w:val="single" w:color="auto" w:sz="4" w:space="0"/>
              <w:bottom w:val="single" w:color="auto" w:sz="4" w:space="0"/>
              <w:right w:val="single" w:color="auto" w:sz="4" w:space="0"/>
            </w:tcBorders>
            <w:noWrap w:val="0"/>
            <w:vAlign w:val="center"/>
          </w:tcPr>
          <w:p w14:paraId="479F88E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37572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8" w:type="dxa"/>
            <w:vMerge w:val="restart"/>
            <w:tcBorders>
              <w:top w:val="single" w:color="auto" w:sz="4" w:space="0"/>
              <w:left w:val="single" w:color="auto" w:sz="4" w:space="0"/>
              <w:bottom w:val="single" w:color="auto" w:sz="4" w:space="0"/>
              <w:right w:val="single" w:color="auto" w:sz="4" w:space="0"/>
            </w:tcBorders>
            <w:noWrap w:val="0"/>
            <w:vAlign w:val="center"/>
          </w:tcPr>
          <w:p w14:paraId="6392357C">
            <w:pPr>
              <w:jc w:val="center"/>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放射源类型</w:t>
            </w:r>
          </w:p>
        </w:tc>
        <w:tc>
          <w:tcPr>
            <w:tcW w:w="5377" w:type="dxa"/>
            <w:tcBorders>
              <w:top w:val="single" w:color="auto" w:sz="4" w:space="0"/>
              <w:left w:val="single" w:color="auto" w:sz="4" w:space="0"/>
              <w:bottom w:val="single" w:color="auto" w:sz="4" w:space="0"/>
              <w:right w:val="single" w:color="auto" w:sz="4" w:space="0"/>
            </w:tcBorders>
            <w:noWrap w:val="0"/>
            <w:vAlign w:val="center"/>
          </w:tcPr>
          <w:p w14:paraId="2ECEE1E3">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Ⅳ类、Ⅴ类放射源或Ⅲ类射线装置的</w:t>
            </w:r>
          </w:p>
        </w:tc>
        <w:tc>
          <w:tcPr>
            <w:tcW w:w="1567" w:type="dxa"/>
            <w:tcBorders>
              <w:top w:val="single" w:color="auto" w:sz="4" w:space="0"/>
              <w:left w:val="single" w:color="auto" w:sz="4" w:space="0"/>
              <w:bottom w:val="single" w:color="auto" w:sz="4" w:space="0"/>
              <w:right w:val="single" w:color="auto" w:sz="4" w:space="0"/>
            </w:tcBorders>
            <w:noWrap w:val="0"/>
            <w:vAlign w:val="center"/>
          </w:tcPr>
          <w:p w14:paraId="040D3360">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1</w:t>
            </w:r>
          </w:p>
        </w:tc>
      </w:tr>
      <w:tr w14:paraId="52646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8" w:type="dxa"/>
            <w:vMerge w:val="continue"/>
            <w:tcBorders>
              <w:top w:val="single" w:color="auto" w:sz="4" w:space="0"/>
              <w:left w:val="single" w:color="auto" w:sz="4" w:space="0"/>
              <w:bottom w:val="single" w:color="auto" w:sz="4" w:space="0"/>
              <w:right w:val="single" w:color="auto" w:sz="4" w:space="0"/>
            </w:tcBorders>
            <w:noWrap w:val="0"/>
            <w:vAlign w:val="center"/>
          </w:tcPr>
          <w:p w14:paraId="4A361AA7">
            <w:pPr>
              <w:jc w:val="center"/>
              <w:rPr>
                <w:rFonts w:hint="eastAsia" w:ascii="宋体" w:hAnsi="宋体" w:eastAsia="宋体" w:cs="宋体"/>
                <w:color w:val="auto"/>
                <w:sz w:val="21"/>
                <w:szCs w:val="21"/>
                <w:highlight w:val="none"/>
              </w:rPr>
            </w:pPr>
          </w:p>
        </w:tc>
        <w:tc>
          <w:tcPr>
            <w:tcW w:w="5377" w:type="dxa"/>
            <w:tcBorders>
              <w:top w:val="single" w:color="auto" w:sz="4" w:space="0"/>
              <w:left w:val="single" w:color="auto" w:sz="4" w:space="0"/>
              <w:bottom w:val="single" w:color="auto" w:sz="4" w:space="0"/>
              <w:right w:val="single" w:color="auto" w:sz="4" w:space="0"/>
            </w:tcBorders>
            <w:noWrap w:val="0"/>
            <w:vAlign w:val="center"/>
          </w:tcPr>
          <w:p w14:paraId="51793DD5">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Ⅲ类放射源或Ⅱ类射线装置的</w:t>
            </w:r>
          </w:p>
        </w:tc>
        <w:tc>
          <w:tcPr>
            <w:tcW w:w="1567" w:type="dxa"/>
            <w:tcBorders>
              <w:top w:val="single" w:color="auto" w:sz="4" w:space="0"/>
              <w:left w:val="single" w:color="auto" w:sz="4" w:space="0"/>
              <w:bottom w:val="single" w:color="auto" w:sz="4" w:space="0"/>
              <w:right w:val="single" w:color="auto" w:sz="4" w:space="0"/>
            </w:tcBorders>
            <w:noWrap w:val="0"/>
            <w:vAlign w:val="center"/>
          </w:tcPr>
          <w:p w14:paraId="5F72436F">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3</w:t>
            </w:r>
          </w:p>
        </w:tc>
      </w:tr>
      <w:tr w14:paraId="571DF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8" w:type="dxa"/>
            <w:vMerge w:val="continue"/>
            <w:tcBorders>
              <w:top w:val="single" w:color="auto" w:sz="4" w:space="0"/>
              <w:left w:val="single" w:color="auto" w:sz="4" w:space="0"/>
              <w:bottom w:val="single" w:color="auto" w:sz="4" w:space="0"/>
              <w:right w:val="single" w:color="auto" w:sz="4" w:space="0"/>
            </w:tcBorders>
            <w:noWrap w:val="0"/>
            <w:vAlign w:val="center"/>
          </w:tcPr>
          <w:p w14:paraId="1773A55D">
            <w:pPr>
              <w:jc w:val="center"/>
              <w:rPr>
                <w:rFonts w:hint="eastAsia" w:ascii="宋体" w:hAnsi="宋体" w:eastAsia="宋体" w:cs="宋体"/>
                <w:color w:val="auto"/>
                <w:sz w:val="21"/>
                <w:szCs w:val="21"/>
                <w:highlight w:val="none"/>
              </w:rPr>
            </w:pPr>
          </w:p>
        </w:tc>
        <w:tc>
          <w:tcPr>
            <w:tcW w:w="5377" w:type="dxa"/>
            <w:tcBorders>
              <w:top w:val="single" w:color="auto" w:sz="4" w:space="0"/>
              <w:left w:val="single" w:color="auto" w:sz="4" w:space="0"/>
              <w:bottom w:val="single" w:color="auto" w:sz="4" w:space="0"/>
              <w:right w:val="single" w:color="auto" w:sz="4" w:space="0"/>
            </w:tcBorders>
            <w:noWrap w:val="0"/>
            <w:vAlign w:val="center"/>
          </w:tcPr>
          <w:p w14:paraId="3F2C3D5A">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Ⅰ类、Ⅱ类放射源或Ⅰ类射线装置的</w:t>
            </w:r>
          </w:p>
        </w:tc>
        <w:tc>
          <w:tcPr>
            <w:tcW w:w="1567" w:type="dxa"/>
            <w:tcBorders>
              <w:top w:val="single" w:color="auto" w:sz="4" w:space="0"/>
              <w:left w:val="single" w:color="auto" w:sz="4" w:space="0"/>
              <w:bottom w:val="single" w:color="auto" w:sz="4" w:space="0"/>
              <w:right w:val="single" w:color="auto" w:sz="4" w:space="0"/>
            </w:tcBorders>
            <w:noWrap w:val="0"/>
            <w:vAlign w:val="center"/>
          </w:tcPr>
          <w:p w14:paraId="305F1D76">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5</w:t>
            </w:r>
          </w:p>
        </w:tc>
      </w:tr>
    </w:tbl>
    <w:p w14:paraId="48E1F8D0">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508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6"/>
        <w:gridCol w:w="5643"/>
        <w:gridCol w:w="1646"/>
      </w:tblGrid>
      <w:tr w14:paraId="3A61D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62" w:type="dxa"/>
            <w:gridSpan w:val="3"/>
            <w:tcBorders>
              <w:top w:val="single" w:color="auto" w:sz="4" w:space="0"/>
              <w:left w:val="single" w:color="auto" w:sz="4" w:space="0"/>
              <w:bottom w:val="single" w:color="auto" w:sz="4" w:space="0"/>
              <w:right w:val="single" w:color="auto" w:sz="4" w:space="0"/>
            </w:tcBorders>
            <w:noWrap w:val="0"/>
            <w:vAlign w:val="center"/>
          </w:tcPr>
          <w:p w14:paraId="76D2DDCB">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（十）放射性污染防治类</w:t>
            </w:r>
          </w:p>
        </w:tc>
      </w:tr>
      <w:tr w14:paraId="5B821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0" w:type="dxa"/>
            <w:tcBorders>
              <w:top w:val="single" w:color="auto" w:sz="4" w:space="0"/>
              <w:left w:val="single" w:color="auto" w:sz="4" w:space="0"/>
              <w:bottom w:val="single" w:color="auto" w:sz="4" w:space="0"/>
              <w:right w:val="single" w:color="auto" w:sz="4" w:space="0"/>
            </w:tcBorders>
            <w:noWrap w:val="0"/>
            <w:vAlign w:val="center"/>
          </w:tcPr>
          <w:p w14:paraId="591249D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942" w:type="dxa"/>
            <w:gridSpan w:val="2"/>
            <w:tcBorders>
              <w:top w:val="single" w:color="auto" w:sz="4" w:space="0"/>
              <w:left w:val="single" w:color="auto" w:sz="4" w:space="0"/>
              <w:bottom w:val="single" w:color="auto" w:sz="4" w:space="0"/>
              <w:right w:val="single" w:color="auto" w:sz="4" w:space="0"/>
            </w:tcBorders>
            <w:noWrap w:val="0"/>
            <w:vAlign w:val="center"/>
          </w:tcPr>
          <w:p w14:paraId="3A7041FE">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w:t>
            </w:r>
          </w:p>
        </w:tc>
      </w:tr>
      <w:tr w14:paraId="2A1BE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0" w:type="dxa"/>
            <w:tcBorders>
              <w:top w:val="single" w:color="auto" w:sz="4" w:space="0"/>
              <w:left w:val="single" w:color="auto" w:sz="4" w:space="0"/>
              <w:bottom w:val="single" w:color="auto" w:sz="4" w:space="0"/>
              <w:right w:val="single" w:color="auto" w:sz="4" w:space="0"/>
            </w:tcBorders>
            <w:noWrap w:val="0"/>
            <w:vAlign w:val="center"/>
          </w:tcPr>
          <w:p w14:paraId="1CAC9C6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6942" w:type="dxa"/>
            <w:gridSpan w:val="2"/>
            <w:tcBorders>
              <w:top w:val="single" w:color="auto" w:sz="4" w:space="0"/>
              <w:left w:val="single" w:color="auto" w:sz="4" w:space="0"/>
              <w:bottom w:val="single" w:color="auto" w:sz="4" w:space="0"/>
              <w:right w:val="single" w:color="auto" w:sz="4" w:space="0"/>
            </w:tcBorders>
            <w:noWrap w:val="0"/>
            <w:vAlign w:val="center"/>
          </w:tcPr>
          <w:p w14:paraId="36E767D7">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使用对人体健康和生态环境潜在危害程度较高的放射源的场所和生产放射性同位素的场所，以及终结运行后产生放射性污染的射线装置，未依法实施退役的</w:t>
            </w:r>
          </w:p>
        </w:tc>
      </w:tr>
      <w:tr w14:paraId="0B4D5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0" w:type="dxa"/>
            <w:tcBorders>
              <w:top w:val="single" w:color="auto" w:sz="4" w:space="0"/>
              <w:left w:val="single" w:color="auto" w:sz="4" w:space="0"/>
              <w:bottom w:val="single" w:color="auto" w:sz="4" w:space="0"/>
              <w:right w:val="single" w:color="auto" w:sz="4" w:space="0"/>
            </w:tcBorders>
            <w:noWrap w:val="0"/>
            <w:vAlign w:val="center"/>
          </w:tcPr>
          <w:p w14:paraId="6E6A99C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6942" w:type="dxa"/>
            <w:gridSpan w:val="2"/>
            <w:tcBorders>
              <w:top w:val="single" w:color="auto" w:sz="4" w:space="0"/>
              <w:left w:val="single" w:color="auto" w:sz="4" w:space="0"/>
              <w:bottom w:val="single" w:color="auto" w:sz="4" w:space="0"/>
              <w:right w:val="single" w:color="auto" w:sz="4" w:space="0"/>
            </w:tcBorders>
            <w:noWrap w:val="0"/>
            <w:vAlign w:val="center"/>
          </w:tcPr>
          <w:p w14:paraId="5D7FAB5C">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《中华人民共和国生态环境法典》第六百二十七条 使用对人体健康、生态环境潜在危害程度较高的放射源的场所和生产放射性同位素的场所，以及终结运行后产生放射性污染的射线装置，应当依法实施退役。具体办法由国务院制定。</w:t>
            </w:r>
          </w:p>
        </w:tc>
      </w:tr>
      <w:tr w14:paraId="7709C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0" w:type="dxa"/>
            <w:tcBorders>
              <w:top w:val="single" w:color="auto" w:sz="4" w:space="0"/>
              <w:left w:val="single" w:color="auto" w:sz="4" w:space="0"/>
              <w:bottom w:val="single" w:color="auto" w:sz="4" w:space="0"/>
              <w:right w:val="single" w:color="auto" w:sz="4" w:space="0"/>
            </w:tcBorders>
            <w:noWrap w:val="0"/>
            <w:vAlign w:val="center"/>
          </w:tcPr>
          <w:p w14:paraId="22029E7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6942" w:type="dxa"/>
            <w:gridSpan w:val="2"/>
            <w:tcBorders>
              <w:top w:val="single" w:color="auto" w:sz="4" w:space="0"/>
              <w:left w:val="single" w:color="auto" w:sz="4" w:space="0"/>
              <w:bottom w:val="single" w:color="auto" w:sz="4" w:space="0"/>
              <w:right w:val="single" w:color="auto" w:sz="4" w:space="0"/>
            </w:tcBorders>
            <w:noWrap w:val="0"/>
            <w:vAlign w:val="center"/>
          </w:tcPr>
          <w:p w14:paraId="6F9968ED">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《中华人民共和国生态环境法典》第一千一百九十九条</w:t>
            </w:r>
            <w:r>
              <w:rPr>
                <w:rFonts w:hint="eastAsia" w:ascii="宋体" w:hAnsi="宋体" w:eastAsia="宋体" w:cs="宋体"/>
                <w:color w:val="auto"/>
                <w:sz w:val="21"/>
                <w:szCs w:val="21"/>
                <w:highlight w:val="none"/>
                <w:lang w:val="en-US" w:eastAsia="zh-CN"/>
              </w:rPr>
              <w:t>第三项</w:t>
            </w:r>
            <w:r>
              <w:rPr>
                <w:rFonts w:hint="eastAsia" w:ascii="宋体" w:hAnsi="宋体" w:eastAsia="宋体" w:cs="宋体"/>
                <w:color w:val="auto"/>
                <w:sz w:val="21"/>
                <w:szCs w:val="21"/>
                <w:highlight w:val="none"/>
              </w:rPr>
              <w:t xml:space="preserve">  违反本法规定，有下列情形之一的，由生态环境主管部门责令停止违法行为，限期改正，处五万元以上五十万元以下的罚款；逾期不改正的，由原发证机关指定有处理能力的单位代为处理或者实施退役，费用由生产、销售、使用放射性同位素和射线装置的单位承担：</w:t>
            </w:r>
          </w:p>
          <w:p w14:paraId="5A2BDED4">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（三）使用对人体健康和生态环境潜在危害程度较高的放射源的场所和生产放射性同位素的场所，以及终结运行后产生放射性污染的射线装置，未依法实施退役。</w:t>
            </w:r>
          </w:p>
        </w:tc>
      </w:tr>
      <w:tr w14:paraId="227BC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0" w:type="dxa"/>
            <w:tcBorders>
              <w:top w:val="single" w:color="auto" w:sz="4" w:space="0"/>
              <w:left w:val="single" w:color="auto" w:sz="4" w:space="0"/>
              <w:bottom w:val="single" w:color="auto" w:sz="4" w:space="0"/>
              <w:right w:val="single" w:color="auto" w:sz="4" w:space="0"/>
            </w:tcBorders>
            <w:noWrap w:val="0"/>
            <w:vAlign w:val="center"/>
          </w:tcPr>
          <w:p w14:paraId="34E657A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374" w:type="dxa"/>
            <w:tcBorders>
              <w:top w:val="single" w:color="auto" w:sz="4" w:space="0"/>
              <w:left w:val="single" w:color="auto" w:sz="4" w:space="0"/>
              <w:bottom w:val="single" w:color="auto" w:sz="4" w:space="0"/>
              <w:right w:val="single" w:color="auto" w:sz="4" w:space="0"/>
            </w:tcBorders>
            <w:noWrap w:val="0"/>
            <w:vAlign w:val="center"/>
          </w:tcPr>
          <w:p w14:paraId="1C1973C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568" w:type="dxa"/>
            <w:tcBorders>
              <w:top w:val="single" w:color="auto" w:sz="4" w:space="0"/>
              <w:left w:val="single" w:color="auto" w:sz="4" w:space="0"/>
              <w:bottom w:val="single" w:color="auto" w:sz="4" w:space="0"/>
              <w:right w:val="single" w:color="auto" w:sz="4" w:space="0"/>
            </w:tcBorders>
            <w:noWrap w:val="0"/>
            <w:vAlign w:val="center"/>
          </w:tcPr>
          <w:p w14:paraId="43A6311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15E94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0" w:type="dxa"/>
            <w:vMerge w:val="restart"/>
            <w:tcBorders>
              <w:top w:val="single" w:color="auto" w:sz="4" w:space="0"/>
              <w:left w:val="single" w:color="auto" w:sz="4" w:space="0"/>
              <w:bottom w:val="single" w:color="auto" w:sz="4" w:space="0"/>
              <w:right w:val="single" w:color="auto" w:sz="4" w:space="0"/>
            </w:tcBorders>
            <w:noWrap w:val="0"/>
            <w:vAlign w:val="center"/>
          </w:tcPr>
          <w:p w14:paraId="77B1295D">
            <w:pPr>
              <w:jc w:val="center"/>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放射源类型</w:t>
            </w:r>
          </w:p>
        </w:tc>
        <w:tc>
          <w:tcPr>
            <w:tcW w:w="5374" w:type="dxa"/>
            <w:tcBorders>
              <w:top w:val="single" w:color="auto" w:sz="4" w:space="0"/>
              <w:left w:val="single" w:color="auto" w:sz="4" w:space="0"/>
              <w:bottom w:val="single" w:color="auto" w:sz="4" w:space="0"/>
              <w:right w:val="single" w:color="auto" w:sz="4" w:space="0"/>
            </w:tcBorders>
            <w:noWrap w:val="0"/>
            <w:vAlign w:val="center"/>
          </w:tcPr>
          <w:p w14:paraId="06DF7800">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Ⅳ类、Ⅴ类放射源或Ⅲ类射线装置的</w:t>
            </w:r>
            <w:r>
              <w:rPr>
                <w:rFonts w:hint="eastAsia" w:ascii="宋体" w:hAnsi="宋体" w:eastAsia="宋体" w:cs="宋体"/>
                <w:color w:val="auto"/>
                <w:sz w:val="21"/>
                <w:szCs w:val="21"/>
                <w:highlight w:val="none"/>
                <w:lang w:val="en-US" w:eastAsia="zh-CN"/>
              </w:rPr>
              <w:t>/丙级工作场所或不涉及非密封放射性物质工作场所</w:t>
            </w:r>
          </w:p>
        </w:tc>
        <w:tc>
          <w:tcPr>
            <w:tcW w:w="1568" w:type="dxa"/>
            <w:tcBorders>
              <w:top w:val="single" w:color="auto" w:sz="4" w:space="0"/>
              <w:left w:val="single" w:color="auto" w:sz="4" w:space="0"/>
              <w:bottom w:val="single" w:color="auto" w:sz="4" w:space="0"/>
              <w:right w:val="single" w:color="auto" w:sz="4" w:space="0"/>
            </w:tcBorders>
            <w:noWrap w:val="0"/>
            <w:vAlign w:val="center"/>
          </w:tcPr>
          <w:p w14:paraId="7E7D4D5A">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1</w:t>
            </w:r>
          </w:p>
        </w:tc>
      </w:tr>
      <w:tr w14:paraId="3C801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0" w:type="dxa"/>
            <w:vMerge w:val="continue"/>
            <w:tcBorders>
              <w:top w:val="single" w:color="auto" w:sz="4" w:space="0"/>
              <w:left w:val="single" w:color="auto" w:sz="4" w:space="0"/>
              <w:bottom w:val="single" w:color="auto" w:sz="4" w:space="0"/>
              <w:right w:val="single" w:color="auto" w:sz="4" w:space="0"/>
            </w:tcBorders>
            <w:noWrap w:val="0"/>
            <w:vAlign w:val="center"/>
          </w:tcPr>
          <w:p w14:paraId="4011CE10">
            <w:pPr>
              <w:jc w:val="center"/>
              <w:rPr>
                <w:rFonts w:hint="eastAsia" w:ascii="宋体" w:hAnsi="宋体" w:eastAsia="宋体" w:cs="宋体"/>
                <w:color w:val="auto"/>
                <w:sz w:val="21"/>
                <w:szCs w:val="21"/>
                <w:highlight w:val="none"/>
              </w:rPr>
            </w:pPr>
          </w:p>
        </w:tc>
        <w:tc>
          <w:tcPr>
            <w:tcW w:w="5374" w:type="dxa"/>
            <w:tcBorders>
              <w:top w:val="single" w:color="auto" w:sz="4" w:space="0"/>
              <w:left w:val="single" w:color="auto" w:sz="4" w:space="0"/>
              <w:bottom w:val="single" w:color="auto" w:sz="4" w:space="0"/>
              <w:right w:val="single" w:color="auto" w:sz="4" w:space="0"/>
            </w:tcBorders>
            <w:noWrap w:val="0"/>
            <w:vAlign w:val="center"/>
          </w:tcPr>
          <w:p w14:paraId="153C9CCE">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Ⅲ类放射源或Ⅱ类射线装置的</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乙级工作场所</w:t>
            </w:r>
          </w:p>
        </w:tc>
        <w:tc>
          <w:tcPr>
            <w:tcW w:w="1568" w:type="dxa"/>
            <w:tcBorders>
              <w:top w:val="single" w:color="auto" w:sz="4" w:space="0"/>
              <w:left w:val="single" w:color="auto" w:sz="4" w:space="0"/>
              <w:bottom w:val="single" w:color="auto" w:sz="4" w:space="0"/>
              <w:right w:val="single" w:color="auto" w:sz="4" w:space="0"/>
            </w:tcBorders>
            <w:noWrap w:val="0"/>
            <w:vAlign w:val="center"/>
          </w:tcPr>
          <w:p w14:paraId="6A15190F">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3</w:t>
            </w:r>
          </w:p>
        </w:tc>
      </w:tr>
      <w:tr w14:paraId="40982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0" w:type="dxa"/>
            <w:vMerge w:val="continue"/>
            <w:tcBorders>
              <w:top w:val="single" w:color="auto" w:sz="4" w:space="0"/>
              <w:left w:val="single" w:color="auto" w:sz="4" w:space="0"/>
              <w:bottom w:val="single" w:color="auto" w:sz="4" w:space="0"/>
              <w:right w:val="single" w:color="auto" w:sz="4" w:space="0"/>
            </w:tcBorders>
            <w:noWrap w:val="0"/>
            <w:vAlign w:val="center"/>
          </w:tcPr>
          <w:p w14:paraId="11AC9F54">
            <w:pPr>
              <w:jc w:val="center"/>
              <w:rPr>
                <w:rFonts w:hint="eastAsia" w:ascii="宋体" w:hAnsi="宋体" w:eastAsia="宋体" w:cs="宋体"/>
                <w:color w:val="auto"/>
                <w:sz w:val="21"/>
                <w:szCs w:val="21"/>
                <w:highlight w:val="none"/>
              </w:rPr>
            </w:pPr>
          </w:p>
        </w:tc>
        <w:tc>
          <w:tcPr>
            <w:tcW w:w="5374" w:type="dxa"/>
            <w:tcBorders>
              <w:top w:val="single" w:color="auto" w:sz="4" w:space="0"/>
              <w:left w:val="single" w:color="auto" w:sz="4" w:space="0"/>
              <w:bottom w:val="single" w:color="auto" w:sz="4" w:space="0"/>
              <w:right w:val="single" w:color="auto" w:sz="4" w:space="0"/>
            </w:tcBorders>
            <w:noWrap w:val="0"/>
            <w:vAlign w:val="center"/>
          </w:tcPr>
          <w:p w14:paraId="0A16A1A4">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Ⅰ类、Ⅱ类放射源或Ⅰ类射线装置的</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甲级工作场所</w:t>
            </w:r>
          </w:p>
        </w:tc>
        <w:tc>
          <w:tcPr>
            <w:tcW w:w="1568" w:type="dxa"/>
            <w:tcBorders>
              <w:top w:val="single" w:color="auto" w:sz="4" w:space="0"/>
              <w:left w:val="single" w:color="auto" w:sz="4" w:space="0"/>
              <w:bottom w:val="single" w:color="auto" w:sz="4" w:space="0"/>
              <w:right w:val="single" w:color="auto" w:sz="4" w:space="0"/>
            </w:tcBorders>
            <w:noWrap w:val="0"/>
            <w:vAlign w:val="center"/>
          </w:tcPr>
          <w:p w14:paraId="68B8BD4B">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5</w:t>
            </w:r>
          </w:p>
        </w:tc>
      </w:tr>
    </w:tbl>
    <w:p w14:paraId="227D0833">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508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6"/>
        <w:gridCol w:w="5644"/>
        <w:gridCol w:w="1645"/>
      </w:tblGrid>
      <w:tr w14:paraId="25AC8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62" w:type="dxa"/>
            <w:gridSpan w:val="3"/>
            <w:tcBorders>
              <w:top w:val="single" w:color="auto" w:sz="4" w:space="0"/>
              <w:left w:val="single" w:color="auto" w:sz="4" w:space="0"/>
              <w:bottom w:val="single" w:color="auto" w:sz="4" w:space="0"/>
              <w:right w:val="single" w:color="auto" w:sz="4" w:space="0"/>
            </w:tcBorders>
            <w:noWrap w:val="0"/>
            <w:vAlign w:val="center"/>
          </w:tcPr>
          <w:p w14:paraId="42FAA8C2">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（十）放射性污染防治类</w:t>
            </w:r>
          </w:p>
        </w:tc>
      </w:tr>
      <w:tr w14:paraId="3B97F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0" w:type="dxa"/>
            <w:tcBorders>
              <w:top w:val="single" w:color="auto" w:sz="4" w:space="0"/>
              <w:left w:val="single" w:color="auto" w:sz="4" w:space="0"/>
              <w:bottom w:val="single" w:color="auto" w:sz="4" w:space="0"/>
              <w:right w:val="single" w:color="auto" w:sz="4" w:space="0"/>
            </w:tcBorders>
            <w:noWrap w:val="0"/>
            <w:vAlign w:val="center"/>
          </w:tcPr>
          <w:p w14:paraId="4C1FE07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942" w:type="dxa"/>
            <w:gridSpan w:val="2"/>
            <w:tcBorders>
              <w:top w:val="single" w:color="auto" w:sz="4" w:space="0"/>
              <w:left w:val="single" w:color="auto" w:sz="4" w:space="0"/>
              <w:bottom w:val="single" w:color="auto" w:sz="4" w:space="0"/>
              <w:right w:val="single" w:color="auto" w:sz="4" w:space="0"/>
            </w:tcBorders>
            <w:noWrap w:val="0"/>
            <w:vAlign w:val="center"/>
          </w:tcPr>
          <w:p w14:paraId="6DD4C9E6">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w:t>
            </w:r>
          </w:p>
        </w:tc>
      </w:tr>
      <w:tr w14:paraId="3827D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0" w:type="dxa"/>
            <w:tcBorders>
              <w:top w:val="single" w:color="auto" w:sz="4" w:space="0"/>
              <w:left w:val="single" w:color="auto" w:sz="4" w:space="0"/>
              <w:bottom w:val="single" w:color="auto" w:sz="4" w:space="0"/>
              <w:right w:val="single" w:color="auto" w:sz="4" w:space="0"/>
            </w:tcBorders>
            <w:noWrap w:val="0"/>
            <w:vAlign w:val="center"/>
          </w:tcPr>
          <w:p w14:paraId="31F3729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6942" w:type="dxa"/>
            <w:gridSpan w:val="2"/>
            <w:tcBorders>
              <w:top w:val="single" w:color="auto" w:sz="4" w:space="0"/>
              <w:left w:val="single" w:color="auto" w:sz="4" w:space="0"/>
              <w:bottom w:val="single" w:color="auto" w:sz="4" w:space="0"/>
              <w:right w:val="single" w:color="auto" w:sz="4" w:space="0"/>
            </w:tcBorders>
            <w:noWrap w:val="0"/>
            <w:vAlign w:val="center"/>
          </w:tcPr>
          <w:p w14:paraId="1369C8DA">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生产、使用放射性同位素和射线装置的单位和其他生产经营者未按照规定对产生的放射性废物进行收集、包装、贮存的</w:t>
            </w:r>
          </w:p>
        </w:tc>
      </w:tr>
      <w:tr w14:paraId="16F9B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0" w:type="dxa"/>
            <w:tcBorders>
              <w:top w:val="single" w:color="auto" w:sz="4" w:space="0"/>
              <w:left w:val="single" w:color="auto" w:sz="4" w:space="0"/>
              <w:bottom w:val="single" w:color="auto" w:sz="4" w:space="0"/>
              <w:right w:val="single" w:color="auto" w:sz="4" w:space="0"/>
            </w:tcBorders>
            <w:noWrap w:val="0"/>
            <w:vAlign w:val="center"/>
          </w:tcPr>
          <w:p w14:paraId="69818B1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6942" w:type="dxa"/>
            <w:gridSpan w:val="2"/>
            <w:tcBorders>
              <w:top w:val="single" w:color="auto" w:sz="4" w:space="0"/>
              <w:left w:val="single" w:color="auto" w:sz="4" w:space="0"/>
              <w:bottom w:val="single" w:color="auto" w:sz="4" w:space="0"/>
              <w:right w:val="single" w:color="auto" w:sz="4" w:space="0"/>
            </w:tcBorders>
            <w:noWrap w:val="0"/>
            <w:vAlign w:val="center"/>
          </w:tcPr>
          <w:p w14:paraId="06DBFA8E">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《中华人民共和国生态环境法典》第六百二十六条</w:t>
            </w:r>
            <w:r>
              <w:rPr>
                <w:rFonts w:hint="eastAsia" w:ascii="宋体" w:hAnsi="宋体" w:eastAsia="宋体" w:cs="宋体"/>
                <w:color w:val="auto"/>
                <w:sz w:val="21"/>
                <w:szCs w:val="21"/>
                <w:highlight w:val="none"/>
                <w:lang w:val="en-US" w:eastAsia="zh-CN"/>
              </w:rPr>
              <w:t>第一款</w:t>
            </w:r>
            <w:r>
              <w:rPr>
                <w:rFonts w:hint="eastAsia" w:ascii="宋体" w:hAnsi="宋体" w:eastAsia="宋体" w:cs="宋体"/>
                <w:color w:val="auto"/>
                <w:sz w:val="21"/>
                <w:szCs w:val="21"/>
                <w:highlight w:val="none"/>
              </w:rPr>
              <w:t xml:space="preserve">  生产、使用放射性同位素和射线装置的单位和其他生产经营者，应当按照国务院生态环境主管部门的规定对其产生的放射性废物进行收集、包装、贮存。</w:t>
            </w:r>
          </w:p>
        </w:tc>
      </w:tr>
      <w:tr w14:paraId="6D597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0" w:type="dxa"/>
            <w:tcBorders>
              <w:top w:val="single" w:color="auto" w:sz="4" w:space="0"/>
              <w:left w:val="single" w:color="auto" w:sz="4" w:space="0"/>
              <w:bottom w:val="single" w:color="auto" w:sz="4" w:space="0"/>
              <w:right w:val="single" w:color="auto" w:sz="4" w:space="0"/>
            </w:tcBorders>
            <w:noWrap w:val="0"/>
            <w:vAlign w:val="center"/>
          </w:tcPr>
          <w:p w14:paraId="2D20BFA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6942" w:type="dxa"/>
            <w:gridSpan w:val="2"/>
            <w:tcBorders>
              <w:top w:val="single" w:color="auto" w:sz="4" w:space="0"/>
              <w:left w:val="single" w:color="auto" w:sz="4" w:space="0"/>
              <w:bottom w:val="single" w:color="auto" w:sz="4" w:space="0"/>
              <w:right w:val="single" w:color="auto" w:sz="4" w:space="0"/>
            </w:tcBorders>
            <w:noWrap w:val="0"/>
            <w:vAlign w:val="center"/>
          </w:tcPr>
          <w:p w14:paraId="016A170B">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《中华人民共和国生态环境法典》第一千二百</w:t>
            </w:r>
            <w:r>
              <w:rPr>
                <w:rFonts w:hint="eastAsia" w:ascii="宋体" w:hAnsi="宋体" w:eastAsia="宋体" w:cs="宋体"/>
                <w:color w:val="auto"/>
                <w:sz w:val="21"/>
                <w:szCs w:val="21"/>
                <w:highlight w:val="none"/>
                <w:lang w:val="en-US" w:eastAsia="zh-CN"/>
              </w:rPr>
              <w:t>零一条</w:t>
            </w:r>
            <w:r>
              <w:rPr>
                <w:rFonts w:hint="eastAsia" w:ascii="宋体" w:hAnsi="宋体" w:eastAsia="宋体" w:cs="宋体"/>
                <w:color w:val="auto"/>
                <w:sz w:val="21"/>
                <w:szCs w:val="21"/>
                <w:highlight w:val="none"/>
                <w:lang w:eastAsia="zh-CN"/>
              </w:rPr>
              <w:t>第一款第一</w:t>
            </w:r>
            <w:r>
              <w:rPr>
                <w:rFonts w:hint="eastAsia" w:ascii="宋体" w:hAnsi="宋体" w:eastAsia="宋体" w:cs="宋体"/>
                <w:color w:val="auto"/>
                <w:sz w:val="21"/>
                <w:szCs w:val="21"/>
                <w:highlight w:val="none"/>
                <w:lang w:val="en-US" w:eastAsia="zh-CN"/>
              </w:rPr>
              <w:t>项</w:t>
            </w:r>
            <w:r>
              <w:rPr>
                <w:rFonts w:hint="eastAsia" w:ascii="宋体" w:hAnsi="宋体" w:eastAsia="宋体" w:cs="宋体"/>
                <w:color w:val="auto"/>
                <w:sz w:val="21"/>
                <w:szCs w:val="21"/>
                <w:highlight w:val="none"/>
                <w:lang w:eastAsia="zh-CN"/>
              </w:rPr>
              <w:t>、第二款</w:t>
            </w:r>
            <w:r>
              <w:rPr>
                <w:rFonts w:hint="eastAsia" w:ascii="宋体" w:hAnsi="宋体" w:eastAsia="宋体" w:cs="宋体"/>
                <w:color w:val="auto"/>
                <w:sz w:val="21"/>
                <w:szCs w:val="21"/>
                <w:highlight w:val="none"/>
              </w:rPr>
              <w:t xml:space="preserve">  违反本法规定，有下列情形之一的，由生态环境主管部门责令停止违法行为，限期改正，处以罚款：</w:t>
            </w:r>
          </w:p>
          <w:p w14:paraId="189A41D4">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（一）生产、使用放射性同位素和射线装置的单位和其他生产经营者未按照规定对产生的放射性废物进行收集、包装、贮存；</w:t>
            </w:r>
          </w:p>
          <w:p w14:paraId="58757FE1">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有前款第一项、第三项情形之一的，处五万元以上五十万元以下的罚款；有前款第二项、第四项、第五项情形之一的，处十万元以上一百万元以下的罚款。</w:t>
            </w:r>
          </w:p>
        </w:tc>
      </w:tr>
      <w:tr w14:paraId="61230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0" w:type="dxa"/>
            <w:tcBorders>
              <w:top w:val="single" w:color="auto" w:sz="4" w:space="0"/>
              <w:left w:val="single" w:color="auto" w:sz="4" w:space="0"/>
              <w:bottom w:val="single" w:color="auto" w:sz="4" w:space="0"/>
              <w:right w:val="single" w:color="auto" w:sz="4" w:space="0"/>
            </w:tcBorders>
            <w:noWrap w:val="0"/>
            <w:vAlign w:val="center"/>
          </w:tcPr>
          <w:p w14:paraId="2848519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375" w:type="dxa"/>
            <w:tcBorders>
              <w:top w:val="single" w:color="auto" w:sz="4" w:space="0"/>
              <w:left w:val="single" w:color="auto" w:sz="4" w:space="0"/>
              <w:bottom w:val="single" w:color="auto" w:sz="4" w:space="0"/>
              <w:right w:val="single" w:color="auto" w:sz="4" w:space="0"/>
            </w:tcBorders>
            <w:noWrap w:val="0"/>
            <w:vAlign w:val="center"/>
          </w:tcPr>
          <w:p w14:paraId="2F49FC5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567" w:type="dxa"/>
            <w:tcBorders>
              <w:top w:val="single" w:color="auto" w:sz="4" w:space="0"/>
              <w:left w:val="single" w:color="auto" w:sz="4" w:space="0"/>
              <w:bottom w:val="single" w:color="auto" w:sz="4" w:space="0"/>
              <w:right w:val="single" w:color="auto" w:sz="4" w:space="0"/>
            </w:tcBorders>
            <w:noWrap w:val="0"/>
            <w:vAlign w:val="center"/>
          </w:tcPr>
          <w:p w14:paraId="3911A29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4C0DB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0" w:type="dxa"/>
            <w:vMerge w:val="restart"/>
            <w:tcBorders>
              <w:top w:val="single" w:color="auto" w:sz="4" w:space="0"/>
              <w:left w:val="single" w:color="auto" w:sz="4" w:space="0"/>
              <w:bottom w:val="single" w:color="auto" w:sz="4" w:space="0"/>
              <w:right w:val="single" w:color="auto" w:sz="4" w:space="0"/>
            </w:tcBorders>
            <w:noWrap w:val="0"/>
            <w:vAlign w:val="center"/>
          </w:tcPr>
          <w:p w14:paraId="05ADB77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放射性废物</w:t>
            </w:r>
          </w:p>
          <w:p w14:paraId="0B6396B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类型</w:t>
            </w:r>
          </w:p>
        </w:tc>
        <w:tc>
          <w:tcPr>
            <w:tcW w:w="5375" w:type="dxa"/>
            <w:tcBorders>
              <w:top w:val="single" w:color="auto" w:sz="4" w:space="0"/>
              <w:left w:val="single" w:color="auto" w:sz="4" w:space="0"/>
              <w:bottom w:val="single" w:color="auto" w:sz="4" w:space="0"/>
              <w:right w:val="single" w:color="auto" w:sz="4" w:space="0"/>
            </w:tcBorders>
            <w:noWrap w:val="0"/>
            <w:vAlign w:val="top"/>
          </w:tcPr>
          <w:p w14:paraId="20C0DB05">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极短寿命放射性废物</w:t>
            </w:r>
          </w:p>
        </w:tc>
        <w:tc>
          <w:tcPr>
            <w:tcW w:w="1567" w:type="dxa"/>
            <w:tcBorders>
              <w:top w:val="single" w:color="auto" w:sz="4" w:space="0"/>
              <w:left w:val="single" w:color="auto" w:sz="4" w:space="0"/>
              <w:bottom w:val="single" w:color="auto" w:sz="4" w:space="0"/>
              <w:right w:val="single" w:color="auto" w:sz="4" w:space="0"/>
            </w:tcBorders>
            <w:noWrap w:val="0"/>
            <w:vAlign w:val="center"/>
          </w:tcPr>
          <w:p w14:paraId="742D228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4BD1B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0" w:type="dxa"/>
            <w:vMerge w:val="continue"/>
            <w:tcBorders>
              <w:top w:val="single" w:color="auto" w:sz="4" w:space="0"/>
              <w:left w:val="single" w:color="auto" w:sz="4" w:space="0"/>
              <w:bottom w:val="single" w:color="auto" w:sz="4" w:space="0"/>
              <w:right w:val="single" w:color="auto" w:sz="4" w:space="0"/>
            </w:tcBorders>
            <w:noWrap w:val="0"/>
            <w:vAlign w:val="center"/>
          </w:tcPr>
          <w:p w14:paraId="64FE65FD">
            <w:pPr>
              <w:rPr>
                <w:rFonts w:hint="eastAsia" w:ascii="宋体" w:hAnsi="宋体" w:eastAsia="宋体" w:cs="宋体"/>
                <w:color w:val="auto"/>
                <w:sz w:val="21"/>
                <w:szCs w:val="21"/>
                <w:highlight w:val="none"/>
              </w:rPr>
            </w:pPr>
          </w:p>
        </w:tc>
        <w:tc>
          <w:tcPr>
            <w:tcW w:w="5375" w:type="dxa"/>
            <w:tcBorders>
              <w:top w:val="single" w:color="auto" w:sz="4" w:space="0"/>
              <w:left w:val="single" w:color="auto" w:sz="4" w:space="0"/>
              <w:bottom w:val="single" w:color="auto" w:sz="4" w:space="0"/>
              <w:right w:val="single" w:color="auto" w:sz="4" w:space="0"/>
            </w:tcBorders>
            <w:noWrap w:val="0"/>
            <w:vAlign w:val="top"/>
          </w:tcPr>
          <w:p w14:paraId="38850F52">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极低水平放射性废物</w:t>
            </w:r>
          </w:p>
        </w:tc>
        <w:tc>
          <w:tcPr>
            <w:tcW w:w="1567" w:type="dxa"/>
            <w:tcBorders>
              <w:top w:val="single" w:color="auto" w:sz="4" w:space="0"/>
              <w:left w:val="single" w:color="auto" w:sz="4" w:space="0"/>
              <w:bottom w:val="single" w:color="auto" w:sz="4" w:space="0"/>
              <w:right w:val="single" w:color="auto" w:sz="4" w:space="0"/>
            </w:tcBorders>
            <w:noWrap w:val="0"/>
            <w:vAlign w:val="center"/>
          </w:tcPr>
          <w:p w14:paraId="519E13F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r>
      <w:tr w14:paraId="225D0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0" w:type="dxa"/>
            <w:vMerge w:val="continue"/>
            <w:tcBorders>
              <w:top w:val="single" w:color="auto" w:sz="4" w:space="0"/>
              <w:left w:val="single" w:color="auto" w:sz="4" w:space="0"/>
              <w:bottom w:val="single" w:color="auto" w:sz="4" w:space="0"/>
              <w:right w:val="single" w:color="auto" w:sz="4" w:space="0"/>
            </w:tcBorders>
            <w:noWrap w:val="0"/>
            <w:vAlign w:val="center"/>
          </w:tcPr>
          <w:p w14:paraId="777099A0">
            <w:pPr>
              <w:rPr>
                <w:rFonts w:hint="eastAsia" w:ascii="宋体" w:hAnsi="宋体" w:eastAsia="宋体" w:cs="宋体"/>
                <w:color w:val="auto"/>
                <w:sz w:val="21"/>
                <w:szCs w:val="21"/>
                <w:highlight w:val="none"/>
              </w:rPr>
            </w:pPr>
          </w:p>
        </w:tc>
        <w:tc>
          <w:tcPr>
            <w:tcW w:w="5375" w:type="dxa"/>
            <w:tcBorders>
              <w:top w:val="single" w:color="auto" w:sz="4" w:space="0"/>
              <w:left w:val="single" w:color="auto" w:sz="4" w:space="0"/>
              <w:bottom w:val="single" w:color="auto" w:sz="4" w:space="0"/>
              <w:right w:val="single" w:color="auto" w:sz="4" w:space="0"/>
            </w:tcBorders>
            <w:noWrap w:val="0"/>
            <w:vAlign w:val="top"/>
          </w:tcPr>
          <w:p w14:paraId="05D310A8">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低水平放射性废物</w:t>
            </w:r>
          </w:p>
        </w:tc>
        <w:tc>
          <w:tcPr>
            <w:tcW w:w="1567" w:type="dxa"/>
            <w:tcBorders>
              <w:top w:val="single" w:color="auto" w:sz="4" w:space="0"/>
              <w:left w:val="single" w:color="auto" w:sz="4" w:space="0"/>
              <w:bottom w:val="single" w:color="auto" w:sz="4" w:space="0"/>
              <w:right w:val="single" w:color="auto" w:sz="4" w:space="0"/>
            </w:tcBorders>
            <w:noWrap w:val="0"/>
            <w:vAlign w:val="center"/>
          </w:tcPr>
          <w:p w14:paraId="32D504D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4668F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0" w:type="dxa"/>
            <w:vMerge w:val="continue"/>
            <w:tcBorders>
              <w:top w:val="single" w:color="auto" w:sz="4" w:space="0"/>
              <w:left w:val="single" w:color="auto" w:sz="4" w:space="0"/>
              <w:bottom w:val="single" w:color="auto" w:sz="4" w:space="0"/>
              <w:right w:val="single" w:color="auto" w:sz="4" w:space="0"/>
            </w:tcBorders>
            <w:noWrap w:val="0"/>
            <w:vAlign w:val="center"/>
          </w:tcPr>
          <w:p w14:paraId="548B16C2">
            <w:pPr>
              <w:rPr>
                <w:rFonts w:hint="eastAsia" w:ascii="宋体" w:hAnsi="宋体" w:eastAsia="宋体" w:cs="宋体"/>
                <w:color w:val="auto"/>
                <w:sz w:val="21"/>
                <w:szCs w:val="21"/>
                <w:highlight w:val="none"/>
              </w:rPr>
            </w:pPr>
          </w:p>
        </w:tc>
        <w:tc>
          <w:tcPr>
            <w:tcW w:w="5375" w:type="dxa"/>
            <w:tcBorders>
              <w:top w:val="single" w:color="auto" w:sz="4" w:space="0"/>
              <w:left w:val="single" w:color="auto" w:sz="4" w:space="0"/>
              <w:bottom w:val="single" w:color="auto" w:sz="4" w:space="0"/>
              <w:right w:val="single" w:color="auto" w:sz="4" w:space="0"/>
            </w:tcBorders>
            <w:noWrap w:val="0"/>
            <w:vAlign w:val="top"/>
          </w:tcPr>
          <w:p w14:paraId="7A68ED4B">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中水平放射性废物</w:t>
            </w:r>
          </w:p>
        </w:tc>
        <w:tc>
          <w:tcPr>
            <w:tcW w:w="1567" w:type="dxa"/>
            <w:tcBorders>
              <w:top w:val="single" w:color="auto" w:sz="4" w:space="0"/>
              <w:left w:val="single" w:color="auto" w:sz="4" w:space="0"/>
              <w:bottom w:val="single" w:color="auto" w:sz="4" w:space="0"/>
              <w:right w:val="single" w:color="auto" w:sz="4" w:space="0"/>
            </w:tcBorders>
            <w:noWrap w:val="0"/>
            <w:vAlign w:val="center"/>
          </w:tcPr>
          <w:p w14:paraId="2DF5EF9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r>
      <w:tr w14:paraId="23504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0" w:type="dxa"/>
            <w:vMerge w:val="continue"/>
            <w:tcBorders>
              <w:top w:val="single" w:color="auto" w:sz="4" w:space="0"/>
              <w:left w:val="single" w:color="auto" w:sz="4" w:space="0"/>
              <w:bottom w:val="single" w:color="auto" w:sz="4" w:space="0"/>
              <w:right w:val="single" w:color="auto" w:sz="4" w:space="0"/>
            </w:tcBorders>
            <w:noWrap w:val="0"/>
            <w:vAlign w:val="center"/>
          </w:tcPr>
          <w:p w14:paraId="22834499">
            <w:pPr>
              <w:rPr>
                <w:rFonts w:hint="eastAsia" w:ascii="宋体" w:hAnsi="宋体" w:eastAsia="宋体" w:cs="宋体"/>
                <w:color w:val="auto"/>
                <w:sz w:val="21"/>
                <w:szCs w:val="21"/>
                <w:highlight w:val="none"/>
              </w:rPr>
            </w:pPr>
          </w:p>
        </w:tc>
        <w:tc>
          <w:tcPr>
            <w:tcW w:w="5375" w:type="dxa"/>
            <w:tcBorders>
              <w:top w:val="single" w:color="auto" w:sz="4" w:space="0"/>
              <w:left w:val="single" w:color="auto" w:sz="4" w:space="0"/>
              <w:bottom w:val="single" w:color="auto" w:sz="4" w:space="0"/>
              <w:right w:val="single" w:color="auto" w:sz="4" w:space="0"/>
            </w:tcBorders>
            <w:noWrap w:val="0"/>
            <w:vAlign w:val="top"/>
          </w:tcPr>
          <w:p w14:paraId="68151723">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高水平放射性废物</w:t>
            </w:r>
          </w:p>
        </w:tc>
        <w:tc>
          <w:tcPr>
            <w:tcW w:w="1567" w:type="dxa"/>
            <w:tcBorders>
              <w:top w:val="single" w:color="auto" w:sz="4" w:space="0"/>
              <w:left w:val="single" w:color="auto" w:sz="4" w:space="0"/>
              <w:bottom w:val="single" w:color="auto" w:sz="4" w:space="0"/>
              <w:right w:val="single" w:color="auto" w:sz="4" w:space="0"/>
            </w:tcBorders>
            <w:noWrap w:val="0"/>
            <w:vAlign w:val="center"/>
          </w:tcPr>
          <w:p w14:paraId="33440BD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3D37D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0" w:type="dxa"/>
            <w:vMerge w:val="restart"/>
            <w:tcBorders>
              <w:top w:val="single" w:color="auto" w:sz="4" w:space="0"/>
              <w:left w:val="single" w:color="auto" w:sz="4" w:space="0"/>
              <w:bottom w:val="single" w:color="auto" w:sz="4" w:space="0"/>
              <w:right w:val="single" w:color="auto" w:sz="4" w:space="0"/>
            </w:tcBorders>
            <w:noWrap w:val="0"/>
            <w:vAlign w:val="center"/>
          </w:tcPr>
          <w:p w14:paraId="2CA898C8">
            <w:pPr>
              <w:ind w:left="0" w:leftChars="0" w:right="0" w:rightChars="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违法事实</w:t>
            </w:r>
          </w:p>
        </w:tc>
        <w:tc>
          <w:tcPr>
            <w:tcW w:w="5375" w:type="dxa"/>
            <w:tcBorders>
              <w:top w:val="single" w:color="auto" w:sz="4" w:space="0"/>
              <w:left w:val="single" w:color="auto" w:sz="4" w:space="0"/>
              <w:bottom w:val="single" w:color="auto" w:sz="4" w:space="0"/>
              <w:right w:val="single" w:color="auto" w:sz="4" w:space="0"/>
            </w:tcBorders>
            <w:noWrap w:val="0"/>
            <w:vAlign w:val="center"/>
          </w:tcPr>
          <w:p w14:paraId="344F5397">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已对产生的放射性废物进行收集、包装、贮存，但不符合规定</w:t>
            </w:r>
          </w:p>
        </w:tc>
        <w:tc>
          <w:tcPr>
            <w:tcW w:w="1567" w:type="dxa"/>
            <w:tcBorders>
              <w:top w:val="single" w:color="auto" w:sz="4" w:space="0"/>
              <w:left w:val="single" w:color="auto" w:sz="4" w:space="0"/>
              <w:bottom w:val="single" w:color="auto" w:sz="4" w:space="0"/>
              <w:right w:val="single" w:color="auto" w:sz="4" w:space="0"/>
            </w:tcBorders>
            <w:noWrap w:val="0"/>
            <w:vAlign w:val="center"/>
          </w:tcPr>
          <w:p w14:paraId="49CB5E63">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r>
      <w:tr w14:paraId="68C49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0" w:type="dxa"/>
            <w:vMerge w:val="continue"/>
            <w:tcBorders>
              <w:top w:val="single" w:color="auto" w:sz="4" w:space="0"/>
              <w:left w:val="single" w:color="auto" w:sz="4" w:space="0"/>
              <w:bottom w:val="single" w:color="auto" w:sz="4" w:space="0"/>
              <w:right w:val="single" w:color="auto" w:sz="4" w:space="0"/>
            </w:tcBorders>
            <w:noWrap w:val="0"/>
            <w:vAlign w:val="center"/>
          </w:tcPr>
          <w:p w14:paraId="27B90C7C">
            <w:pPr>
              <w:ind w:left="0" w:leftChars="0" w:right="0" w:rightChars="0"/>
              <w:jc w:val="center"/>
              <w:textAlignment w:val="center"/>
              <w:rPr>
                <w:rFonts w:hint="eastAsia" w:ascii="宋体" w:hAnsi="宋体" w:eastAsia="宋体" w:cs="宋体"/>
                <w:color w:val="auto"/>
                <w:sz w:val="21"/>
                <w:szCs w:val="21"/>
                <w:highlight w:val="none"/>
              </w:rPr>
            </w:pPr>
          </w:p>
        </w:tc>
        <w:tc>
          <w:tcPr>
            <w:tcW w:w="5375" w:type="dxa"/>
            <w:tcBorders>
              <w:top w:val="single" w:color="auto" w:sz="4" w:space="0"/>
              <w:left w:val="single" w:color="auto" w:sz="4" w:space="0"/>
              <w:bottom w:val="single" w:color="auto" w:sz="4" w:space="0"/>
              <w:right w:val="single" w:color="auto" w:sz="4" w:space="0"/>
            </w:tcBorders>
            <w:noWrap w:val="0"/>
            <w:vAlign w:val="center"/>
          </w:tcPr>
          <w:p w14:paraId="3C81215F">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未对产生的放射性废物进行收集、包装、贮存</w:t>
            </w:r>
          </w:p>
        </w:tc>
        <w:tc>
          <w:tcPr>
            <w:tcW w:w="1567" w:type="dxa"/>
            <w:tcBorders>
              <w:top w:val="single" w:color="auto" w:sz="4" w:space="0"/>
              <w:left w:val="single" w:color="auto" w:sz="4" w:space="0"/>
              <w:bottom w:val="single" w:color="auto" w:sz="4" w:space="0"/>
              <w:right w:val="single" w:color="auto" w:sz="4" w:space="0"/>
            </w:tcBorders>
            <w:noWrap w:val="0"/>
            <w:vAlign w:val="center"/>
          </w:tcPr>
          <w:p w14:paraId="3C5B8F08">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r>
      <w:tr w14:paraId="077E1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0" w:type="dxa"/>
            <w:vMerge w:val="restart"/>
            <w:tcBorders>
              <w:top w:val="single" w:color="auto" w:sz="4" w:space="0"/>
              <w:left w:val="single" w:color="auto" w:sz="4" w:space="0"/>
              <w:bottom w:val="single" w:color="auto" w:sz="4" w:space="0"/>
              <w:right w:val="single" w:color="auto" w:sz="4" w:space="0"/>
            </w:tcBorders>
            <w:noWrap w:val="0"/>
            <w:vAlign w:val="center"/>
          </w:tcPr>
          <w:p w14:paraId="056802C3">
            <w:pPr>
              <w:jc w:val="center"/>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放射源类型</w:t>
            </w:r>
          </w:p>
        </w:tc>
        <w:tc>
          <w:tcPr>
            <w:tcW w:w="5375" w:type="dxa"/>
            <w:tcBorders>
              <w:top w:val="single" w:color="auto" w:sz="4" w:space="0"/>
              <w:left w:val="single" w:color="auto" w:sz="4" w:space="0"/>
              <w:bottom w:val="single" w:color="auto" w:sz="4" w:space="0"/>
              <w:right w:val="single" w:color="auto" w:sz="4" w:space="0"/>
            </w:tcBorders>
            <w:noWrap w:val="0"/>
            <w:vAlign w:val="center"/>
          </w:tcPr>
          <w:p w14:paraId="52068ECD">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Ⅳ类、Ⅴ类放射源或Ⅲ类射线装置的</w:t>
            </w:r>
          </w:p>
        </w:tc>
        <w:tc>
          <w:tcPr>
            <w:tcW w:w="1567" w:type="dxa"/>
            <w:tcBorders>
              <w:top w:val="single" w:color="auto" w:sz="4" w:space="0"/>
              <w:left w:val="single" w:color="auto" w:sz="4" w:space="0"/>
              <w:bottom w:val="single" w:color="auto" w:sz="4" w:space="0"/>
              <w:right w:val="single" w:color="auto" w:sz="4" w:space="0"/>
            </w:tcBorders>
            <w:noWrap w:val="0"/>
            <w:vAlign w:val="center"/>
          </w:tcPr>
          <w:p w14:paraId="2470BE0F">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1</w:t>
            </w:r>
          </w:p>
        </w:tc>
      </w:tr>
      <w:tr w14:paraId="1B357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0" w:type="dxa"/>
            <w:vMerge w:val="continue"/>
            <w:tcBorders>
              <w:top w:val="single" w:color="auto" w:sz="4" w:space="0"/>
              <w:left w:val="single" w:color="auto" w:sz="4" w:space="0"/>
              <w:bottom w:val="single" w:color="auto" w:sz="4" w:space="0"/>
              <w:right w:val="single" w:color="auto" w:sz="4" w:space="0"/>
            </w:tcBorders>
            <w:noWrap w:val="0"/>
            <w:vAlign w:val="center"/>
          </w:tcPr>
          <w:p w14:paraId="6E5D049F">
            <w:pPr>
              <w:jc w:val="center"/>
              <w:rPr>
                <w:rFonts w:hint="eastAsia" w:ascii="宋体" w:hAnsi="宋体" w:eastAsia="宋体" w:cs="宋体"/>
                <w:color w:val="auto"/>
                <w:sz w:val="21"/>
                <w:szCs w:val="21"/>
                <w:highlight w:val="none"/>
              </w:rPr>
            </w:pPr>
          </w:p>
        </w:tc>
        <w:tc>
          <w:tcPr>
            <w:tcW w:w="5375" w:type="dxa"/>
            <w:tcBorders>
              <w:top w:val="single" w:color="auto" w:sz="4" w:space="0"/>
              <w:left w:val="single" w:color="auto" w:sz="4" w:space="0"/>
              <w:bottom w:val="single" w:color="auto" w:sz="4" w:space="0"/>
              <w:right w:val="single" w:color="auto" w:sz="4" w:space="0"/>
            </w:tcBorders>
            <w:noWrap w:val="0"/>
            <w:vAlign w:val="center"/>
          </w:tcPr>
          <w:p w14:paraId="2F1583DF">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Ⅲ类放射源或Ⅱ类射线装置的</w:t>
            </w:r>
          </w:p>
        </w:tc>
        <w:tc>
          <w:tcPr>
            <w:tcW w:w="1567" w:type="dxa"/>
            <w:tcBorders>
              <w:top w:val="single" w:color="auto" w:sz="4" w:space="0"/>
              <w:left w:val="single" w:color="auto" w:sz="4" w:space="0"/>
              <w:bottom w:val="single" w:color="auto" w:sz="4" w:space="0"/>
              <w:right w:val="single" w:color="auto" w:sz="4" w:space="0"/>
            </w:tcBorders>
            <w:noWrap w:val="0"/>
            <w:vAlign w:val="center"/>
          </w:tcPr>
          <w:p w14:paraId="6C239431">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3</w:t>
            </w:r>
          </w:p>
        </w:tc>
      </w:tr>
      <w:tr w14:paraId="0A548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0" w:type="dxa"/>
            <w:vMerge w:val="continue"/>
            <w:tcBorders>
              <w:top w:val="single" w:color="auto" w:sz="4" w:space="0"/>
              <w:left w:val="single" w:color="auto" w:sz="4" w:space="0"/>
              <w:bottom w:val="single" w:color="auto" w:sz="4" w:space="0"/>
              <w:right w:val="single" w:color="auto" w:sz="4" w:space="0"/>
            </w:tcBorders>
            <w:noWrap w:val="0"/>
            <w:vAlign w:val="center"/>
          </w:tcPr>
          <w:p w14:paraId="66E11BC3">
            <w:pPr>
              <w:jc w:val="center"/>
              <w:rPr>
                <w:rFonts w:hint="eastAsia" w:ascii="宋体" w:hAnsi="宋体" w:eastAsia="宋体" w:cs="宋体"/>
                <w:color w:val="auto"/>
                <w:sz w:val="21"/>
                <w:szCs w:val="21"/>
                <w:highlight w:val="none"/>
              </w:rPr>
            </w:pPr>
          </w:p>
        </w:tc>
        <w:tc>
          <w:tcPr>
            <w:tcW w:w="5375" w:type="dxa"/>
            <w:tcBorders>
              <w:top w:val="single" w:color="auto" w:sz="4" w:space="0"/>
              <w:left w:val="single" w:color="auto" w:sz="4" w:space="0"/>
              <w:bottom w:val="single" w:color="auto" w:sz="4" w:space="0"/>
              <w:right w:val="single" w:color="auto" w:sz="4" w:space="0"/>
            </w:tcBorders>
            <w:noWrap w:val="0"/>
            <w:vAlign w:val="center"/>
          </w:tcPr>
          <w:p w14:paraId="22D4C650">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Ⅰ类、Ⅱ类放射源或Ⅰ类射线装置的</w:t>
            </w:r>
          </w:p>
        </w:tc>
        <w:tc>
          <w:tcPr>
            <w:tcW w:w="1567" w:type="dxa"/>
            <w:tcBorders>
              <w:top w:val="single" w:color="auto" w:sz="4" w:space="0"/>
              <w:left w:val="single" w:color="auto" w:sz="4" w:space="0"/>
              <w:bottom w:val="single" w:color="auto" w:sz="4" w:space="0"/>
              <w:right w:val="single" w:color="auto" w:sz="4" w:space="0"/>
            </w:tcBorders>
            <w:noWrap w:val="0"/>
            <w:vAlign w:val="center"/>
          </w:tcPr>
          <w:p w14:paraId="1EBBA720">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5</w:t>
            </w:r>
          </w:p>
        </w:tc>
      </w:tr>
      <w:tr w14:paraId="7F4CB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0" w:type="dxa"/>
            <w:vMerge w:val="restart"/>
            <w:tcBorders>
              <w:top w:val="single" w:color="auto" w:sz="4" w:space="0"/>
              <w:left w:val="single" w:color="auto" w:sz="4" w:space="0"/>
              <w:bottom w:val="single" w:color="auto" w:sz="4" w:space="0"/>
              <w:right w:val="single" w:color="auto" w:sz="4" w:space="0"/>
            </w:tcBorders>
            <w:noWrap w:val="0"/>
            <w:vAlign w:val="center"/>
          </w:tcPr>
          <w:p w14:paraId="7C7AA36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非密封放射性物质工作场所分类</w:t>
            </w:r>
          </w:p>
        </w:tc>
        <w:tc>
          <w:tcPr>
            <w:tcW w:w="5375" w:type="dxa"/>
            <w:tcBorders>
              <w:top w:val="single" w:color="auto" w:sz="4" w:space="0"/>
              <w:left w:val="single" w:color="auto" w:sz="4" w:space="0"/>
              <w:bottom w:val="single" w:color="auto" w:sz="4" w:space="0"/>
              <w:right w:val="single" w:color="auto" w:sz="4" w:space="0"/>
            </w:tcBorders>
            <w:noWrap w:val="0"/>
            <w:vAlign w:val="center"/>
          </w:tcPr>
          <w:p w14:paraId="1DE6FE7B">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丙级工作场所或不涉及非密封放射性物质工作场所</w:t>
            </w:r>
          </w:p>
        </w:tc>
        <w:tc>
          <w:tcPr>
            <w:tcW w:w="1567" w:type="dxa"/>
            <w:tcBorders>
              <w:top w:val="single" w:color="auto" w:sz="4" w:space="0"/>
              <w:left w:val="single" w:color="auto" w:sz="4" w:space="0"/>
              <w:bottom w:val="single" w:color="auto" w:sz="4" w:space="0"/>
              <w:right w:val="single" w:color="auto" w:sz="4" w:space="0"/>
            </w:tcBorders>
            <w:noWrap w:val="0"/>
            <w:vAlign w:val="center"/>
          </w:tcPr>
          <w:p w14:paraId="297F46A8">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1</w:t>
            </w:r>
          </w:p>
        </w:tc>
      </w:tr>
      <w:tr w14:paraId="23D41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0" w:type="dxa"/>
            <w:vMerge w:val="continue"/>
            <w:tcBorders>
              <w:top w:val="single" w:color="auto" w:sz="4" w:space="0"/>
              <w:left w:val="single" w:color="auto" w:sz="4" w:space="0"/>
              <w:bottom w:val="single" w:color="auto" w:sz="4" w:space="0"/>
              <w:right w:val="single" w:color="auto" w:sz="4" w:space="0"/>
            </w:tcBorders>
            <w:noWrap w:val="0"/>
            <w:vAlign w:val="center"/>
          </w:tcPr>
          <w:p w14:paraId="4CB2473A">
            <w:pPr>
              <w:jc w:val="center"/>
              <w:rPr>
                <w:rFonts w:hint="eastAsia" w:ascii="宋体" w:hAnsi="宋体" w:eastAsia="宋体" w:cs="宋体"/>
                <w:color w:val="auto"/>
                <w:sz w:val="21"/>
                <w:szCs w:val="21"/>
                <w:highlight w:val="none"/>
              </w:rPr>
            </w:pPr>
          </w:p>
        </w:tc>
        <w:tc>
          <w:tcPr>
            <w:tcW w:w="5375" w:type="dxa"/>
            <w:tcBorders>
              <w:top w:val="single" w:color="auto" w:sz="4" w:space="0"/>
              <w:left w:val="single" w:color="auto" w:sz="4" w:space="0"/>
              <w:bottom w:val="single" w:color="auto" w:sz="4" w:space="0"/>
              <w:right w:val="single" w:color="auto" w:sz="4" w:space="0"/>
            </w:tcBorders>
            <w:noWrap w:val="0"/>
            <w:vAlign w:val="center"/>
          </w:tcPr>
          <w:p w14:paraId="2FAB3D0E">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乙级工作场所</w:t>
            </w:r>
          </w:p>
        </w:tc>
        <w:tc>
          <w:tcPr>
            <w:tcW w:w="1567" w:type="dxa"/>
            <w:tcBorders>
              <w:top w:val="single" w:color="auto" w:sz="4" w:space="0"/>
              <w:left w:val="single" w:color="auto" w:sz="4" w:space="0"/>
              <w:bottom w:val="single" w:color="auto" w:sz="4" w:space="0"/>
              <w:right w:val="single" w:color="auto" w:sz="4" w:space="0"/>
            </w:tcBorders>
            <w:noWrap w:val="0"/>
            <w:vAlign w:val="center"/>
          </w:tcPr>
          <w:p w14:paraId="32F8228C">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3</w:t>
            </w:r>
          </w:p>
        </w:tc>
      </w:tr>
      <w:tr w14:paraId="1ACC2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0" w:type="dxa"/>
            <w:vMerge w:val="continue"/>
            <w:tcBorders>
              <w:top w:val="single" w:color="auto" w:sz="4" w:space="0"/>
              <w:left w:val="single" w:color="auto" w:sz="4" w:space="0"/>
              <w:bottom w:val="single" w:color="auto" w:sz="4" w:space="0"/>
              <w:right w:val="single" w:color="auto" w:sz="4" w:space="0"/>
            </w:tcBorders>
            <w:noWrap w:val="0"/>
            <w:vAlign w:val="center"/>
          </w:tcPr>
          <w:p w14:paraId="40077069">
            <w:pPr>
              <w:jc w:val="center"/>
              <w:rPr>
                <w:rFonts w:hint="eastAsia" w:ascii="宋体" w:hAnsi="宋体" w:eastAsia="宋体" w:cs="宋体"/>
                <w:color w:val="auto"/>
                <w:sz w:val="21"/>
                <w:szCs w:val="21"/>
                <w:highlight w:val="none"/>
              </w:rPr>
            </w:pPr>
          </w:p>
        </w:tc>
        <w:tc>
          <w:tcPr>
            <w:tcW w:w="5375" w:type="dxa"/>
            <w:tcBorders>
              <w:top w:val="single" w:color="auto" w:sz="4" w:space="0"/>
              <w:left w:val="single" w:color="auto" w:sz="4" w:space="0"/>
              <w:bottom w:val="single" w:color="auto" w:sz="4" w:space="0"/>
              <w:right w:val="single" w:color="auto" w:sz="4" w:space="0"/>
            </w:tcBorders>
            <w:noWrap w:val="0"/>
            <w:vAlign w:val="center"/>
          </w:tcPr>
          <w:p w14:paraId="70A1BCA9">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甲级工作场所</w:t>
            </w:r>
          </w:p>
        </w:tc>
        <w:tc>
          <w:tcPr>
            <w:tcW w:w="1567" w:type="dxa"/>
            <w:tcBorders>
              <w:top w:val="single" w:color="auto" w:sz="4" w:space="0"/>
              <w:left w:val="single" w:color="auto" w:sz="4" w:space="0"/>
              <w:bottom w:val="single" w:color="auto" w:sz="4" w:space="0"/>
              <w:right w:val="single" w:color="auto" w:sz="4" w:space="0"/>
            </w:tcBorders>
            <w:noWrap w:val="0"/>
            <w:vAlign w:val="center"/>
          </w:tcPr>
          <w:p w14:paraId="798D204A">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5</w:t>
            </w:r>
          </w:p>
        </w:tc>
      </w:tr>
    </w:tbl>
    <w:p w14:paraId="4319BE4D">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508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3"/>
        <w:gridCol w:w="5798"/>
        <w:gridCol w:w="1496"/>
      </w:tblGrid>
      <w:tr w14:paraId="06EE4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65" w:type="dxa"/>
            <w:gridSpan w:val="3"/>
            <w:tcBorders>
              <w:top w:val="single" w:color="auto" w:sz="4" w:space="0"/>
              <w:left w:val="single" w:color="auto" w:sz="4" w:space="0"/>
              <w:bottom w:val="single" w:color="auto" w:sz="4" w:space="0"/>
              <w:right w:val="single" w:color="auto" w:sz="4" w:space="0"/>
            </w:tcBorders>
            <w:noWrap w:val="0"/>
            <w:vAlign w:val="top"/>
          </w:tcPr>
          <w:p w14:paraId="3CA6E108">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（十）放射性污染防治类</w:t>
            </w:r>
          </w:p>
        </w:tc>
      </w:tr>
      <w:tr w14:paraId="16C79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7" w:type="dxa"/>
            <w:tcBorders>
              <w:top w:val="single" w:color="auto" w:sz="4" w:space="0"/>
              <w:left w:val="single" w:color="auto" w:sz="4" w:space="0"/>
              <w:bottom w:val="single" w:color="auto" w:sz="4" w:space="0"/>
              <w:right w:val="single" w:color="auto" w:sz="4" w:space="0"/>
            </w:tcBorders>
            <w:noWrap w:val="0"/>
            <w:vAlign w:val="center"/>
          </w:tcPr>
          <w:p w14:paraId="76AB266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948" w:type="dxa"/>
            <w:gridSpan w:val="2"/>
            <w:tcBorders>
              <w:top w:val="single" w:color="auto" w:sz="4" w:space="0"/>
              <w:left w:val="single" w:color="auto" w:sz="4" w:space="0"/>
              <w:bottom w:val="single" w:color="auto" w:sz="4" w:space="0"/>
              <w:right w:val="single" w:color="auto" w:sz="4" w:space="0"/>
            </w:tcBorders>
            <w:noWrap w:val="0"/>
            <w:vAlign w:val="top"/>
          </w:tcPr>
          <w:p w14:paraId="180B9A9C">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13</w:t>
            </w:r>
          </w:p>
        </w:tc>
      </w:tr>
      <w:tr w14:paraId="02595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7" w:type="dxa"/>
            <w:tcBorders>
              <w:top w:val="single" w:color="auto" w:sz="4" w:space="0"/>
              <w:left w:val="single" w:color="auto" w:sz="4" w:space="0"/>
              <w:bottom w:val="single" w:color="auto" w:sz="4" w:space="0"/>
              <w:right w:val="single" w:color="auto" w:sz="4" w:space="0"/>
            </w:tcBorders>
            <w:noWrap w:val="0"/>
            <w:vAlign w:val="center"/>
          </w:tcPr>
          <w:p w14:paraId="5E5B786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6948" w:type="dxa"/>
            <w:gridSpan w:val="2"/>
            <w:tcBorders>
              <w:top w:val="single" w:color="auto" w:sz="4" w:space="0"/>
              <w:left w:val="single" w:color="auto" w:sz="4" w:space="0"/>
              <w:bottom w:val="single" w:color="auto" w:sz="4" w:space="0"/>
              <w:right w:val="single" w:color="auto" w:sz="4" w:space="0"/>
            </w:tcBorders>
            <w:noWrap w:val="0"/>
            <w:vAlign w:val="top"/>
          </w:tcPr>
          <w:p w14:paraId="629F255F">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未建造尾矿库等设施，或者建造尾矿库等设施不符合放射性污染防治的要求，贮存、处置铀（钍）矿和伴生放射性矿的尾矿等放射性固体废物的</w:t>
            </w:r>
          </w:p>
        </w:tc>
      </w:tr>
      <w:tr w14:paraId="63255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7" w:type="dxa"/>
            <w:tcBorders>
              <w:top w:val="single" w:color="auto" w:sz="4" w:space="0"/>
              <w:left w:val="single" w:color="auto" w:sz="4" w:space="0"/>
              <w:bottom w:val="single" w:color="auto" w:sz="4" w:space="0"/>
              <w:right w:val="single" w:color="auto" w:sz="4" w:space="0"/>
            </w:tcBorders>
            <w:noWrap w:val="0"/>
            <w:vAlign w:val="center"/>
          </w:tcPr>
          <w:p w14:paraId="783C669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6948" w:type="dxa"/>
            <w:gridSpan w:val="2"/>
            <w:tcBorders>
              <w:top w:val="single" w:color="auto" w:sz="4" w:space="0"/>
              <w:left w:val="single" w:color="auto" w:sz="4" w:space="0"/>
              <w:bottom w:val="single" w:color="auto" w:sz="4" w:space="0"/>
              <w:right w:val="single" w:color="auto" w:sz="4" w:space="0"/>
            </w:tcBorders>
            <w:noWrap w:val="0"/>
            <w:vAlign w:val="top"/>
          </w:tcPr>
          <w:p w14:paraId="582D418F">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《中华人民共和国生态环境法典》第六百三十三条  对铀（钍）矿和伴生放射性矿开发利用过程中产生的尾矿等放射性固体废物，应当建造尾矿库等设施进行贮存、处置；建造的尾矿库等设施应当符合放射性污染防治的要求。</w:t>
            </w:r>
          </w:p>
        </w:tc>
      </w:tr>
      <w:tr w14:paraId="10B65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7" w:type="dxa"/>
            <w:tcBorders>
              <w:top w:val="single" w:color="auto" w:sz="4" w:space="0"/>
              <w:left w:val="single" w:color="auto" w:sz="4" w:space="0"/>
              <w:bottom w:val="single" w:color="auto" w:sz="4" w:space="0"/>
              <w:right w:val="single" w:color="auto" w:sz="4" w:space="0"/>
            </w:tcBorders>
            <w:noWrap w:val="0"/>
            <w:vAlign w:val="center"/>
          </w:tcPr>
          <w:p w14:paraId="3E85E85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6948" w:type="dxa"/>
            <w:gridSpan w:val="2"/>
            <w:tcBorders>
              <w:top w:val="single" w:color="auto" w:sz="4" w:space="0"/>
              <w:left w:val="single" w:color="auto" w:sz="4" w:space="0"/>
              <w:bottom w:val="single" w:color="auto" w:sz="4" w:space="0"/>
              <w:right w:val="single" w:color="auto" w:sz="4" w:space="0"/>
            </w:tcBorders>
            <w:noWrap w:val="0"/>
            <w:vAlign w:val="top"/>
          </w:tcPr>
          <w:p w14:paraId="226DECDA">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《中华人民共和国生态环境法典》第一千二百零一条</w:t>
            </w:r>
            <w:r>
              <w:rPr>
                <w:rFonts w:hint="eastAsia" w:ascii="宋体" w:hAnsi="宋体" w:eastAsia="宋体" w:cs="宋体"/>
                <w:color w:val="auto"/>
                <w:sz w:val="21"/>
                <w:szCs w:val="21"/>
                <w:highlight w:val="none"/>
                <w:lang w:eastAsia="zh-CN"/>
              </w:rPr>
              <w:t>第一款第二项、第二款</w:t>
            </w:r>
            <w:r>
              <w:rPr>
                <w:rFonts w:hint="eastAsia" w:ascii="宋体" w:hAnsi="宋体" w:eastAsia="宋体" w:cs="宋体"/>
                <w:color w:val="auto"/>
                <w:sz w:val="21"/>
                <w:szCs w:val="21"/>
                <w:highlight w:val="none"/>
              </w:rPr>
              <w:t xml:space="preserve">  违反本法规定，有下列情形之一的，由生态环境主管部门责令停止违法行为，限期改正，处以罚款：</w:t>
            </w:r>
          </w:p>
          <w:p w14:paraId="41A69D04">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（二）未建造尾矿库等设施，或者建造尾矿库等设施不符合放射性污染防治的要求，贮存、处置铀（钍）矿和伴生放射性矿的尾矿等放射性固体废物；</w:t>
            </w:r>
          </w:p>
          <w:p w14:paraId="29AA7955">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有前款第一项、第三项情形之一的，处五万元以上五十万元以下的罚款；有前款第二项、第四项、第五项情形之一的，处十万元以上一百万元以下的罚款。</w:t>
            </w:r>
          </w:p>
        </w:tc>
      </w:tr>
      <w:tr w14:paraId="294A4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7" w:type="dxa"/>
            <w:tcBorders>
              <w:top w:val="single" w:color="auto" w:sz="4" w:space="0"/>
              <w:left w:val="single" w:color="auto" w:sz="4" w:space="0"/>
              <w:bottom w:val="single" w:color="auto" w:sz="4" w:space="0"/>
              <w:right w:val="single" w:color="auto" w:sz="4" w:space="0"/>
            </w:tcBorders>
            <w:noWrap w:val="0"/>
            <w:vAlign w:val="center"/>
          </w:tcPr>
          <w:p w14:paraId="11551EC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523" w:type="dxa"/>
            <w:tcBorders>
              <w:top w:val="single" w:color="auto" w:sz="4" w:space="0"/>
              <w:left w:val="single" w:color="auto" w:sz="4" w:space="0"/>
              <w:bottom w:val="single" w:color="auto" w:sz="4" w:space="0"/>
              <w:right w:val="single" w:color="auto" w:sz="4" w:space="0"/>
            </w:tcBorders>
            <w:noWrap w:val="0"/>
            <w:vAlign w:val="top"/>
          </w:tcPr>
          <w:p w14:paraId="018FF27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425" w:type="dxa"/>
            <w:tcBorders>
              <w:top w:val="single" w:color="auto" w:sz="4" w:space="0"/>
              <w:left w:val="single" w:color="auto" w:sz="4" w:space="0"/>
              <w:bottom w:val="single" w:color="auto" w:sz="4" w:space="0"/>
              <w:right w:val="single" w:color="auto" w:sz="4" w:space="0"/>
            </w:tcBorders>
            <w:noWrap w:val="0"/>
            <w:vAlign w:val="top"/>
          </w:tcPr>
          <w:p w14:paraId="2A5FF53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4C4D1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7" w:type="dxa"/>
            <w:vMerge w:val="restart"/>
            <w:tcBorders>
              <w:top w:val="single" w:color="auto" w:sz="4" w:space="0"/>
              <w:left w:val="single" w:color="auto" w:sz="4" w:space="0"/>
              <w:right w:val="single" w:color="auto" w:sz="4" w:space="0"/>
            </w:tcBorders>
            <w:noWrap w:val="0"/>
            <w:vAlign w:val="center"/>
          </w:tcPr>
          <w:p w14:paraId="757E1D0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违法事实</w:t>
            </w:r>
          </w:p>
        </w:tc>
        <w:tc>
          <w:tcPr>
            <w:tcW w:w="5523" w:type="dxa"/>
            <w:tcBorders>
              <w:top w:val="single" w:color="auto" w:sz="4" w:space="0"/>
              <w:left w:val="single" w:color="auto" w:sz="4" w:space="0"/>
              <w:bottom w:val="single" w:color="auto" w:sz="4" w:space="0"/>
              <w:right w:val="single" w:color="auto" w:sz="4" w:space="0"/>
            </w:tcBorders>
            <w:noWrap w:val="0"/>
            <w:vAlign w:val="top"/>
          </w:tcPr>
          <w:p w14:paraId="0AEF1FEF">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未按放射性污染防治的要求建设尾矿库</w:t>
            </w:r>
          </w:p>
        </w:tc>
        <w:tc>
          <w:tcPr>
            <w:tcW w:w="1425" w:type="dxa"/>
            <w:tcBorders>
              <w:top w:val="single" w:color="auto" w:sz="4" w:space="0"/>
              <w:left w:val="single" w:color="auto" w:sz="4" w:space="0"/>
              <w:bottom w:val="single" w:color="auto" w:sz="4" w:space="0"/>
              <w:right w:val="single" w:color="auto" w:sz="4" w:space="0"/>
            </w:tcBorders>
            <w:noWrap w:val="0"/>
            <w:vAlign w:val="top"/>
          </w:tcPr>
          <w:p w14:paraId="4A794CF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5FDD4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7" w:type="dxa"/>
            <w:vMerge w:val="continue"/>
            <w:tcBorders>
              <w:top w:val="single" w:color="auto" w:sz="4" w:space="0"/>
              <w:left w:val="single" w:color="auto" w:sz="4" w:space="0"/>
              <w:bottom w:val="single" w:color="auto" w:sz="4" w:space="0"/>
              <w:right w:val="single" w:color="auto" w:sz="4" w:space="0"/>
            </w:tcBorders>
            <w:noWrap w:val="0"/>
            <w:vAlign w:val="center"/>
          </w:tcPr>
          <w:p w14:paraId="1ECE96EC">
            <w:pPr>
              <w:rPr>
                <w:rFonts w:hint="eastAsia" w:ascii="宋体" w:hAnsi="宋体" w:eastAsia="宋体" w:cs="宋体"/>
                <w:color w:val="auto"/>
                <w:sz w:val="21"/>
                <w:szCs w:val="21"/>
                <w:highlight w:val="none"/>
              </w:rPr>
            </w:pPr>
          </w:p>
        </w:tc>
        <w:tc>
          <w:tcPr>
            <w:tcW w:w="5523" w:type="dxa"/>
            <w:tcBorders>
              <w:top w:val="single" w:color="auto" w:sz="4" w:space="0"/>
              <w:left w:val="single" w:color="auto" w:sz="4" w:space="0"/>
              <w:bottom w:val="single" w:color="auto" w:sz="4" w:space="0"/>
              <w:right w:val="single" w:color="auto" w:sz="4" w:space="0"/>
            </w:tcBorders>
            <w:noWrap w:val="0"/>
            <w:vAlign w:val="top"/>
          </w:tcPr>
          <w:p w14:paraId="06AFE582">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未建设尾矿库</w:t>
            </w:r>
          </w:p>
        </w:tc>
        <w:tc>
          <w:tcPr>
            <w:tcW w:w="1425" w:type="dxa"/>
            <w:tcBorders>
              <w:top w:val="single" w:color="auto" w:sz="4" w:space="0"/>
              <w:left w:val="single" w:color="auto" w:sz="4" w:space="0"/>
              <w:bottom w:val="single" w:color="auto" w:sz="4" w:space="0"/>
              <w:right w:val="single" w:color="auto" w:sz="4" w:space="0"/>
            </w:tcBorders>
            <w:noWrap w:val="0"/>
            <w:vAlign w:val="top"/>
          </w:tcPr>
          <w:p w14:paraId="1607B37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1A65C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7" w:type="dxa"/>
            <w:vMerge w:val="restart"/>
            <w:tcBorders>
              <w:top w:val="single" w:color="auto" w:sz="4" w:space="0"/>
              <w:left w:val="single" w:color="auto" w:sz="4" w:space="0"/>
              <w:right w:val="single" w:color="auto" w:sz="4" w:space="0"/>
            </w:tcBorders>
            <w:noWrap w:val="0"/>
            <w:vAlign w:val="center"/>
          </w:tcPr>
          <w:p w14:paraId="766B29D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涉及尾矿库</w:t>
            </w:r>
          </w:p>
          <w:p w14:paraId="1135FAA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规模</w:t>
            </w:r>
          </w:p>
        </w:tc>
        <w:tc>
          <w:tcPr>
            <w:tcW w:w="5523" w:type="dxa"/>
            <w:tcBorders>
              <w:top w:val="single" w:color="auto" w:sz="4" w:space="0"/>
              <w:left w:val="single" w:color="auto" w:sz="4" w:space="0"/>
              <w:bottom w:val="single" w:color="auto" w:sz="4" w:space="0"/>
              <w:right w:val="single" w:color="auto" w:sz="4" w:space="0"/>
            </w:tcBorders>
            <w:noWrap w:val="0"/>
            <w:vAlign w:val="top"/>
          </w:tcPr>
          <w:p w14:paraId="2A3F69EB">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不足1000</w:t>
            </w:r>
            <w:r>
              <w:rPr>
                <w:rFonts w:hint="eastAsia" w:ascii="宋体" w:hAnsi="宋体" w:cs="宋体"/>
                <w:color w:val="auto"/>
                <w:sz w:val="21"/>
                <w:szCs w:val="21"/>
                <w:highlight w:val="none"/>
                <w:lang w:eastAsia="zh-CN"/>
              </w:rPr>
              <w:t>立方米</w:t>
            </w:r>
            <w:r>
              <w:rPr>
                <w:rFonts w:hint="eastAsia" w:ascii="宋体" w:hAnsi="宋体" w:eastAsia="宋体" w:cs="宋体"/>
                <w:color w:val="auto"/>
                <w:sz w:val="21"/>
                <w:szCs w:val="21"/>
                <w:highlight w:val="none"/>
              </w:rPr>
              <w:t xml:space="preserve"> 的</w:t>
            </w:r>
          </w:p>
        </w:tc>
        <w:tc>
          <w:tcPr>
            <w:tcW w:w="1425" w:type="dxa"/>
            <w:tcBorders>
              <w:top w:val="single" w:color="auto" w:sz="4" w:space="0"/>
              <w:left w:val="single" w:color="auto" w:sz="4" w:space="0"/>
              <w:bottom w:val="single" w:color="auto" w:sz="4" w:space="0"/>
              <w:right w:val="single" w:color="auto" w:sz="4" w:space="0"/>
            </w:tcBorders>
            <w:noWrap w:val="0"/>
            <w:vAlign w:val="top"/>
          </w:tcPr>
          <w:p w14:paraId="1D71D27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6120A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7" w:type="dxa"/>
            <w:vMerge w:val="continue"/>
            <w:tcBorders>
              <w:top w:val="single" w:color="auto" w:sz="4" w:space="0"/>
              <w:left w:val="single" w:color="auto" w:sz="4" w:space="0"/>
              <w:bottom w:val="single" w:color="auto" w:sz="4" w:space="0"/>
              <w:right w:val="single" w:color="auto" w:sz="4" w:space="0"/>
            </w:tcBorders>
            <w:noWrap w:val="0"/>
            <w:vAlign w:val="center"/>
          </w:tcPr>
          <w:p w14:paraId="77815B7C">
            <w:pPr>
              <w:rPr>
                <w:rFonts w:hint="eastAsia" w:ascii="宋体" w:hAnsi="宋体" w:eastAsia="宋体" w:cs="宋体"/>
                <w:color w:val="auto"/>
                <w:sz w:val="21"/>
                <w:szCs w:val="21"/>
                <w:highlight w:val="none"/>
              </w:rPr>
            </w:pPr>
          </w:p>
        </w:tc>
        <w:tc>
          <w:tcPr>
            <w:tcW w:w="5523" w:type="dxa"/>
            <w:tcBorders>
              <w:top w:val="single" w:color="auto" w:sz="4" w:space="0"/>
              <w:left w:val="single" w:color="auto" w:sz="4" w:space="0"/>
              <w:bottom w:val="single" w:color="auto" w:sz="4" w:space="0"/>
              <w:right w:val="single" w:color="auto" w:sz="4" w:space="0"/>
            </w:tcBorders>
            <w:noWrap w:val="0"/>
            <w:vAlign w:val="top"/>
          </w:tcPr>
          <w:p w14:paraId="4E4B9B7A">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1000 </w:t>
            </w:r>
            <w:r>
              <w:rPr>
                <w:rFonts w:hint="eastAsia" w:ascii="宋体" w:hAnsi="宋体" w:cs="宋体"/>
                <w:color w:val="auto"/>
                <w:sz w:val="21"/>
                <w:szCs w:val="21"/>
                <w:highlight w:val="none"/>
                <w:lang w:eastAsia="zh-CN"/>
              </w:rPr>
              <w:t>立方米</w:t>
            </w:r>
            <w:r>
              <w:rPr>
                <w:rFonts w:hint="eastAsia" w:ascii="宋体" w:hAnsi="宋体" w:eastAsia="宋体" w:cs="宋体"/>
                <w:color w:val="auto"/>
                <w:sz w:val="21"/>
                <w:szCs w:val="21"/>
                <w:highlight w:val="none"/>
              </w:rPr>
              <w:t xml:space="preserve">以上不足2000 </w:t>
            </w:r>
            <w:r>
              <w:rPr>
                <w:rFonts w:hint="eastAsia" w:ascii="宋体" w:hAnsi="宋体" w:cs="宋体"/>
                <w:color w:val="auto"/>
                <w:sz w:val="21"/>
                <w:szCs w:val="21"/>
                <w:highlight w:val="none"/>
                <w:lang w:eastAsia="zh-CN"/>
              </w:rPr>
              <w:t>立方米</w:t>
            </w:r>
            <w:r>
              <w:rPr>
                <w:rFonts w:hint="eastAsia" w:ascii="宋体" w:hAnsi="宋体" w:eastAsia="宋体" w:cs="宋体"/>
                <w:color w:val="auto"/>
                <w:sz w:val="21"/>
                <w:szCs w:val="21"/>
                <w:highlight w:val="none"/>
              </w:rPr>
              <w:t>的</w:t>
            </w:r>
          </w:p>
        </w:tc>
        <w:tc>
          <w:tcPr>
            <w:tcW w:w="1425" w:type="dxa"/>
            <w:tcBorders>
              <w:top w:val="single" w:color="auto" w:sz="4" w:space="0"/>
              <w:left w:val="single" w:color="auto" w:sz="4" w:space="0"/>
              <w:bottom w:val="single" w:color="auto" w:sz="4" w:space="0"/>
              <w:right w:val="single" w:color="auto" w:sz="4" w:space="0"/>
            </w:tcBorders>
            <w:noWrap w:val="0"/>
            <w:vAlign w:val="top"/>
          </w:tcPr>
          <w:p w14:paraId="7DE6153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r>
      <w:tr w14:paraId="7477E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7" w:type="dxa"/>
            <w:vMerge w:val="continue"/>
            <w:tcBorders>
              <w:top w:val="single" w:color="auto" w:sz="4" w:space="0"/>
              <w:left w:val="single" w:color="auto" w:sz="4" w:space="0"/>
              <w:bottom w:val="single" w:color="auto" w:sz="4" w:space="0"/>
              <w:right w:val="single" w:color="auto" w:sz="4" w:space="0"/>
            </w:tcBorders>
            <w:noWrap w:val="0"/>
            <w:vAlign w:val="center"/>
          </w:tcPr>
          <w:p w14:paraId="01068996">
            <w:pPr>
              <w:rPr>
                <w:rFonts w:hint="eastAsia" w:ascii="宋体" w:hAnsi="宋体" w:eastAsia="宋体" w:cs="宋体"/>
                <w:color w:val="auto"/>
                <w:sz w:val="21"/>
                <w:szCs w:val="21"/>
                <w:highlight w:val="none"/>
              </w:rPr>
            </w:pPr>
          </w:p>
        </w:tc>
        <w:tc>
          <w:tcPr>
            <w:tcW w:w="5523" w:type="dxa"/>
            <w:tcBorders>
              <w:top w:val="single" w:color="auto" w:sz="4" w:space="0"/>
              <w:left w:val="single" w:color="auto" w:sz="4" w:space="0"/>
              <w:bottom w:val="single" w:color="auto" w:sz="4" w:space="0"/>
              <w:right w:val="single" w:color="auto" w:sz="4" w:space="0"/>
            </w:tcBorders>
            <w:noWrap w:val="0"/>
            <w:vAlign w:val="top"/>
          </w:tcPr>
          <w:p w14:paraId="2AC0FD75">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2000 </w:t>
            </w:r>
            <w:r>
              <w:rPr>
                <w:rFonts w:hint="eastAsia" w:ascii="宋体" w:hAnsi="宋体" w:cs="宋体"/>
                <w:color w:val="auto"/>
                <w:sz w:val="21"/>
                <w:szCs w:val="21"/>
                <w:highlight w:val="none"/>
                <w:lang w:eastAsia="zh-CN"/>
              </w:rPr>
              <w:t>立方米</w:t>
            </w:r>
            <w:r>
              <w:rPr>
                <w:rFonts w:hint="eastAsia" w:ascii="宋体" w:hAnsi="宋体" w:eastAsia="宋体" w:cs="宋体"/>
                <w:color w:val="auto"/>
                <w:sz w:val="21"/>
                <w:szCs w:val="21"/>
                <w:highlight w:val="none"/>
              </w:rPr>
              <w:t xml:space="preserve">以上不足3000 </w:t>
            </w:r>
            <w:r>
              <w:rPr>
                <w:rFonts w:hint="eastAsia" w:ascii="宋体" w:hAnsi="宋体" w:cs="宋体"/>
                <w:color w:val="auto"/>
                <w:sz w:val="21"/>
                <w:szCs w:val="21"/>
                <w:highlight w:val="none"/>
                <w:lang w:eastAsia="zh-CN"/>
              </w:rPr>
              <w:t>立方米</w:t>
            </w:r>
            <w:r>
              <w:rPr>
                <w:rFonts w:hint="eastAsia" w:ascii="宋体" w:hAnsi="宋体" w:eastAsia="宋体" w:cs="宋体"/>
                <w:color w:val="auto"/>
                <w:sz w:val="21"/>
                <w:szCs w:val="21"/>
                <w:highlight w:val="none"/>
              </w:rPr>
              <w:t>的</w:t>
            </w:r>
          </w:p>
        </w:tc>
        <w:tc>
          <w:tcPr>
            <w:tcW w:w="1425" w:type="dxa"/>
            <w:tcBorders>
              <w:top w:val="single" w:color="auto" w:sz="4" w:space="0"/>
              <w:left w:val="single" w:color="auto" w:sz="4" w:space="0"/>
              <w:bottom w:val="single" w:color="auto" w:sz="4" w:space="0"/>
              <w:right w:val="single" w:color="auto" w:sz="4" w:space="0"/>
            </w:tcBorders>
            <w:noWrap w:val="0"/>
            <w:vAlign w:val="top"/>
          </w:tcPr>
          <w:p w14:paraId="4ABF41F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54CEA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7" w:type="dxa"/>
            <w:vMerge w:val="continue"/>
            <w:tcBorders>
              <w:top w:val="single" w:color="auto" w:sz="4" w:space="0"/>
              <w:left w:val="single" w:color="auto" w:sz="4" w:space="0"/>
              <w:bottom w:val="single" w:color="auto" w:sz="4" w:space="0"/>
              <w:right w:val="single" w:color="auto" w:sz="4" w:space="0"/>
            </w:tcBorders>
            <w:noWrap w:val="0"/>
            <w:vAlign w:val="center"/>
          </w:tcPr>
          <w:p w14:paraId="379F2B7C">
            <w:pPr>
              <w:rPr>
                <w:rFonts w:hint="eastAsia" w:ascii="宋体" w:hAnsi="宋体" w:eastAsia="宋体" w:cs="宋体"/>
                <w:color w:val="auto"/>
                <w:sz w:val="21"/>
                <w:szCs w:val="21"/>
                <w:highlight w:val="none"/>
              </w:rPr>
            </w:pPr>
          </w:p>
        </w:tc>
        <w:tc>
          <w:tcPr>
            <w:tcW w:w="5523" w:type="dxa"/>
            <w:tcBorders>
              <w:top w:val="single" w:color="auto" w:sz="4" w:space="0"/>
              <w:left w:val="single" w:color="auto" w:sz="4" w:space="0"/>
              <w:bottom w:val="single" w:color="auto" w:sz="4" w:space="0"/>
              <w:right w:val="single" w:color="auto" w:sz="4" w:space="0"/>
            </w:tcBorders>
            <w:noWrap w:val="0"/>
            <w:vAlign w:val="top"/>
          </w:tcPr>
          <w:p w14:paraId="33239EEA">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3000 </w:t>
            </w:r>
            <w:r>
              <w:rPr>
                <w:rFonts w:hint="eastAsia" w:ascii="宋体" w:hAnsi="宋体" w:cs="宋体"/>
                <w:color w:val="auto"/>
                <w:sz w:val="21"/>
                <w:szCs w:val="21"/>
                <w:highlight w:val="none"/>
                <w:lang w:eastAsia="zh-CN"/>
              </w:rPr>
              <w:t>立方米</w:t>
            </w:r>
            <w:r>
              <w:rPr>
                <w:rFonts w:hint="eastAsia" w:ascii="宋体" w:hAnsi="宋体" w:eastAsia="宋体" w:cs="宋体"/>
                <w:color w:val="auto"/>
                <w:sz w:val="21"/>
                <w:szCs w:val="21"/>
                <w:highlight w:val="none"/>
              </w:rPr>
              <w:t xml:space="preserve">以上不足5000 </w:t>
            </w:r>
            <w:r>
              <w:rPr>
                <w:rFonts w:hint="eastAsia" w:ascii="宋体" w:hAnsi="宋体" w:cs="宋体"/>
                <w:color w:val="auto"/>
                <w:sz w:val="21"/>
                <w:szCs w:val="21"/>
                <w:highlight w:val="none"/>
                <w:lang w:eastAsia="zh-CN"/>
              </w:rPr>
              <w:t>立方米</w:t>
            </w:r>
            <w:r>
              <w:rPr>
                <w:rFonts w:hint="eastAsia" w:ascii="宋体" w:hAnsi="宋体" w:eastAsia="宋体" w:cs="宋体"/>
                <w:color w:val="auto"/>
                <w:sz w:val="21"/>
                <w:szCs w:val="21"/>
                <w:highlight w:val="none"/>
              </w:rPr>
              <w:t>的</w:t>
            </w:r>
          </w:p>
        </w:tc>
        <w:tc>
          <w:tcPr>
            <w:tcW w:w="1425" w:type="dxa"/>
            <w:tcBorders>
              <w:top w:val="single" w:color="auto" w:sz="4" w:space="0"/>
              <w:left w:val="single" w:color="auto" w:sz="4" w:space="0"/>
              <w:bottom w:val="single" w:color="auto" w:sz="4" w:space="0"/>
              <w:right w:val="single" w:color="auto" w:sz="4" w:space="0"/>
            </w:tcBorders>
            <w:noWrap w:val="0"/>
            <w:vAlign w:val="top"/>
          </w:tcPr>
          <w:p w14:paraId="4A64F3C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r>
      <w:tr w14:paraId="251A4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7" w:type="dxa"/>
            <w:vMerge w:val="continue"/>
            <w:tcBorders>
              <w:top w:val="single" w:color="auto" w:sz="4" w:space="0"/>
              <w:left w:val="single" w:color="auto" w:sz="4" w:space="0"/>
              <w:bottom w:val="single" w:color="auto" w:sz="4" w:space="0"/>
              <w:right w:val="single" w:color="auto" w:sz="4" w:space="0"/>
            </w:tcBorders>
            <w:noWrap w:val="0"/>
            <w:vAlign w:val="center"/>
          </w:tcPr>
          <w:p w14:paraId="5EA1D718">
            <w:pPr>
              <w:rPr>
                <w:rFonts w:hint="eastAsia" w:ascii="宋体" w:hAnsi="宋体" w:eastAsia="宋体" w:cs="宋体"/>
                <w:color w:val="auto"/>
                <w:sz w:val="21"/>
                <w:szCs w:val="21"/>
                <w:highlight w:val="none"/>
              </w:rPr>
            </w:pPr>
          </w:p>
        </w:tc>
        <w:tc>
          <w:tcPr>
            <w:tcW w:w="5523" w:type="dxa"/>
            <w:tcBorders>
              <w:top w:val="single" w:color="auto" w:sz="4" w:space="0"/>
              <w:left w:val="single" w:color="auto" w:sz="4" w:space="0"/>
              <w:bottom w:val="single" w:color="auto" w:sz="4" w:space="0"/>
              <w:right w:val="single" w:color="auto" w:sz="4" w:space="0"/>
            </w:tcBorders>
            <w:noWrap w:val="0"/>
            <w:vAlign w:val="top"/>
          </w:tcPr>
          <w:p w14:paraId="022A8B4A">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5000 </w:t>
            </w:r>
            <w:r>
              <w:rPr>
                <w:rFonts w:hint="eastAsia" w:ascii="宋体" w:hAnsi="宋体" w:cs="宋体"/>
                <w:color w:val="auto"/>
                <w:sz w:val="21"/>
                <w:szCs w:val="21"/>
                <w:highlight w:val="none"/>
                <w:lang w:eastAsia="zh-CN"/>
              </w:rPr>
              <w:t>立方米</w:t>
            </w:r>
            <w:r>
              <w:rPr>
                <w:rFonts w:hint="eastAsia" w:ascii="宋体" w:hAnsi="宋体" w:eastAsia="宋体" w:cs="宋体"/>
                <w:color w:val="auto"/>
                <w:sz w:val="21"/>
                <w:szCs w:val="21"/>
                <w:highlight w:val="none"/>
              </w:rPr>
              <w:t>以上的</w:t>
            </w:r>
          </w:p>
        </w:tc>
        <w:tc>
          <w:tcPr>
            <w:tcW w:w="1425" w:type="dxa"/>
            <w:tcBorders>
              <w:top w:val="single" w:color="auto" w:sz="4" w:space="0"/>
              <w:left w:val="single" w:color="auto" w:sz="4" w:space="0"/>
              <w:bottom w:val="single" w:color="auto" w:sz="4" w:space="0"/>
              <w:right w:val="single" w:color="auto" w:sz="4" w:space="0"/>
            </w:tcBorders>
            <w:noWrap w:val="0"/>
            <w:vAlign w:val="top"/>
          </w:tcPr>
          <w:p w14:paraId="3B88690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bl>
    <w:p w14:paraId="569019A8">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4"/>
        <w:gridCol w:w="5806"/>
        <w:gridCol w:w="1338"/>
      </w:tblGrid>
      <w:tr w14:paraId="0F67D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48" w:type="dxa"/>
            <w:gridSpan w:val="3"/>
            <w:noWrap w:val="0"/>
            <w:vAlign w:val="center"/>
          </w:tcPr>
          <w:p w14:paraId="02A3139E">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（十）放射性污染防治类</w:t>
            </w:r>
          </w:p>
        </w:tc>
      </w:tr>
      <w:tr w14:paraId="21BB6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4" w:type="dxa"/>
            <w:noWrap w:val="0"/>
            <w:vAlign w:val="center"/>
          </w:tcPr>
          <w:p w14:paraId="3EFA274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7144" w:type="dxa"/>
            <w:gridSpan w:val="2"/>
            <w:noWrap w:val="0"/>
            <w:vAlign w:val="center"/>
          </w:tcPr>
          <w:p w14:paraId="772551B0">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14</w:t>
            </w:r>
          </w:p>
        </w:tc>
      </w:tr>
      <w:tr w14:paraId="0FDBF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4" w:type="dxa"/>
            <w:noWrap w:val="0"/>
            <w:vAlign w:val="center"/>
          </w:tcPr>
          <w:p w14:paraId="42D9F96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7144" w:type="dxa"/>
            <w:gridSpan w:val="2"/>
            <w:noWrap w:val="0"/>
            <w:vAlign w:val="center"/>
          </w:tcPr>
          <w:p w14:paraId="0655FDB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不按照规定处理或者贮存不得向环境排放的放射性废液的</w:t>
            </w:r>
          </w:p>
        </w:tc>
      </w:tr>
      <w:tr w14:paraId="36680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4" w:type="dxa"/>
            <w:noWrap w:val="0"/>
            <w:vAlign w:val="center"/>
          </w:tcPr>
          <w:p w14:paraId="0C71F3E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7144" w:type="dxa"/>
            <w:gridSpan w:val="2"/>
            <w:noWrap w:val="0"/>
            <w:vAlign w:val="center"/>
          </w:tcPr>
          <w:p w14:paraId="15A87EF1">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《中华人民共和国生态环境法典》第六百三十八条</w:t>
            </w:r>
            <w:r>
              <w:rPr>
                <w:rFonts w:hint="eastAsia" w:ascii="宋体" w:hAnsi="宋体" w:eastAsia="宋体" w:cs="宋体"/>
                <w:color w:val="auto"/>
                <w:sz w:val="21"/>
                <w:szCs w:val="21"/>
                <w:highlight w:val="none"/>
                <w:lang w:val="en-US" w:eastAsia="zh-CN"/>
              </w:rPr>
              <w:t>第一款</w:t>
            </w:r>
            <w:r>
              <w:rPr>
                <w:rFonts w:hint="eastAsia" w:ascii="宋体" w:hAnsi="宋体" w:eastAsia="宋体" w:cs="宋体"/>
                <w:color w:val="auto"/>
                <w:sz w:val="21"/>
                <w:szCs w:val="21"/>
                <w:highlight w:val="none"/>
              </w:rPr>
              <w:t xml:space="preserve">  产生放射性废液的单位，应当按照国家放射性污染防治的规定和标准的要求，对不得排放的放射性废液进行处理或者贮存。不能经净化或者贮存衰变达到国家放射性污染防治的规定和标准要求的放射性废液，应当使其转变为符合处置要求的稳定的、标准化的放射性固体废物。</w:t>
            </w:r>
          </w:p>
        </w:tc>
      </w:tr>
      <w:tr w14:paraId="10A9C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4" w:type="dxa"/>
            <w:noWrap w:val="0"/>
            <w:vAlign w:val="center"/>
          </w:tcPr>
          <w:p w14:paraId="271632A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7144" w:type="dxa"/>
            <w:gridSpan w:val="2"/>
            <w:noWrap w:val="0"/>
            <w:vAlign w:val="center"/>
          </w:tcPr>
          <w:p w14:paraId="643232C6">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《中华人民共和国生态环境法典》第一千二百零一条</w:t>
            </w:r>
            <w:r>
              <w:rPr>
                <w:rFonts w:hint="eastAsia" w:ascii="宋体" w:hAnsi="宋体" w:eastAsia="宋体" w:cs="宋体"/>
                <w:color w:val="auto"/>
                <w:sz w:val="21"/>
                <w:szCs w:val="21"/>
                <w:highlight w:val="none"/>
                <w:lang w:eastAsia="zh-CN"/>
              </w:rPr>
              <w:t>第一款第三项、第二款</w:t>
            </w:r>
            <w:r>
              <w:rPr>
                <w:rFonts w:hint="eastAsia" w:ascii="宋体" w:hAnsi="宋体" w:eastAsia="宋体" w:cs="宋体"/>
                <w:color w:val="auto"/>
                <w:sz w:val="21"/>
                <w:szCs w:val="21"/>
                <w:highlight w:val="none"/>
              </w:rPr>
              <w:t xml:space="preserve">  违反本法规定，有下列情形之一的，由生态环境主管部门责令停止违法行为，限期改正，处以罚款：</w:t>
            </w:r>
          </w:p>
          <w:p w14:paraId="2BFED04A">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（三）不按照规定处理或者贮存不得向环境排放的放射性废液；</w:t>
            </w:r>
          </w:p>
          <w:p w14:paraId="17168B1E">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有前款第一项、第三项情形之一的，处五万元以上五十万元以下的罚款；有前款第二项、第四项、第五项情形之一的，处十万元以上一百万元以下的罚款。</w:t>
            </w:r>
          </w:p>
        </w:tc>
      </w:tr>
      <w:tr w14:paraId="4B125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4" w:type="dxa"/>
            <w:noWrap w:val="0"/>
            <w:vAlign w:val="center"/>
          </w:tcPr>
          <w:p w14:paraId="7E85318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806" w:type="dxa"/>
            <w:noWrap w:val="0"/>
            <w:vAlign w:val="center"/>
          </w:tcPr>
          <w:p w14:paraId="151566A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338" w:type="dxa"/>
            <w:noWrap w:val="0"/>
            <w:vAlign w:val="center"/>
          </w:tcPr>
          <w:p w14:paraId="4CE4C84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3AAD6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4" w:type="dxa"/>
            <w:vMerge w:val="restart"/>
            <w:noWrap w:val="0"/>
            <w:vAlign w:val="center"/>
          </w:tcPr>
          <w:p w14:paraId="096DADF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放射性废液</w:t>
            </w:r>
          </w:p>
          <w:p w14:paraId="0129786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数量</w:t>
            </w:r>
          </w:p>
        </w:tc>
        <w:tc>
          <w:tcPr>
            <w:tcW w:w="5806" w:type="dxa"/>
            <w:noWrap w:val="0"/>
            <w:vAlign w:val="center"/>
          </w:tcPr>
          <w:p w14:paraId="3E7282D9">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不足 10 千克</w:t>
            </w:r>
          </w:p>
        </w:tc>
        <w:tc>
          <w:tcPr>
            <w:tcW w:w="1338" w:type="dxa"/>
            <w:noWrap w:val="0"/>
            <w:vAlign w:val="center"/>
          </w:tcPr>
          <w:p w14:paraId="79EF471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24EC3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4" w:type="dxa"/>
            <w:vMerge w:val="continue"/>
            <w:noWrap w:val="0"/>
            <w:vAlign w:val="center"/>
          </w:tcPr>
          <w:p w14:paraId="6D4EA9A1">
            <w:pPr>
              <w:jc w:val="center"/>
              <w:rPr>
                <w:rFonts w:hint="eastAsia" w:ascii="宋体" w:hAnsi="宋体" w:eastAsia="宋体" w:cs="宋体"/>
                <w:color w:val="auto"/>
                <w:sz w:val="21"/>
                <w:szCs w:val="21"/>
                <w:highlight w:val="none"/>
              </w:rPr>
            </w:pPr>
          </w:p>
        </w:tc>
        <w:tc>
          <w:tcPr>
            <w:tcW w:w="5806" w:type="dxa"/>
            <w:noWrap w:val="0"/>
            <w:vAlign w:val="center"/>
          </w:tcPr>
          <w:p w14:paraId="1F79F2B6">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 千克以上不足 100 千克</w:t>
            </w:r>
          </w:p>
        </w:tc>
        <w:tc>
          <w:tcPr>
            <w:tcW w:w="1338" w:type="dxa"/>
            <w:noWrap w:val="0"/>
            <w:vAlign w:val="center"/>
          </w:tcPr>
          <w:p w14:paraId="0BD2266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691BB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4" w:type="dxa"/>
            <w:vMerge w:val="continue"/>
            <w:noWrap w:val="0"/>
            <w:vAlign w:val="center"/>
          </w:tcPr>
          <w:p w14:paraId="0FB6A805">
            <w:pPr>
              <w:jc w:val="center"/>
              <w:rPr>
                <w:rFonts w:hint="eastAsia" w:ascii="宋体" w:hAnsi="宋体" w:eastAsia="宋体" w:cs="宋体"/>
                <w:color w:val="auto"/>
                <w:sz w:val="21"/>
                <w:szCs w:val="21"/>
                <w:highlight w:val="none"/>
              </w:rPr>
            </w:pPr>
          </w:p>
        </w:tc>
        <w:tc>
          <w:tcPr>
            <w:tcW w:w="5806" w:type="dxa"/>
            <w:noWrap w:val="0"/>
            <w:vAlign w:val="center"/>
          </w:tcPr>
          <w:p w14:paraId="2D89E71F">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100 千克以上</w:t>
            </w:r>
          </w:p>
        </w:tc>
        <w:tc>
          <w:tcPr>
            <w:tcW w:w="1338" w:type="dxa"/>
            <w:noWrap w:val="0"/>
            <w:vAlign w:val="center"/>
          </w:tcPr>
          <w:p w14:paraId="1EFB6AD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2D5AD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4" w:type="dxa"/>
            <w:vMerge w:val="restart"/>
            <w:noWrap w:val="0"/>
            <w:vAlign w:val="center"/>
          </w:tcPr>
          <w:p w14:paraId="6DE3644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放射性废物</w:t>
            </w:r>
          </w:p>
          <w:p w14:paraId="4096AE4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类型</w:t>
            </w:r>
          </w:p>
        </w:tc>
        <w:tc>
          <w:tcPr>
            <w:tcW w:w="5806" w:type="dxa"/>
            <w:noWrap w:val="0"/>
            <w:vAlign w:val="center"/>
          </w:tcPr>
          <w:p w14:paraId="71E012AC">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极短寿命放射性废物</w:t>
            </w:r>
          </w:p>
        </w:tc>
        <w:tc>
          <w:tcPr>
            <w:tcW w:w="1338" w:type="dxa"/>
            <w:noWrap w:val="0"/>
            <w:vAlign w:val="center"/>
          </w:tcPr>
          <w:p w14:paraId="682D8AA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6DD41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4" w:type="dxa"/>
            <w:vMerge w:val="continue"/>
            <w:noWrap w:val="0"/>
            <w:vAlign w:val="center"/>
          </w:tcPr>
          <w:p w14:paraId="110776D4">
            <w:pPr>
              <w:jc w:val="center"/>
              <w:rPr>
                <w:rFonts w:hint="eastAsia" w:ascii="宋体" w:hAnsi="宋体" w:eastAsia="宋体" w:cs="宋体"/>
                <w:color w:val="auto"/>
                <w:sz w:val="21"/>
                <w:szCs w:val="21"/>
                <w:highlight w:val="none"/>
              </w:rPr>
            </w:pPr>
          </w:p>
        </w:tc>
        <w:tc>
          <w:tcPr>
            <w:tcW w:w="5806" w:type="dxa"/>
            <w:noWrap w:val="0"/>
            <w:vAlign w:val="center"/>
          </w:tcPr>
          <w:p w14:paraId="782D0C0B">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极低水平放射性废物</w:t>
            </w:r>
          </w:p>
        </w:tc>
        <w:tc>
          <w:tcPr>
            <w:tcW w:w="1338" w:type="dxa"/>
            <w:noWrap w:val="0"/>
            <w:vAlign w:val="center"/>
          </w:tcPr>
          <w:p w14:paraId="7A6B71C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r>
      <w:tr w14:paraId="13075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4" w:type="dxa"/>
            <w:vMerge w:val="continue"/>
            <w:noWrap w:val="0"/>
            <w:vAlign w:val="center"/>
          </w:tcPr>
          <w:p w14:paraId="260A98D7">
            <w:pPr>
              <w:jc w:val="center"/>
              <w:rPr>
                <w:rFonts w:hint="eastAsia" w:ascii="宋体" w:hAnsi="宋体" w:eastAsia="宋体" w:cs="宋体"/>
                <w:color w:val="auto"/>
                <w:sz w:val="21"/>
                <w:szCs w:val="21"/>
                <w:highlight w:val="none"/>
              </w:rPr>
            </w:pPr>
          </w:p>
        </w:tc>
        <w:tc>
          <w:tcPr>
            <w:tcW w:w="5806" w:type="dxa"/>
            <w:noWrap w:val="0"/>
            <w:vAlign w:val="center"/>
          </w:tcPr>
          <w:p w14:paraId="1B83B664">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低水平放射性废物</w:t>
            </w:r>
          </w:p>
        </w:tc>
        <w:tc>
          <w:tcPr>
            <w:tcW w:w="1338" w:type="dxa"/>
            <w:noWrap w:val="0"/>
            <w:vAlign w:val="center"/>
          </w:tcPr>
          <w:p w14:paraId="23F28F9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27092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4" w:type="dxa"/>
            <w:vMerge w:val="continue"/>
            <w:noWrap w:val="0"/>
            <w:vAlign w:val="center"/>
          </w:tcPr>
          <w:p w14:paraId="7876EFA2">
            <w:pPr>
              <w:jc w:val="center"/>
              <w:rPr>
                <w:rFonts w:hint="eastAsia" w:ascii="宋体" w:hAnsi="宋体" w:eastAsia="宋体" w:cs="宋体"/>
                <w:color w:val="auto"/>
                <w:sz w:val="21"/>
                <w:szCs w:val="21"/>
                <w:highlight w:val="none"/>
              </w:rPr>
            </w:pPr>
          </w:p>
        </w:tc>
        <w:tc>
          <w:tcPr>
            <w:tcW w:w="5806" w:type="dxa"/>
            <w:noWrap w:val="0"/>
            <w:vAlign w:val="center"/>
          </w:tcPr>
          <w:p w14:paraId="50E57792">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中水平放射性废物</w:t>
            </w:r>
          </w:p>
        </w:tc>
        <w:tc>
          <w:tcPr>
            <w:tcW w:w="1338" w:type="dxa"/>
            <w:noWrap w:val="0"/>
            <w:vAlign w:val="center"/>
          </w:tcPr>
          <w:p w14:paraId="109CAC9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r>
      <w:tr w14:paraId="112DF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4" w:type="dxa"/>
            <w:vMerge w:val="continue"/>
            <w:noWrap w:val="0"/>
            <w:vAlign w:val="center"/>
          </w:tcPr>
          <w:p w14:paraId="730C7328">
            <w:pPr>
              <w:jc w:val="center"/>
              <w:rPr>
                <w:rFonts w:hint="eastAsia" w:ascii="宋体" w:hAnsi="宋体" w:eastAsia="宋体" w:cs="宋体"/>
                <w:color w:val="auto"/>
                <w:sz w:val="21"/>
                <w:szCs w:val="21"/>
                <w:highlight w:val="none"/>
              </w:rPr>
            </w:pPr>
          </w:p>
        </w:tc>
        <w:tc>
          <w:tcPr>
            <w:tcW w:w="5806" w:type="dxa"/>
            <w:noWrap w:val="0"/>
            <w:vAlign w:val="center"/>
          </w:tcPr>
          <w:p w14:paraId="174BD9FF">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高水平放射性废物</w:t>
            </w:r>
          </w:p>
        </w:tc>
        <w:tc>
          <w:tcPr>
            <w:tcW w:w="1338" w:type="dxa"/>
            <w:noWrap w:val="0"/>
            <w:vAlign w:val="center"/>
          </w:tcPr>
          <w:p w14:paraId="4A59069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bl>
    <w:p w14:paraId="777F21FF">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498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2"/>
        <w:gridCol w:w="5782"/>
        <w:gridCol w:w="1335"/>
      </w:tblGrid>
      <w:tr w14:paraId="75FAE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8495" w:type="dxa"/>
            <w:gridSpan w:val="3"/>
            <w:noWrap w:val="0"/>
            <w:vAlign w:val="center"/>
          </w:tcPr>
          <w:p w14:paraId="76FB165B">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（十）放射性污染防治类</w:t>
            </w:r>
          </w:p>
        </w:tc>
      </w:tr>
      <w:tr w14:paraId="0F348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1716" w:type="dxa"/>
            <w:noWrap w:val="0"/>
            <w:vAlign w:val="center"/>
          </w:tcPr>
          <w:p w14:paraId="3CF2DEA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779" w:type="dxa"/>
            <w:gridSpan w:val="2"/>
            <w:noWrap w:val="0"/>
            <w:vAlign w:val="center"/>
          </w:tcPr>
          <w:p w14:paraId="57625D66">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15</w:t>
            </w:r>
          </w:p>
        </w:tc>
      </w:tr>
      <w:tr w14:paraId="69BCC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1716" w:type="dxa"/>
            <w:noWrap w:val="0"/>
            <w:vAlign w:val="center"/>
          </w:tcPr>
          <w:p w14:paraId="345538E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6779" w:type="dxa"/>
            <w:gridSpan w:val="2"/>
            <w:noWrap w:val="0"/>
            <w:vAlign w:val="center"/>
          </w:tcPr>
          <w:p w14:paraId="33E7B80C">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不按照规定的方式排放放射性废液的</w:t>
            </w:r>
          </w:p>
        </w:tc>
      </w:tr>
      <w:tr w14:paraId="1675E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jc w:val="center"/>
        </w:trPr>
        <w:tc>
          <w:tcPr>
            <w:tcW w:w="1716" w:type="dxa"/>
            <w:noWrap w:val="0"/>
            <w:vAlign w:val="center"/>
          </w:tcPr>
          <w:p w14:paraId="0071A80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6779" w:type="dxa"/>
            <w:gridSpan w:val="2"/>
            <w:noWrap w:val="0"/>
            <w:vAlign w:val="center"/>
          </w:tcPr>
          <w:p w14:paraId="1775F126">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《中华人民共和国生态环境法典》第六百三十八条</w:t>
            </w:r>
            <w:r>
              <w:rPr>
                <w:rFonts w:hint="eastAsia" w:ascii="宋体" w:hAnsi="宋体" w:eastAsia="宋体" w:cs="宋体"/>
                <w:color w:val="auto"/>
                <w:sz w:val="21"/>
                <w:szCs w:val="21"/>
                <w:highlight w:val="none"/>
                <w:lang w:val="en-US" w:eastAsia="zh-CN"/>
              </w:rPr>
              <w:t>第二款</w:t>
            </w:r>
            <w:r>
              <w:rPr>
                <w:rFonts w:hint="eastAsia" w:ascii="宋体" w:hAnsi="宋体" w:eastAsia="宋体" w:cs="宋体"/>
                <w:color w:val="auto"/>
                <w:sz w:val="21"/>
                <w:szCs w:val="21"/>
                <w:highlight w:val="none"/>
              </w:rPr>
              <w:t xml:space="preserve">  产生放射性废液的单位，排放符合国家放射性污染防治的规定和标准的放射性废液，应当采用符合国务院生态环境主管部门规定的排放方式。</w:t>
            </w:r>
          </w:p>
        </w:tc>
      </w:tr>
      <w:tr w14:paraId="12EEE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jc w:val="center"/>
        </w:trPr>
        <w:tc>
          <w:tcPr>
            <w:tcW w:w="1716" w:type="dxa"/>
            <w:noWrap w:val="0"/>
            <w:vAlign w:val="center"/>
          </w:tcPr>
          <w:p w14:paraId="7927EAC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6779" w:type="dxa"/>
            <w:gridSpan w:val="2"/>
            <w:noWrap w:val="0"/>
            <w:vAlign w:val="center"/>
          </w:tcPr>
          <w:p w14:paraId="4AF550C5">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《中华人民共和国生态环境法典》第一千二百零一条  违反本法规定，有下列情形之一的，由生态环境主管部门责令停止违法行为，限期改正，处以罚款：</w:t>
            </w:r>
          </w:p>
          <w:p w14:paraId="6D01C30B">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（四）不按照规定的方式排放放射性废液；</w:t>
            </w:r>
          </w:p>
          <w:p w14:paraId="6F802242">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有前款第一项、第三项情形之一的，处五万元以上五十万元以下的罚款；有前款第二项、第四项、第五项情形之一的，处十万元以上一百万元以下的罚款。</w:t>
            </w:r>
          </w:p>
        </w:tc>
      </w:tr>
      <w:tr w14:paraId="563AA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1716" w:type="dxa"/>
            <w:noWrap w:val="0"/>
            <w:vAlign w:val="center"/>
          </w:tcPr>
          <w:p w14:paraId="07F7E95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507" w:type="dxa"/>
            <w:noWrap w:val="0"/>
            <w:vAlign w:val="center"/>
          </w:tcPr>
          <w:p w14:paraId="274AB49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272" w:type="dxa"/>
            <w:noWrap w:val="0"/>
            <w:vAlign w:val="center"/>
          </w:tcPr>
          <w:p w14:paraId="4EF9515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38894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1716" w:type="dxa"/>
            <w:vMerge w:val="restart"/>
            <w:noWrap w:val="0"/>
            <w:vAlign w:val="center"/>
          </w:tcPr>
          <w:p w14:paraId="317C3AC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放射性废液</w:t>
            </w:r>
          </w:p>
          <w:p w14:paraId="14D660C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数量</w:t>
            </w:r>
          </w:p>
        </w:tc>
        <w:tc>
          <w:tcPr>
            <w:tcW w:w="5507" w:type="dxa"/>
            <w:noWrap w:val="0"/>
            <w:vAlign w:val="center"/>
          </w:tcPr>
          <w:p w14:paraId="7292DF4C">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不足 10 千克</w:t>
            </w:r>
          </w:p>
        </w:tc>
        <w:tc>
          <w:tcPr>
            <w:tcW w:w="1272" w:type="dxa"/>
            <w:noWrap w:val="0"/>
            <w:vAlign w:val="center"/>
          </w:tcPr>
          <w:p w14:paraId="66D5566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13B4F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1716" w:type="dxa"/>
            <w:vMerge w:val="continue"/>
            <w:noWrap w:val="0"/>
            <w:vAlign w:val="center"/>
          </w:tcPr>
          <w:p w14:paraId="0909302F">
            <w:pPr>
              <w:jc w:val="center"/>
              <w:rPr>
                <w:rFonts w:hint="eastAsia" w:ascii="宋体" w:hAnsi="宋体" w:eastAsia="宋体" w:cs="宋体"/>
                <w:color w:val="auto"/>
                <w:sz w:val="21"/>
                <w:szCs w:val="21"/>
                <w:highlight w:val="none"/>
              </w:rPr>
            </w:pPr>
          </w:p>
        </w:tc>
        <w:tc>
          <w:tcPr>
            <w:tcW w:w="5507" w:type="dxa"/>
            <w:noWrap w:val="0"/>
            <w:vAlign w:val="center"/>
          </w:tcPr>
          <w:p w14:paraId="6FC29059">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 千克以上不足 100 千克</w:t>
            </w:r>
          </w:p>
        </w:tc>
        <w:tc>
          <w:tcPr>
            <w:tcW w:w="1272" w:type="dxa"/>
            <w:noWrap w:val="0"/>
            <w:vAlign w:val="center"/>
          </w:tcPr>
          <w:p w14:paraId="47E3551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5D212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1716" w:type="dxa"/>
            <w:vMerge w:val="continue"/>
            <w:noWrap w:val="0"/>
            <w:vAlign w:val="center"/>
          </w:tcPr>
          <w:p w14:paraId="4EFA0C22">
            <w:pPr>
              <w:jc w:val="center"/>
              <w:rPr>
                <w:rFonts w:hint="eastAsia" w:ascii="宋体" w:hAnsi="宋体" w:eastAsia="宋体" w:cs="宋体"/>
                <w:color w:val="auto"/>
                <w:sz w:val="21"/>
                <w:szCs w:val="21"/>
                <w:highlight w:val="none"/>
              </w:rPr>
            </w:pPr>
          </w:p>
        </w:tc>
        <w:tc>
          <w:tcPr>
            <w:tcW w:w="5507" w:type="dxa"/>
            <w:noWrap w:val="0"/>
            <w:vAlign w:val="center"/>
          </w:tcPr>
          <w:p w14:paraId="1F9A9238">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100 千克以上</w:t>
            </w:r>
          </w:p>
        </w:tc>
        <w:tc>
          <w:tcPr>
            <w:tcW w:w="1272" w:type="dxa"/>
            <w:noWrap w:val="0"/>
            <w:vAlign w:val="center"/>
          </w:tcPr>
          <w:p w14:paraId="2DE4E87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2D749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1716" w:type="dxa"/>
            <w:vMerge w:val="restart"/>
            <w:noWrap w:val="0"/>
            <w:vAlign w:val="center"/>
          </w:tcPr>
          <w:p w14:paraId="5F595D0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放射性废物</w:t>
            </w:r>
          </w:p>
          <w:p w14:paraId="52833FD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类型</w:t>
            </w:r>
          </w:p>
        </w:tc>
        <w:tc>
          <w:tcPr>
            <w:tcW w:w="5507" w:type="dxa"/>
            <w:noWrap w:val="0"/>
            <w:vAlign w:val="center"/>
          </w:tcPr>
          <w:p w14:paraId="395E162C">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极短寿命放射性废物</w:t>
            </w:r>
          </w:p>
        </w:tc>
        <w:tc>
          <w:tcPr>
            <w:tcW w:w="1272" w:type="dxa"/>
            <w:noWrap w:val="0"/>
            <w:vAlign w:val="center"/>
          </w:tcPr>
          <w:p w14:paraId="7A7D121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3EC37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1716" w:type="dxa"/>
            <w:vMerge w:val="continue"/>
            <w:noWrap w:val="0"/>
            <w:vAlign w:val="center"/>
          </w:tcPr>
          <w:p w14:paraId="4BE32984">
            <w:pPr>
              <w:jc w:val="center"/>
              <w:rPr>
                <w:rFonts w:hint="eastAsia" w:ascii="宋体" w:hAnsi="宋体" w:eastAsia="宋体" w:cs="宋体"/>
                <w:color w:val="auto"/>
                <w:sz w:val="21"/>
                <w:szCs w:val="21"/>
                <w:highlight w:val="none"/>
              </w:rPr>
            </w:pPr>
          </w:p>
        </w:tc>
        <w:tc>
          <w:tcPr>
            <w:tcW w:w="5507" w:type="dxa"/>
            <w:noWrap w:val="0"/>
            <w:vAlign w:val="center"/>
          </w:tcPr>
          <w:p w14:paraId="4EBCAE2F">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极低水平放射性废物</w:t>
            </w:r>
          </w:p>
        </w:tc>
        <w:tc>
          <w:tcPr>
            <w:tcW w:w="1272" w:type="dxa"/>
            <w:noWrap w:val="0"/>
            <w:vAlign w:val="center"/>
          </w:tcPr>
          <w:p w14:paraId="31012D4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r>
      <w:tr w14:paraId="62DAA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1716" w:type="dxa"/>
            <w:vMerge w:val="continue"/>
            <w:noWrap w:val="0"/>
            <w:vAlign w:val="center"/>
          </w:tcPr>
          <w:p w14:paraId="326207AA">
            <w:pPr>
              <w:jc w:val="center"/>
              <w:rPr>
                <w:rFonts w:hint="eastAsia" w:ascii="宋体" w:hAnsi="宋体" w:eastAsia="宋体" w:cs="宋体"/>
                <w:color w:val="auto"/>
                <w:sz w:val="21"/>
                <w:szCs w:val="21"/>
                <w:highlight w:val="none"/>
              </w:rPr>
            </w:pPr>
          </w:p>
        </w:tc>
        <w:tc>
          <w:tcPr>
            <w:tcW w:w="5507" w:type="dxa"/>
            <w:noWrap w:val="0"/>
            <w:vAlign w:val="center"/>
          </w:tcPr>
          <w:p w14:paraId="1F8C9FC7">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低水平放射性废物</w:t>
            </w:r>
          </w:p>
        </w:tc>
        <w:tc>
          <w:tcPr>
            <w:tcW w:w="1272" w:type="dxa"/>
            <w:noWrap w:val="0"/>
            <w:vAlign w:val="center"/>
          </w:tcPr>
          <w:p w14:paraId="48CFADC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55386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1716" w:type="dxa"/>
            <w:vMerge w:val="continue"/>
            <w:noWrap w:val="0"/>
            <w:vAlign w:val="center"/>
          </w:tcPr>
          <w:p w14:paraId="442E0DCA">
            <w:pPr>
              <w:jc w:val="center"/>
              <w:rPr>
                <w:rFonts w:hint="eastAsia" w:ascii="宋体" w:hAnsi="宋体" w:eastAsia="宋体" w:cs="宋体"/>
                <w:color w:val="auto"/>
                <w:sz w:val="21"/>
                <w:szCs w:val="21"/>
                <w:highlight w:val="none"/>
              </w:rPr>
            </w:pPr>
          </w:p>
        </w:tc>
        <w:tc>
          <w:tcPr>
            <w:tcW w:w="5507" w:type="dxa"/>
            <w:noWrap w:val="0"/>
            <w:vAlign w:val="center"/>
          </w:tcPr>
          <w:p w14:paraId="2E31161D">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中水平放射性废物</w:t>
            </w:r>
          </w:p>
        </w:tc>
        <w:tc>
          <w:tcPr>
            <w:tcW w:w="1272" w:type="dxa"/>
            <w:noWrap w:val="0"/>
            <w:vAlign w:val="center"/>
          </w:tcPr>
          <w:p w14:paraId="48DDA7F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r>
      <w:tr w14:paraId="46E39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1716" w:type="dxa"/>
            <w:vMerge w:val="continue"/>
            <w:noWrap w:val="0"/>
            <w:vAlign w:val="center"/>
          </w:tcPr>
          <w:p w14:paraId="77136BCE">
            <w:pPr>
              <w:jc w:val="center"/>
              <w:rPr>
                <w:rFonts w:hint="eastAsia" w:ascii="宋体" w:hAnsi="宋体" w:eastAsia="宋体" w:cs="宋体"/>
                <w:color w:val="auto"/>
                <w:sz w:val="21"/>
                <w:szCs w:val="21"/>
                <w:highlight w:val="none"/>
              </w:rPr>
            </w:pPr>
          </w:p>
        </w:tc>
        <w:tc>
          <w:tcPr>
            <w:tcW w:w="5507" w:type="dxa"/>
            <w:noWrap w:val="0"/>
            <w:vAlign w:val="center"/>
          </w:tcPr>
          <w:p w14:paraId="518CA10C">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高水平放射性废物</w:t>
            </w:r>
          </w:p>
        </w:tc>
        <w:tc>
          <w:tcPr>
            <w:tcW w:w="1272" w:type="dxa"/>
            <w:noWrap w:val="0"/>
            <w:vAlign w:val="center"/>
          </w:tcPr>
          <w:p w14:paraId="261FE6C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bl>
    <w:p w14:paraId="61103B36">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50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6"/>
        <w:gridCol w:w="5801"/>
        <w:gridCol w:w="1515"/>
      </w:tblGrid>
      <w:tr w14:paraId="74F26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2" w:type="dxa"/>
            <w:gridSpan w:val="3"/>
            <w:tcBorders>
              <w:top w:val="single" w:color="auto" w:sz="4" w:space="0"/>
              <w:left w:val="single" w:color="auto" w:sz="4" w:space="0"/>
              <w:bottom w:val="single" w:color="auto" w:sz="4" w:space="0"/>
              <w:right w:val="single" w:color="auto" w:sz="4" w:space="0"/>
            </w:tcBorders>
            <w:noWrap w:val="0"/>
            <w:vAlign w:val="center"/>
          </w:tcPr>
          <w:p w14:paraId="4D260B8D">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（十）放射性污染防治类</w:t>
            </w:r>
          </w:p>
        </w:tc>
      </w:tr>
      <w:tr w14:paraId="5D7A5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6" w:type="dxa"/>
            <w:tcBorders>
              <w:top w:val="single" w:color="auto" w:sz="4" w:space="0"/>
              <w:left w:val="single" w:color="auto" w:sz="4" w:space="0"/>
              <w:bottom w:val="single" w:color="auto" w:sz="4" w:space="0"/>
              <w:right w:val="single" w:color="auto" w:sz="4" w:space="0"/>
            </w:tcBorders>
            <w:noWrap w:val="0"/>
            <w:vAlign w:val="center"/>
          </w:tcPr>
          <w:p w14:paraId="66527A8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7316" w:type="dxa"/>
            <w:gridSpan w:val="2"/>
            <w:tcBorders>
              <w:top w:val="single" w:color="auto" w:sz="4" w:space="0"/>
              <w:left w:val="single" w:color="auto" w:sz="4" w:space="0"/>
              <w:bottom w:val="single" w:color="auto" w:sz="4" w:space="0"/>
              <w:right w:val="single" w:color="auto" w:sz="4" w:space="0"/>
            </w:tcBorders>
            <w:noWrap w:val="0"/>
            <w:vAlign w:val="center"/>
          </w:tcPr>
          <w:p w14:paraId="5CF5B451">
            <w:pPr>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6</w:t>
            </w:r>
          </w:p>
        </w:tc>
      </w:tr>
      <w:tr w14:paraId="5A747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6" w:type="dxa"/>
            <w:tcBorders>
              <w:top w:val="single" w:color="auto" w:sz="4" w:space="0"/>
              <w:left w:val="single" w:color="auto" w:sz="4" w:space="0"/>
              <w:bottom w:val="single" w:color="auto" w:sz="4" w:space="0"/>
              <w:right w:val="single" w:color="auto" w:sz="4" w:space="0"/>
            </w:tcBorders>
            <w:noWrap w:val="0"/>
            <w:vAlign w:val="center"/>
          </w:tcPr>
          <w:p w14:paraId="08B12CA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7316" w:type="dxa"/>
            <w:gridSpan w:val="2"/>
            <w:tcBorders>
              <w:top w:val="single" w:color="auto" w:sz="4" w:space="0"/>
              <w:left w:val="single" w:color="auto" w:sz="4" w:space="0"/>
              <w:bottom w:val="single" w:color="auto" w:sz="4" w:space="0"/>
              <w:right w:val="single" w:color="auto" w:sz="4" w:space="0"/>
            </w:tcBorders>
            <w:noWrap w:val="0"/>
            <w:vAlign w:val="center"/>
          </w:tcPr>
          <w:p w14:paraId="172FC90F">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将放射性废物提供或者委托给无许可证的单位或者个人贮存、处理和处置的</w:t>
            </w:r>
          </w:p>
        </w:tc>
      </w:tr>
      <w:tr w14:paraId="606FC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6" w:type="dxa"/>
            <w:tcBorders>
              <w:top w:val="single" w:color="auto" w:sz="4" w:space="0"/>
              <w:left w:val="single" w:color="auto" w:sz="4" w:space="0"/>
              <w:bottom w:val="single" w:color="auto" w:sz="4" w:space="0"/>
              <w:right w:val="single" w:color="auto" w:sz="4" w:space="0"/>
            </w:tcBorders>
            <w:noWrap w:val="0"/>
            <w:vAlign w:val="center"/>
          </w:tcPr>
          <w:p w14:paraId="3D77CC2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7316" w:type="dxa"/>
            <w:gridSpan w:val="2"/>
            <w:tcBorders>
              <w:top w:val="single" w:color="auto" w:sz="4" w:space="0"/>
              <w:left w:val="single" w:color="auto" w:sz="4" w:space="0"/>
              <w:bottom w:val="single" w:color="auto" w:sz="4" w:space="0"/>
              <w:right w:val="single" w:color="auto" w:sz="4" w:space="0"/>
            </w:tcBorders>
            <w:noWrap w:val="0"/>
            <w:vAlign w:val="center"/>
          </w:tcPr>
          <w:p w14:paraId="0F3D9BEE">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《中华人民共和国生态环境法典》第六百四十二条</w:t>
            </w:r>
            <w:r>
              <w:rPr>
                <w:rFonts w:hint="eastAsia" w:ascii="宋体" w:hAnsi="宋体" w:eastAsia="宋体" w:cs="宋体"/>
                <w:color w:val="auto"/>
                <w:sz w:val="21"/>
                <w:szCs w:val="21"/>
                <w:highlight w:val="none"/>
                <w:lang w:val="en-US" w:eastAsia="zh-CN"/>
              </w:rPr>
              <w:t>第三款</w:t>
            </w:r>
            <w:r>
              <w:rPr>
                <w:rFonts w:hint="eastAsia" w:ascii="宋体" w:hAnsi="宋体" w:eastAsia="宋体" w:cs="宋体"/>
                <w:color w:val="auto"/>
                <w:sz w:val="21"/>
                <w:szCs w:val="21"/>
                <w:highlight w:val="none"/>
              </w:rPr>
              <w:t xml:space="preserve">  禁止将放射性废物提供或者委托给无许可证的单位和个人贮存、处理、处置。</w:t>
            </w:r>
          </w:p>
        </w:tc>
      </w:tr>
      <w:tr w14:paraId="7F2B1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6" w:type="dxa"/>
            <w:tcBorders>
              <w:top w:val="single" w:color="auto" w:sz="4" w:space="0"/>
              <w:left w:val="single" w:color="auto" w:sz="4" w:space="0"/>
              <w:bottom w:val="single" w:color="auto" w:sz="4" w:space="0"/>
              <w:right w:val="single" w:color="auto" w:sz="4" w:space="0"/>
            </w:tcBorders>
            <w:noWrap w:val="0"/>
            <w:vAlign w:val="center"/>
          </w:tcPr>
          <w:p w14:paraId="16D8FC6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7316" w:type="dxa"/>
            <w:gridSpan w:val="2"/>
            <w:tcBorders>
              <w:top w:val="single" w:color="auto" w:sz="4" w:space="0"/>
              <w:left w:val="single" w:color="auto" w:sz="4" w:space="0"/>
              <w:bottom w:val="single" w:color="auto" w:sz="4" w:space="0"/>
              <w:right w:val="single" w:color="auto" w:sz="4" w:space="0"/>
            </w:tcBorders>
            <w:noWrap w:val="0"/>
            <w:vAlign w:val="center"/>
          </w:tcPr>
          <w:p w14:paraId="1A0363D5">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《中华人民共和国生态环境法典》第一千二百零一条</w:t>
            </w:r>
            <w:r>
              <w:rPr>
                <w:rFonts w:hint="eastAsia" w:ascii="宋体" w:hAnsi="宋体" w:eastAsia="宋体" w:cs="宋体"/>
                <w:color w:val="auto"/>
                <w:sz w:val="21"/>
                <w:szCs w:val="21"/>
                <w:highlight w:val="none"/>
                <w:lang w:eastAsia="zh-CN"/>
              </w:rPr>
              <w:t>第一款第五项、第二款</w:t>
            </w:r>
            <w:r>
              <w:rPr>
                <w:rFonts w:hint="eastAsia" w:ascii="宋体" w:hAnsi="宋体" w:eastAsia="宋体" w:cs="宋体"/>
                <w:color w:val="auto"/>
                <w:sz w:val="21"/>
                <w:szCs w:val="21"/>
                <w:highlight w:val="none"/>
              </w:rPr>
              <w:t xml:space="preserve">  违反本法规定，有下列情形之一的，由生态环境主管部门责令停止违法行为，限期改正，处以罚款：</w:t>
            </w:r>
          </w:p>
          <w:p w14:paraId="3FEF68D5">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（五）将放射性废物提供或者委托给无许可证的单位或者个人贮存、处理和处置。</w:t>
            </w:r>
          </w:p>
          <w:p w14:paraId="3589BF5D">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有前款第一项、第三项情形之一的，处五万元以上五十万元以下的罚款；有前款第二项、第四项、第五项情形之一的，处十万元以上一百万元以下的罚款。</w:t>
            </w:r>
          </w:p>
        </w:tc>
      </w:tr>
      <w:tr w14:paraId="50A10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6" w:type="dxa"/>
            <w:tcBorders>
              <w:top w:val="single" w:color="auto" w:sz="4" w:space="0"/>
              <w:left w:val="single" w:color="auto" w:sz="4" w:space="0"/>
              <w:bottom w:val="single" w:color="auto" w:sz="4" w:space="0"/>
              <w:right w:val="single" w:color="auto" w:sz="4" w:space="0"/>
            </w:tcBorders>
            <w:noWrap w:val="0"/>
            <w:vAlign w:val="center"/>
          </w:tcPr>
          <w:p w14:paraId="3EBA5F2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801" w:type="dxa"/>
            <w:tcBorders>
              <w:top w:val="single" w:color="auto" w:sz="4" w:space="0"/>
              <w:left w:val="single" w:color="auto" w:sz="4" w:space="0"/>
              <w:bottom w:val="single" w:color="auto" w:sz="4" w:space="0"/>
              <w:right w:val="single" w:color="auto" w:sz="4" w:space="0"/>
            </w:tcBorders>
            <w:noWrap w:val="0"/>
            <w:vAlign w:val="center"/>
          </w:tcPr>
          <w:p w14:paraId="0CA3C14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515" w:type="dxa"/>
            <w:tcBorders>
              <w:top w:val="single" w:color="auto" w:sz="4" w:space="0"/>
              <w:left w:val="single" w:color="auto" w:sz="4" w:space="0"/>
              <w:bottom w:val="single" w:color="auto" w:sz="4" w:space="0"/>
              <w:right w:val="single" w:color="auto" w:sz="4" w:space="0"/>
            </w:tcBorders>
            <w:noWrap w:val="0"/>
            <w:vAlign w:val="center"/>
          </w:tcPr>
          <w:p w14:paraId="2E40463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32559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6" w:type="dxa"/>
            <w:vMerge w:val="restart"/>
            <w:tcBorders>
              <w:top w:val="single" w:color="auto" w:sz="4" w:space="0"/>
              <w:left w:val="single" w:color="auto" w:sz="4" w:space="0"/>
              <w:right w:val="single" w:color="auto" w:sz="4" w:space="0"/>
            </w:tcBorders>
            <w:noWrap w:val="0"/>
            <w:vAlign w:val="center"/>
          </w:tcPr>
          <w:p w14:paraId="1FA8266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违法事实</w:t>
            </w:r>
          </w:p>
        </w:tc>
        <w:tc>
          <w:tcPr>
            <w:tcW w:w="5801" w:type="dxa"/>
            <w:tcBorders>
              <w:top w:val="single" w:color="auto" w:sz="4" w:space="0"/>
              <w:left w:val="single" w:color="auto" w:sz="4" w:space="0"/>
              <w:bottom w:val="single" w:color="auto" w:sz="4" w:space="0"/>
              <w:right w:val="single" w:color="auto" w:sz="4" w:space="0"/>
            </w:tcBorders>
            <w:noWrap w:val="0"/>
            <w:vAlign w:val="center"/>
          </w:tcPr>
          <w:p w14:paraId="0B9132E2">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将放射性固体废物提供或者委托给无许可证的单位或者个人贮存的</w:t>
            </w:r>
          </w:p>
        </w:tc>
        <w:tc>
          <w:tcPr>
            <w:tcW w:w="1515" w:type="dxa"/>
            <w:tcBorders>
              <w:top w:val="single" w:color="auto" w:sz="4" w:space="0"/>
              <w:left w:val="single" w:color="auto" w:sz="4" w:space="0"/>
              <w:bottom w:val="single" w:color="auto" w:sz="4" w:space="0"/>
              <w:right w:val="single" w:color="auto" w:sz="4" w:space="0"/>
            </w:tcBorders>
            <w:noWrap w:val="0"/>
            <w:vAlign w:val="center"/>
          </w:tcPr>
          <w:p w14:paraId="12723FA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3C96C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6" w:type="dxa"/>
            <w:vMerge w:val="continue"/>
            <w:tcBorders>
              <w:left w:val="single" w:color="auto" w:sz="4" w:space="0"/>
              <w:bottom w:val="single" w:color="auto" w:sz="4" w:space="0"/>
              <w:right w:val="single" w:color="auto" w:sz="4" w:space="0"/>
            </w:tcBorders>
            <w:noWrap w:val="0"/>
            <w:vAlign w:val="center"/>
          </w:tcPr>
          <w:p w14:paraId="6092369B">
            <w:pPr>
              <w:jc w:val="center"/>
              <w:rPr>
                <w:rFonts w:hint="eastAsia" w:ascii="宋体" w:hAnsi="宋体" w:eastAsia="宋体" w:cs="宋体"/>
                <w:color w:val="auto"/>
                <w:sz w:val="21"/>
                <w:szCs w:val="21"/>
                <w:highlight w:val="none"/>
              </w:rPr>
            </w:pPr>
          </w:p>
        </w:tc>
        <w:tc>
          <w:tcPr>
            <w:tcW w:w="5801" w:type="dxa"/>
            <w:tcBorders>
              <w:top w:val="single" w:color="auto" w:sz="4" w:space="0"/>
              <w:left w:val="single" w:color="auto" w:sz="4" w:space="0"/>
              <w:bottom w:val="single" w:color="auto" w:sz="4" w:space="0"/>
              <w:right w:val="single" w:color="auto" w:sz="4" w:space="0"/>
            </w:tcBorders>
            <w:noWrap w:val="0"/>
            <w:vAlign w:val="center"/>
          </w:tcPr>
          <w:p w14:paraId="3FB99553">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将放射性固体废物提供或者委托给无许可证的单位或者个人处理和处置的</w:t>
            </w:r>
          </w:p>
        </w:tc>
        <w:tc>
          <w:tcPr>
            <w:tcW w:w="1515" w:type="dxa"/>
            <w:tcBorders>
              <w:top w:val="single" w:color="auto" w:sz="4" w:space="0"/>
              <w:left w:val="single" w:color="auto" w:sz="4" w:space="0"/>
              <w:bottom w:val="single" w:color="auto" w:sz="4" w:space="0"/>
              <w:right w:val="single" w:color="auto" w:sz="4" w:space="0"/>
            </w:tcBorders>
            <w:noWrap w:val="0"/>
            <w:vAlign w:val="center"/>
          </w:tcPr>
          <w:p w14:paraId="670C61D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6793F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6" w:type="dxa"/>
            <w:vMerge w:val="restart"/>
            <w:tcBorders>
              <w:top w:val="single" w:color="auto" w:sz="4" w:space="0"/>
              <w:left w:val="single" w:color="auto" w:sz="4" w:space="0"/>
              <w:bottom w:val="single" w:color="auto" w:sz="4" w:space="0"/>
              <w:right w:val="single" w:color="auto" w:sz="4" w:space="0"/>
            </w:tcBorders>
            <w:noWrap w:val="0"/>
            <w:vAlign w:val="center"/>
          </w:tcPr>
          <w:p w14:paraId="392F067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放射性废物</w:t>
            </w:r>
          </w:p>
          <w:p w14:paraId="28D52F9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数量</w:t>
            </w:r>
          </w:p>
        </w:tc>
        <w:tc>
          <w:tcPr>
            <w:tcW w:w="5801" w:type="dxa"/>
            <w:tcBorders>
              <w:top w:val="single" w:color="auto" w:sz="4" w:space="0"/>
              <w:left w:val="single" w:color="auto" w:sz="4" w:space="0"/>
              <w:bottom w:val="single" w:color="auto" w:sz="4" w:space="0"/>
              <w:right w:val="single" w:color="auto" w:sz="4" w:space="0"/>
            </w:tcBorders>
            <w:noWrap w:val="0"/>
            <w:vAlign w:val="center"/>
          </w:tcPr>
          <w:p w14:paraId="42E7C134">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不足10千克</w:t>
            </w:r>
          </w:p>
        </w:tc>
        <w:tc>
          <w:tcPr>
            <w:tcW w:w="1515" w:type="dxa"/>
            <w:tcBorders>
              <w:top w:val="single" w:color="auto" w:sz="4" w:space="0"/>
              <w:left w:val="single" w:color="auto" w:sz="4" w:space="0"/>
              <w:bottom w:val="single" w:color="auto" w:sz="4" w:space="0"/>
              <w:right w:val="single" w:color="auto" w:sz="4" w:space="0"/>
            </w:tcBorders>
            <w:noWrap w:val="0"/>
            <w:vAlign w:val="center"/>
          </w:tcPr>
          <w:p w14:paraId="5450B34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35038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6" w:type="dxa"/>
            <w:vMerge w:val="continue"/>
            <w:tcBorders>
              <w:top w:val="single" w:color="auto" w:sz="4" w:space="0"/>
              <w:left w:val="single" w:color="auto" w:sz="4" w:space="0"/>
              <w:bottom w:val="single" w:color="auto" w:sz="4" w:space="0"/>
              <w:right w:val="single" w:color="auto" w:sz="4" w:space="0"/>
            </w:tcBorders>
            <w:noWrap w:val="0"/>
            <w:vAlign w:val="center"/>
          </w:tcPr>
          <w:p w14:paraId="20A80442">
            <w:pPr>
              <w:jc w:val="center"/>
              <w:rPr>
                <w:rFonts w:hint="eastAsia" w:ascii="宋体" w:hAnsi="宋体" w:eastAsia="宋体" w:cs="宋体"/>
                <w:color w:val="auto"/>
                <w:sz w:val="21"/>
                <w:szCs w:val="21"/>
                <w:highlight w:val="none"/>
              </w:rPr>
            </w:pPr>
          </w:p>
        </w:tc>
        <w:tc>
          <w:tcPr>
            <w:tcW w:w="5801" w:type="dxa"/>
            <w:tcBorders>
              <w:top w:val="single" w:color="auto" w:sz="4" w:space="0"/>
              <w:left w:val="single" w:color="auto" w:sz="4" w:space="0"/>
              <w:bottom w:val="single" w:color="auto" w:sz="4" w:space="0"/>
              <w:right w:val="single" w:color="auto" w:sz="4" w:space="0"/>
            </w:tcBorders>
            <w:noWrap w:val="0"/>
            <w:vAlign w:val="center"/>
          </w:tcPr>
          <w:p w14:paraId="6B0C1962">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10千克以上不足100千克</w:t>
            </w:r>
          </w:p>
        </w:tc>
        <w:tc>
          <w:tcPr>
            <w:tcW w:w="1515" w:type="dxa"/>
            <w:tcBorders>
              <w:top w:val="single" w:color="auto" w:sz="4" w:space="0"/>
              <w:left w:val="single" w:color="auto" w:sz="4" w:space="0"/>
              <w:bottom w:val="single" w:color="auto" w:sz="4" w:space="0"/>
              <w:right w:val="single" w:color="auto" w:sz="4" w:space="0"/>
            </w:tcBorders>
            <w:noWrap w:val="0"/>
            <w:vAlign w:val="center"/>
          </w:tcPr>
          <w:p w14:paraId="1EFAC05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5EDFB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6" w:type="dxa"/>
            <w:vMerge w:val="continue"/>
            <w:tcBorders>
              <w:top w:val="single" w:color="auto" w:sz="4" w:space="0"/>
              <w:left w:val="single" w:color="auto" w:sz="4" w:space="0"/>
              <w:bottom w:val="single" w:color="auto" w:sz="4" w:space="0"/>
              <w:right w:val="single" w:color="auto" w:sz="4" w:space="0"/>
            </w:tcBorders>
            <w:noWrap w:val="0"/>
            <w:vAlign w:val="center"/>
          </w:tcPr>
          <w:p w14:paraId="048C581E">
            <w:pPr>
              <w:jc w:val="center"/>
              <w:rPr>
                <w:rFonts w:hint="eastAsia" w:ascii="宋体" w:hAnsi="宋体" w:eastAsia="宋体" w:cs="宋体"/>
                <w:color w:val="auto"/>
                <w:sz w:val="21"/>
                <w:szCs w:val="21"/>
                <w:highlight w:val="none"/>
              </w:rPr>
            </w:pPr>
          </w:p>
        </w:tc>
        <w:tc>
          <w:tcPr>
            <w:tcW w:w="5801" w:type="dxa"/>
            <w:tcBorders>
              <w:top w:val="single" w:color="auto" w:sz="4" w:space="0"/>
              <w:left w:val="single" w:color="auto" w:sz="4" w:space="0"/>
              <w:bottom w:val="single" w:color="auto" w:sz="4" w:space="0"/>
              <w:right w:val="single" w:color="auto" w:sz="4" w:space="0"/>
            </w:tcBorders>
            <w:noWrap w:val="0"/>
            <w:vAlign w:val="center"/>
          </w:tcPr>
          <w:p w14:paraId="6ECD8756">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100千克以上</w:t>
            </w:r>
          </w:p>
        </w:tc>
        <w:tc>
          <w:tcPr>
            <w:tcW w:w="1515" w:type="dxa"/>
            <w:tcBorders>
              <w:top w:val="single" w:color="auto" w:sz="4" w:space="0"/>
              <w:left w:val="single" w:color="auto" w:sz="4" w:space="0"/>
              <w:bottom w:val="single" w:color="auto" w:sz="4" w:space="0"/>
              <w:right w:val="single" w:color="auto" w:sz="4" w:space="0"/>
            </w:tcBorders>
            <w:noWrap w:val="0"/>
            <w:vAlign w:val="center"/>
          </w:tcPr>
          <w:p w14:paraId="0427C67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51E5E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1806" w:type="dxa"/>
            <w:vMerge w:val="restart"/>
            <w:tcBorders>
              <w:top w:val="single" w:color="auto" w:sz="4" w:space="0"/>
              <w:left w:val="single" w:color="auto" w:sz="4" w:space="0"/>
              <w:bottom w:val="single" w:color="auto" w:sz="4" w:space="0"/>
              <w:right w:val="single" w:color="auto" w:sz="4" w:space="0"/>
            </w:tcBorders>
            <w:noWrap w:val="0"/>
            <w:vAlign w:val="center"/>
          </w:tcPr>
          <w:p w14:paraId="277EE8A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放射性废物</w:t>
            </w:r>
          </w:p>
          <w:p w14:paraId="5643182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类型</w:t>
            </w:r>
          </w:p>
        </w:tc>
        <w:tc>
          <w:tcPr>
            <w:tcW w:w="5801" w:type="dxa"/>
            <w:tcBorders>
              <w:top w:val="single" w:color="auto" w:sz="4" w:space="0"/>
              <w:left w:val="single" w:color="auto" w:sz="4" w:space="0"/>
              <w:bottom w:val="single" w:color="auto" w:sz="4" w:space="0"/>
              <w:right w:val="single" w:color="auto" w:sz="4" w:space="0"/>
            </w:tcBorders>
            <w:noWrap w:val="0"/>
            <w:vAlign w:val="center"/>
          </w:tcPr>
          <w:p w14:paraId="69BA4F56">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极短寿命放射性废物</w:t>
            </w:r>
          </w:p>
        </w:tc>
        <w:tc>
          <w:tcPr>
            <w:tcW w:w="1515" w:type="dxa"/>
            <w:tcBorders>
              <w:top w:val="single" w:color="auto" w:sz="4" w:space="0"/>
              <w:left w:val="single" w:color="auto" w:sz="4" w:space="0"/>
              <w:bottom w:val="single" w:color="auto" w:sz="4" w:space="0"/>
              <w:right w:val="single" w:color="auto" w:sz="4" w:space="0"/>
            </w:tcBorders>
            <w:noWrap w:val="0"/>
            <w:vAlign w:val="center"/>
          </w:tcPr>
          <w:p w14:paraId="3BAC07B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3B454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1806" w:type="dxa"/>
            <w:vMerge w:val="continue"/>
            <w:tcBorders>
              <w:top w:val="single" w:color="auto" w:sz="4" w:space="0"/>
              <w:left w:val="single" w:color="auto" w:sz="4" w:space="0"/>
              <w:bottom w:val="single" w:color="auto" w:sz="4" w:space="0"/>
              <w:right w:val="single" w:color="auto" w:sz="4" w:space="0"/>
            </w:tcBorders>
            <w:noWrap w:val="0"/>
            <w:vAlign w:val="center"/>
          </w:tcPr>
          <w:p w14:paraId="2ED90CFF">
            <w:pPr>
              <w:jc w:val="center"/>
              <w:rPr>
                <w:rFonts w:hint="eastAsia" w:ascii="宋体" w:hAnsi="宋体" w:eastAsia="宋体" w:cs="宋体"/>
                <w:color w:val="auto"/>
                <w:sz w:val="21"/>
                <w:szCs w:val="21"/>
                <w:highlight w:val="none"/>
              </w:rPr>
            </w:pPr>
          </w:p>
        </w:tc>
        <w:tc>
          <w:tcPr>
            <w:tcW w:w="5801" w:type="dxa"/>
            <w:tcBorders>
              <w:top w:val="single" w:color="auto" w:sz="4" w:space="0"/>
              <w:left w:val="single" w:color="auto" w:sz="4" w:space="0"/>
              <w:bottom w:val="single" w:color="auto" w:sz="4" w:space="0"/>
              <w:right w:val="single" w:color="auto" w:sz="4" w:space="0"/>
            </w:tcBorders>
            <w:noWrap w:val="0"/>
            <w:vAlign w:val="center"/>
          </w:tcPr>
          <w:p w14:paraId="757A0909">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极低水平放射性废物</w:t>
            </w:r>
          </w:p>
        </w:tc>
        <w:tc>
          <w:tcPr>
            <w:tcW w:w="1515" w:type="dxa"/>
            <w:tcBorders>
              <w:top w:val="single" w:color="auto" w:sz="4" w:space="0"/>
              <w:left w:val="single" w:color="auto" w:sz="4" w:space="0"/>
              <w:bottom w:val="single" w:color="auto" w:sz="4" w:space="0"/>
              <w:right w:val="single" w:color="auto" w:sz="4" w:space="0"/>
            </w:tcBorders>
            <w:noWrap w:val="0"/>
            <w:vAlign w:val="center"/>
          </w:tcPr>
          <w:p w14:paraId="1BDB202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r>
      <w:tr w14:paraId="7B6D3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 w:hRule="atLeast"/>
          <w:jc w:val="center"/>
        </w:trPr>
        <w:tc>
          <w:tcPr>
            <w:tcW w:w="1806" w:type="dxa"/>
            <w:vMerge w:val="continue"/>
            <w:tcBorders>
              <w:top w:val="single" w:color="auto" w:sz="4" w:space="0"/>
              <w:left w:val="single" w:color="auto" w:sz="4" w:space="0"/>
              <w:bottom w:val="single" w:color="auto" w:sz="4" w:space="0"/>
              <w:right w:val="single" w:color="auto" w:sz="4" w:space="0"/>
            </w:tcBorders>
            <w:noWrap w:val="0"/>
            <w:vAlign w:val="center"/>
          </w:tcPr>
          <w:p w14:paraId="2FB682B5">
            <w:pPr>
              <w:jc w:val="center"/>
              <w:rPr>
                <w:rFonts w:hint="eastAsia" w:ascii="宋体" w:hAnsi="宋体" w:eastAsia="宋体" w:cs="宋体"/>
                <w:color w:val="auto"/>
                <w:sz w:val="21"/>
                <w:szCs w:val="21"/>
                <w:highlight w:val="none"/>
              </w:rPr>
            </w:pPr>
          </w:p>
        </w:tc>
        <w:tc>
          <w:tcPr>
            <w:tcW w:w="5801" w:type="dxa"/>
            <w:tcBorders>
              <w:top w:val="single" w:color="auto" w:sz="4" w:space="0"/>
              <w:left w:val="single" w:color="auto" w:sz="4" w:space="0"/>
              <w:bottom w:val="single" w:color="auto" w:sz="4" w:space="0"/>
              <w:right w:val="single" w:color="auto" w:sz="4" w:space="0"/>
            </w:tcBorders>
            <w:noWrap w:val="0"/>
            <w:vAlign w:val="center"/>
          </w:tcPr>
          <w:p w14:paraId="3FBBF443">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低水平放射性废物</w:t>
            </w:r>
          </w:p>
        </w:tc>
        <w:tc>
          <w:tcPr>
            <w:tcW w:w="1515" w:type="dxa"/>
            <w:tcBorders>
              <w:top w:val="single" w:color="auto" w:sz="4" w:space="0"/>
              <w:left w:val="single" w:color="auto" w:sz="4" w:space="0"/>
              <w:bottom w:val="single" w:color="auto" w:sz="4" w:space="0"/>
              <w:right w:val="single" w:color="auto" w:sz="4" w:space="0"/>
            </w:tcBorders>
            <w:noWrap w:val="0"/>
            <w:vAlign w:val="center"/>
          </w:tcPr>
          <w:p w14:paraId="2301499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4D598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 w:hRule="atLeast"/>
          <w:jc w:val="center"/>
        </w:trPr>
        <w:tc>
          <w:tcPr>
            <w:tcW w:w="1806" w:type="dxa"/>
            <w:vMerge w:val="continue"/>
            <w:tcBorders>
              <w:top w:val="single" w:color="auto" w:sz="4" w:space="0"/>
              <w:left w:val="single" w:color="auto" w:sz="4" w:space="0"/>
              <w:bottom w:val="single" w:color="auto" w:sz="4" w:space="0"/>
              <w:right w:val="single" w:color="auto" w:sz="4" w:space="0"/>
            </w:tcBorders>
            <w:noWrap w:val="0"/>
            <w:vAlign w:val="center"/>
          </w:tcPr>
          <w:p w14:paraId="4932B963">
            <w:pPr>
              <w:jc w:val="center"/>
              <w:rPr>
                <w:rFonts w:hint="eastAsia" w:ascii="宋体" w:hAnsi="宋体" w:eastAsia="宋体" w:cs="宋体"/>
                <w:color w:val="auto"/>
                <w:sz w:val="21"/>
                <w:szCs w:val="21"/>
                <w:highlight w:val="none"/>
              </w:rPr>
            </w:pPr>
          </w:p>
        </w:tc>
        <w:tc>
          <w:tcPr>
            <w:tcW w:w="5801" w:type="dxa"/>
            <w:tcBorders>
              <w:top w:val="single" w:color="auto" w:sz="4" w:space="0"/>
              <w:left w:val="single" w:color="auto" w:sz="4" w:space="0"/>
              <w:bottom w:val="single" w:color="auto" w:sz="4" w:space="0"/>
              <w:right w:val="single" w:color="auto" w:sz="4" w:space="0"/>
            </w:tcBorders>
            <w:noWrap w:val="0"/>
            <w:vAlign w:val="center"/>
          </w:tcPr>
          <w:p w14:paraId="5E0E7C45">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中水平放射性废物</w:t>
            </w:r>
          </w:p>
        </w:tc>
        <w:tc>
          <w:tcPr>
            <w:tcW w:w="1515" w:type="dxa"/>
            <w:tcBorders>
              <w:top w:val="single" w:color="auto" w:sz="4" w:space="0"/>
              <w:left w:val="single" w:color="auto" w:sz="4" w:space="0"/>
              <w:bottom w:val="single" w:color="auto" w:sz="4" w:space="0"/>
              <w:right w:val="single" w:color="auto" w:sz="4" w:space="0"/>
            </w:tcBorders>
            <w:noWrap w:val="0"/>
            <w:vAlign w:val="center"/>
          </w:tcPr>
          <w:p w14:paraId="6D64777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r>
      <w:tr w14:paraId="7CA73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1806" w:type="dxa"/>
            <w:vMerge w:val="continue"/>
            <w:tcBorders>
              <w:top w:val="single" w:color="auto" w:sz="4" w:space="0"/>
              <w:left w:val="single" w:color="auto" w:sz="4" w:space="0"/>
              <w:bottom w:val="single" w:color="auto" w:sz="4" w:space="0"/>
              <w:right w:val="single" w:color="auto" w:sz="4" w:space="0"/>
            </w:tcBorders>
            <w:noWrap w:val="0"/>
            <w:vAlign w:val="center"/>
          </w:tcPr>
          <w:p w14:paraId="60A4C903">
            <w:pPr>
              <w:jc w:val="center"/>
              <w:rPr>
                <w:rFonts w:hint="eastAsia" w:ascii="宋体" w:hAnsi="宋体" w:eastAsia="宋体" w:cs="宋体"/>
                <w:color w:val="auto"/>
                <w:sz w:val="21"/>
                <w:szCs w:val="21"/>
                <w:highlight w:val="none"/>
              </w:rPr>
            </w:pPr>
          </w:p>
        </w:tc>
        <w:tc>
          <w:tcPr>
            <w:tcW w:w="5801" w:type="dxa"/>
            <w:tcBorders>
              <w:top w:val="single" w:color="auto" w:sz="4" w:space="0"/>
              <w:left w:val="single" w:color="auto" w:sz="4" w:space="0"/>
              <w:bottom w:val="single" w:color="auto" w:sz="4" w:space="0"/>
              <w:right w:val="single" w:color="auto" w:sz="4" w:space="0"/>
            </w:tcBorders>
            <w:noWrap w:val="0"/>
            <w:vAlign w:val="center"/>
          </w:tcPr>
          <w:p w14:paraId="67D12F9F">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高水平放射性废物</w:t>
            </w:r>
          </w:p>
        </w:tc>
        <w:tc>
          <w:tcPr>
            <w:tcW w:w="1515" w:type="dxa"/>
            <w:tcBorders>
              <w:top w:val="single" w:color="auto" w:sz="4" w:space="0"/>
              <w:left w:val="single" w:color="auto" w:sz="4" w:space="0"/>
              <w:bottom w:val="single" w:color="auto" w:sz="4" w:space="0"/>
              <w:right w:val="single" w:color="auto" w:sz="4" w:space="0"/>
            </w:tcBorders>
            <w:noWrap w:val="0"/>
            <w:vAlign w:val="center"/>
          </w:tcPr>
          <w:p w14:paraId="68C71CA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bl>
    <w:p w14:paraId="0A5126F9">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510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29"/>
        <w:gridCol w:w="5688"/>
        <w:gridCol w:w="1614"/>
      </w:tblGrid>
      <w:tr w14:paraId="549AF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8696" w:type="dxa"/>
            <w:gridSpan w:val="3"/>
            <w:noWrap w:val="0"/>
            <w:vAlign w:val="center"/>
          </w:tcPr>
          <w:p w14:paraId="01442FF6">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（十）放射性污染防治类</w:t>
            </w:r>
          </w:p>
        </w:tc>
      </w:tr>
      <w:tr w14:paraId="35508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1742" w:type="dxa"/>
            <w:noWrap w:val="0"/>
            <w:vAlign w:val="center"/>
          </w:tcPr>
          <w:p w14:paraId="20BDD35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954" w:type="dxa"/>
            <w:gridSpan w:val="2"/>
            <w:noWrap w:val="0"/>
            <w:vAlign w:val="center"/>
          </w:tcPr>
          <w:p w14:paraId="1B2152F9">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17</w:t>
            </w:r>
          </w:p>
        </w:tc>
      </w:tr>
      <w:tr w14:paraId="0A63E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742" w:type="dxa"/>
            <w:noWrap w:val="0"/>
            <w:vAlign w:val="center"/>
          </w:tcPr>
          <w:p w14:paraId="700CE5B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6954" w:type="dxa"/>
            <w:gridSpan w:val="2"/>
            <w:noWrap w:val="0"/>
            <w:vAlign w:val="center"/>
          </w:tcPr>
          <w:p w14:paraId="2780ACFD">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放射性固体废物产生者，不按照国家规定对其产生的放射性固体废物进行处理和处置的</w:t>
            </w:r>
          </w:p>
        </w:tc>
      </w:tr>
      <w:tr w14:paraId="7E759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4" w:hRule="atLeast"/>
          <w:jc w:val="center"/>
        </w:trPr>
        <w:tc>
          <w:tcPr>
            <w:tcW w:w="1742" w:type="dxa"/>
            <w:noWrap w:val="0"/>
            <w:vAlign w:val="center"/>
          </w:tcPr>
          <w:p w14:paraId="345972C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6954" w:type="dxa"/>
            <w:gridSpan w:val="2"/>
            <w:noWrap w:val="0"/>
            <w:vAlign w:val="center"/>
          </w:tcPr>
          <w:p w14:paraId="6F0F9206">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《中华人民共和国生态环境法典》第六百四十一条</w:t>
            </w:r>
            <w:r>
              <w:rPr>
                <w:rFonts w:hint="eastAsia" w:ascii="宋体" w:hAnsi="宋体" w:eastAsia="宋体" w:cs="宋体"/>
                <w:color w:val="auto"/>
                <w:sz w:val="21"/>
                <w:szCs w:val="21"/>
                <w:highlight w:val="none"/>
                <w:lang w:val="en-US" w:eastAsia="zh-CN"/>
              </w:rPr>
              <w:t>第一款</w:t>
            </w:r>
            <w:r>
              <w:rPr>
                <w:rFonts w:hint="eastAsia" w:ascii="宋体" w:hAnsi="宋体" w:eastAsia="宋体" w:cs="宋体"/>
                <w:color w:val="auto"/>
                <w:sz w:val="21"/>
                <w:szCs w:val="21"/>
                <w:highlight w:val="none"/>
              </w:rPr>
              <w:t xml:space="preserve">  产生放射性固体废物的单位，应当按照国务院生态环境主管部门的规定，对其产生的放射性固体废物进行处理后，送交放射性废物处置单位处置，并承担处置费用。</w:t>
            </w:r>
          </w:p>
          <w:p w14:paraId="6C8708B6">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《中华人民共和国生态环境法典》第六百三十九条　低、中水平放射性固体废物应当按照国家规定实行近地表处置或者中等深度处置。</w:t>
            </w:r>
          </w:p>
          <w:p w14:paraId="3139A02E">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高水平放射性固体废物实行集中的深地质处置。</w:t>
            </w:r>
          </w:p>
          <w:p w14:paraId="10D3BE95">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禁止在内河水域和海上处置放射性固体废物。</w:t>
            </w:r>
          </w:p>
        </w:tc>
      </w:tr>
      <w:tr w14:paraId="3956A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6" w:hRule="atLeast"/>
          <w:jc w:val="center"/>
        </w:trPr>
        <w:tc>
          <w:tcPr>
            <w:tcW w:w="1742" w:type="dxa"/>
            <w:noWrap w:val="0"/>
            <w:vAlign w:val="center"/>
          </w:tcPr>
          <w:p w14:paraId="5AFE510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6954" w:type="dxa"/>
            <w:gridSpan w:val="2"/>
            <w:noWrap w:val="0"/>
            <w:vAlign w:val="center"/>
          </w:tcPr>
          <w:p w14:paraId="5E797AF3">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《中华人民共和国生态环境法典》第一千二百零二条  违反本法规定，放射性固体废物产生者，不按照国家规定对其产生的放射性固体废物进行处理和处置的，由生态环境主管部门责令停止违法行为，限期改正，处五万元以上二十万元以下的罚款；逾期不改正的，指定有处理能力的单位代为处理、处置，所需费用由放射性固体废物产生者承担，并处二十万元以上一百万元以下的罚款。</w:t>
            </w:r>
          </w:p>
        </w:tc>
      </w:tr>
      <w:tr w14:paraId="58724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1742" w:type="dxa"/>
            <w:noWrap w:val="0"/>
            <w:vAlign w:val="center"/>
          </w:tcPr>
          <w:p w14:paraId="6A325F9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417" w:type="dxa"/>
            <w:noWrap w:val="0"/>
            <w:vAlign w:val="center"/>
          </w:tcPr>
          <w:p w14:paraId="34A48CE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537" w:type="dxa"/>
            <w:noWrap w:val="0"/>
            <w:vAlign w:val="center"/>
          </w:tcPr>
          <w:p w14:paraId="3580156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67A8F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1742" w:type="dxa"/>
            <w:vMerge w:val="restart"/>
            <w:noWrap w:val="0"/>
            <w:vAlign w:val="center"/>
          </w:tcPr>
          <w:p w14:paraId="3844205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违法事实</w:t>
            </w:r>
          </w:p>
        </w:tc>
        <w:tc>
          <w:tcPr>
            <w:tcW w:w="5417" w:type="dxa"/>
            <w:noWrap w:val="0"/>
            <w:vAlign w:val="center"/>
          </w:tcPr>
          <w:p w14:paraId="5E24F65D">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未对产生的放射性固体废物规范处置的</w:t>
            </w:r>
          </w:p>
        </w:tc>
        <w:tc>
          <w:tcPr>
            <w:tcW w:w="1537" w:type="dxa"/>
            <w:noWrap w:val="0"/>
            <w:vAlign w:val="center"/>
          </w:tcPr>
          <w:p w14:paraId="58FFDE5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386FA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1742" w:type="dxa"/>
            <w:vMerge w:val="continue"/>
            <w:noWrap w:val="0"/>
            <w:vAlign w:val="center"/>
          </w:tcPr>
          <w:p w14:paraId="0CF86393">
            <w:pPr>
              <w:jc w:val="center"/>
              <w:rPr>
                <w:rFonts w:hint="eastAsia" w:ascii="宋体" w:hAnsi="宋体" w:eastAsia="宋体" w:cs="宋体"/>
                <w:color w:val="auto"/>
                <w:sz w:val="21"/>
                <w:szCs w:val="21"/>
                <w:highlight w:val="none"/>
              </w:rPr>
            </w:pPr>
          </w:p>
        </w:tc>
        <w:tc>
          <w:tcPr>
            <w:tcW w:w="5417" w:type="dxa"/>
            <w:noWrap w:val="0"/>
            <w:vAlign w:val="center"/>
          </w:tcPr>
          <w:p w14:paraId="565922AE">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未对产生的放射性固体废物处置的</w:t>
            </w:r>
          </w:p>
        </w:tc>
        <w:tc>
          <w:tcPr>
            <w:tcW w:w="1537" w:type="dxa"/>
            <w:noWrap w:val="0"/>
            <w:vAlign w:val="center"/>
          </w:tcPr>
          <w:p w14:paraId="40333DD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5E7E4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1742" w:type="dxa"/>
            <w:vMerge w:val="restart"/>
            <w:noWrap w:val="0"/>
            <w:vAlign w:val="center"/>
          </w:tcPr>
          <w:p w14:paraId="2DC67DA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放射性废物</w:t>
            </w:r>
          </w:p>
          <w:p w14:paraId="7D96224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数量</w:t>
            </w:r>
          </w:p>
        </w:tc>
        <w:tc>
          <w:tcPr>
            <w:tcW w:w="5417" w:type="dxa"/>
            <w:noWrap w:val="0"/>
            <w:vAlign w:val="center"/>
          </w:tcPr>
          <w:p w14:paraId="43B60E58">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不足10千克</w:t>
            </w:r>
          </w:p>
        </w:tc>
        <w:tc>
          <w:tcPr>
            <w:tcW w:w="1537" w:type="dxa"/>
            <w:noWrap w:val="0"/>
            <w:vAlign w:val="center"/>
          </w:tcPr>
          <w:p w14:paraId="2919815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53221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1742" w:type="dxa"/>
            <w:vMerge w:val="continue"/>
            <w:noWrap w:val="0"/>
            <w:vAlign w:val="center"/>
          </w:tcPr>
          <w:p w14:paraId="4E541224">
            <w:pPr>
              <w:jc w:val="center"/>
              <w:rPr>
                <w:rFonts w:hint="eastAsia" w:ascii="宋体" w:hAnsi="宋体" w:eastAsia="宋体" w:cs="宋体"/>
                <w:color w:val="auto"/>
                <w:sz w:val="21"/>
                <w:szCs w:val="21"/>
                <w:highlight w:val="none"/>
              </w:rPr>
            </w:pPr>
          </w:p>
        </w:tc>
        <w:tc>
          <w:tcPr>
            <w:tcW w:w="5417" w:type="dxa"/>
            <w:noWrap w:val="0"/>
            <w:vAlign w:val="center"/>
          </w:tcPr>
          <w:p w14:paraId="46E482A7">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10千克以上不足100千克</w:t>
            </w:r>
          </w:p>
        </w:tc>
        <w:tc>
          <w:tcPr>
            <w:tcW w:w="1537" w:type="dxa"/>
            <w:noWrap w:val="0"/>
            <w:vAlign w:val="center"/>
          </w:tcPr>
          <w:p w14:paraId="5D5D797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4977E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1742" w:type="dxa"/>
            <w:vMerge w:val="continue"/>
            <w:noWrap w:val="0"/>
            <w:vAlign w:val="center"/>
          </w:tcPr>
          <w:p w14:paraId="63469CE3">
            <w:pPr>
              <w:jc w:val="center"/>
              <w:rPr>
                <w:rFonts w:hint="eastAsia" w:ascii="宋体" w:hAnsi="宋体" w:eastAsia="宋体" w:cs="宋体"/>
                <w:color w:val="auto"/>
                <w:sz w:val="21"/>
                <w:szCs w:val="21"/>
                <w:highlight w:val="none"/>
              </w:rPr>
            </w:pPr>
          </w:p>
        </w:tc>
        <w:tc>
          <w:tcPr>
            <w:tcW w:w="5417" w:type="dxa"/>
            <w:noWrap w:val="0"/>
            <w:vAlign w:val="center"/>
          </w:tcPr>
          <w:p w14:paraId="13FD1DEE">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100千克以上</w:t>
            </w:r>
          </w:p>
        </w:tc>
        <w:tc>
          <w:tcPr>
            <w:tcW w:w="1537" w:type="dxa"/>
            <w:noWrap w:val="0"/>
            <w:vAlign w:val="center"/>
          </w:tcPr>
          <w:p w14:paraId="6FF82FB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50BB9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1742" w:type="dxa"/>
            <w:vMerge w:val="restart"/>
            <w:noWrap w:val="0"/>
            <w:vAlign w:val="center"/>
          </w:tcPr>
          <w:p w14:paraId="5964586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放射性废物</w:t>
            </w:r>
          </w:p>
          <w:p w14:paraId="59970D0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类型</w:t>
            </w:r>
          </w:p>
        </w:tc>
        <w:tc>
          <w:tcPr>
            <w:tcW w:w="5417" w:type="dxa"/>
            <w:noWrap w:val="0"/>
            <w:vAlign w:val="center"/>
          </w:tcPr>
          <w:p w14:paraId="5635D02C">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极短寿命放射性废物</w:t>
            </w:r>
          </w:p>
        </w:tc>
        <w:tc>
          <w:tcPr>
            <w:tcW w:w="1537" w:type="dxa"/>
            <w:noWrap w:val="0"/>
            <w:vAlign w:val="center"/>
          </w:tcPr>
          <w:p w14:paraId="28CBF6E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07844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1742" w:type="dxa"/>
            <w:vMerge w:val="continue"/>
            <w:noWrap w:val="0"/>
            <w:vAlign w:val="center"/>
          </w:tcPr>
          <w:p w14:paraId="596EEEB3">
            <w:pPr>
              <w:jc w:val="center"/>
              <w:rPr>
                <w:rFonts w:hint="eastAsia" w:ascii="宋体" w:hAnsi="宋体" w:eastAsia="宋体" w:cs="宋体"/>
                <w:color w:val="auto"/>
                <w:sz w:val="21"/>
                <w:szCs w:val="21"/>
                <w:highlight w:val="none"/>
              </w:rPr>
            </w:pPr>
          </w:p>
        </w:tc>
        <w:tc>
          <w:tcPr>
            <w:tcW w:w="5417" w:type="dxa"/>
            <w:noWrap w:val="0"/>
            <w:vAlign w:val="center"/>
          </w:tcPr>
          <w:p w14:paraId="044FE301">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极低水平放射性废物</w:t>
            </w:r>
          </w:p>
        </w:tc>
        <w:tc>
          <w:tcPr>
            <w:tcW w:w="1537" w:type="dxa"/>
            <w:noWrap w:val="0"/>
            <w:vAlign w:val="center"/>
          </w:tcPr>
          <w:p w14:paraId="194D462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r>
      <w:tr w14:paraId="443E6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1742" w:type="dxa"/>
            <w:vMerge w:val="continue"/>
            <w:noWrap w:val="0"/>
            <w:vAlign w:val="center"/>
          </w:tcPr>
          <w:p w14:paraId="10BF410D">
            <w:pPr>
              <w:jc w:val="center"/>
              <w:rPr>
                <w:rFonts w:hint="eastAsia" w:ascii="宋体" w:hAnsi="宋体" w:eastAsia="宋体" w:cs="宋体"/>
                <w:color w:val="auto"/>
                <w:sz w:val="21"/>
                <w:szCs w:val="21"/>
                <w:highlight w:val="none"/>
              </w:rPr>
            </w:pPr>
          </w:p>
        </w:tc>
        <w:tc>
          <w:tcPr>
            <w:tcW w:w="5417" w:type="dxa"/>
            <w:noWrap w:val="0"/>
            <w:vAlign w:val="center"/>
          </w:tcPr>
          <w:p w14:paraId="7FF8F155">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低水平放射性废物</w:t>
            </w:r>
          </w:p>
        </w:tc>
        <w:tc>
          <w:tcPr>
            <w:tcW w:w="1537" w:type="dxa"/>
            <w:noWrap w:val="0"/>
            <w:vAlign w:val="center"/>
          </w:tcPr>
          <w:p w14:paraId="3518F6A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34B3A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1742" w:type="dxa"/>
            <w:vMerge w:val="continue"/>
            <w:noWrap w:val="0"/>
            <w:vAlign w:val="center"/>
          </w:tcPr>
          <w:p w14:paraId="55B6237A">
            <w:pPr>
              <w:jc w:val="center"/>
              <w:rPr>
                <w:rFonts w:hint="eastAsia" w:ascii="宋体" w:hAnsi="宋体" w:eastAsia="宋体" w:cs="宋体"/>
                <w:color w:val="auto"/>
                <w:sz w:val="21"/>
                <w:szCs w:val="21"/>
                <w:highlight w:val="none"/>
              </w:rPr>
            </w:pPr>
          </w:p>
        </w:tc>
        <w:tc>
          <w:tcPr>
            <w:tcW w:w="5417" w:type="dxa"/>
            <w:noWrap w:val="0"/>
            <w:vAlign w:val="center"/>
          </w:tcPr>
          <w:p w14:paraId="1C833E9B">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中水平放射性废物</w:t>
            </w:r>
          </w:p>
        </w:tc>
        <w:tc>
          <w:tcPr>
            <w:tcW w:w="1537" w:type="dxa"/>
            <w:noWrap w:val="0"/>
            <w:vAlign w:val="center"/>
          </w:tcPr>
          <w:p w14:paraId="44605C4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r>
      <w:tr w14:paraId="098A6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1742" w:type="dxa"/>
            <w:vMerge w:val="continue"/>
            <w:noWrap w:val="0"/>
            <w:vAlign w:val="center"/>
          </w:tcPr>
          <w:p w14:paraId="577A6768">
            <w:pPr>
              <w:jc w:val="center"/>
              <w:rPr>
                <w:rFonts w:hint="eastAsia" w:ascii="宋体" w:hAnsi="宋体" w:eastAsia="宋体" w:cs="宋体"/>
                <w:color w:val="auto"/>
                <w:sz w:val="21"/>
                <w:szCs w:val="21"/>
                <w:highlight w:val="none"/>
              </w:rPr>
            </w:pPr>
          </w:p>
        </w:tc>
        <w:tc>
          <w:tcPr>
            <w:tcW w:w="5417" w:type="dxa"/>
            <w:noWrap w:val="0"/>
            <w:vAlign w:val="center"/>
          </w:tcPr>
          <w:p w14:paraId="1418C40C">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高水平放射性废物</w:t>
            </w:r>
          </w:p>
        </w:tc>
        <w:tc>
          <w:tcPr>
            <w:tcW w:w="1537" w:type="dxa"/>
            <w:noWrap w:val="0"/>
            <w:vAlign w:val="center"/>
          </w:tcPr>
          <w:p w14:paraId="4A38D04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bl>
    <w:p w14:paraId="720AE924">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5"/>
        <w:gridCol w:w="5799"/>
        <w:gridCol w:w="1339"/>
      </w:tblGrid>
      <w:tr w14:paraId="3CA52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8944" w:type="dxa"/>
            <w:gridSpan w:val="3"/>
            <w:noWrap w:val="0"/>
            <w:vAlign w:val="center"/>
          </w:tcPr>
          <w:p w14:paraId="0439B6C0">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（十）放射性污染防治类</w:t>
            </w:r>
          </w:p>
        </w:tc>
      </w:tr>
      <w:tr w14:paraId="278C4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1805" w:type="dxa"/>
            <w:noWrap w:val="0"/>
            <w:vAlign w:val="center"/>
          </w:tcPr>
          <w:p w14:paraId="5486034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7139" w:type="dxa"/>
            <w:gridSpan w:val="2"/>
            <w:noWrap w:val="0"/>
            <w:vAlign w:val="center"/>
          </w:tcPr>
          <w:p w14:paraId="33007EF3">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18</w:t>
            </w:r>
          </w:p>
        </w:tc>
      </w:tr>
      <w:tr w14:paraId="7C90D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 w:hRule="atLeast"/>
          <w:jc w:val="center"/>
        </w:trPr>
        <w:tc>
          <w:tcPr>
            <w:tcW w:w="1805" w:type="dxa"/>
            <w:noWrap w:val="0"/>
            <w:vAlign w:val="center"/>
          </w:tcPr>
          <w:p w14:paraId="6B924B0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7139" w:type="dxa"/>
            <w:gridSpan w:val="2"/>
            <w:noWrap w:val="0"/>
            <w:vAlign w:val="center"/>
          </w:tcPr>
          <w:p w14:paraId="45A3042E">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未经许可擅自从事贮存、处理和处置放射性废物活动的</w:t>
            </w:r>
          </w:p>
        </w:tc>
      </w:tr>
      <w:tr w14:paraId="0DA43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1805" w:type="dxa"/>
            <w:noWrap w:val="0"/>
            <w:vAlign w:val="center"/>
          </w:tcPr>
          <w:p w14:paraId="7540A05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7139" w:type="dxa"/>
            <w:gridSpan w:val="2"/>
            <w:noWrap w:val="0"/>
            <w:vAlign w:val="center"/>
          </w:tcPr>
          <w:p w14:paraId="7BF21D64">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《中华人民共和国生态环境法典》第六百四十二条</w:t>
            </w:r>
            <w:r>
              <w:rPr>
                <w:rFonts w:hint="eastAsia" w:ascii="宋体" w:hAnsi="宋体" w:eastAsia="宋体" w:cs="宋体"/>
                <w:color w:val="auto"/>
                <w:sz w:val="21"/>
                <w:szCs w:val="21"/>
                <w:highlight w:val="none"/>
                <w:lang w:val="en-US" w:eastAsia="zh-CN"/>
              </w:rPr>
              <w:t>第二款</w:t>
            </w:r>
            <w:r>
              <w:rPr>
                <w:rFonts w:hint="eastAsia" w:ascii="宋体" w:hAnsi="宋体" w:eastAsia="宋体" w:cs="宋体"/>
                <w:color w:val="auto"/>
                <w:sz w:val="21"/>
                <w:szCs w:val="21"/>
                <w:highlight w:val="none"/>
              </w:rPr>
              <w:t xml:space="preserve">  禁止无许可证或者不按照许可证的要求专门从事贮存、处理、处置放射性废物的活动。</w:t>
            </w:r>
          </w:p>
        </w:tc>
      </w:tr>
      <w:tr w14:paraId="092B8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1805" w:type="dxa"/>
            <w:noWrap w:val="0"/>
            <w:vAlign w:val="center"/>
          </w:tcPr>
          <w:p w14:paraId="7EF1D4A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7139" w:type="dxa"/>
            <w:gridSpan w:val="2"/>
            <w:noWrap w:val="0"/>
            <w:vAlign w:val="center"/>
          </w:tcPr>
          <w:p w14:paraId="0492ADB9">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《中华人民共和国生态环境法典》第一千二百零三条</w:t>
            </w:r>
            <w:r>
              <w:rPr>
                <w:rFonts w:hint="eastAsia" w:ascii="宋体" w:hAnsi="宋体" w:eastAsia="宋体" w:cs="宋体"/>
                <w:color w:val="auto"/>
                <w:sz w:val="21"/>
                <w:szCs w:val="21"/>
                <w:highlight w:val="none"/>
                <w:lang w:val="en-US" w:eastAsia="zh-CN"/>
              </w:rPr>
              <w:t>第一款</w:t>
            </w:r>
            <w:r>
              <w:rPr>
                <w:rFonts w:hint="eastAsia" w:ascii="宋体" w:hAnsi="宋体" w:eastAsia="宋体" w:cs="宋体"/>
                <w:color w:val="auto"/>
                <w:sz w:val="21"/>
                <w:szCs w:val="21"/>
                <w:highlight w:val="none"/>
              </w:rPr>
              <w:t xml:space="preserve">  违反本法规定，未经许可擅自从事贮存、处理和处置放射性废物活动的，由省级以上人民政府生态环境主管部门没收违法所得，并处一百万元以上五百万元以下的罚款，报经有批准权的人民政府批准，责令停业、关闭。</w:t>
            </w:r>
          </w:p>
        </w:tc>
      </w:tr>
      <w:tr w14:paraId="39FC6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1805" w:type="dxa"/>
            <w:noWrap w:val="0"/>
            <w:vAlign w:val="center"/>
          </w:tcPr>
          <w:p w14:paraId="05CFA47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800" w:type="dxa"/>
            <w:noWrap w:val="0"/>
            <w:vAlign w:val="center"/>
          </w:tcPr>
          <w:p w14:paraId="5FE5D83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339" w:type="dxa"/>
            <w:noWrap w:val="0"/>
            <w:vAlign w:val="center"/>
          </w:tcPr>
          <w:p w14:paraId="3A6B241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130F0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1805" w:type="dxa"/>
            <w:vMerge w:val="restart"/>
            <w:noWrap w:val="0"/>
            <w:vAlign w:val="center"/>
          </w:tcPr>
          <w:p w14:paraId="2B46734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放射性废物</w:t>
            </w:r>
          </w:p>
          <w:p w14:paraId="2803622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数量</w:t>
            </w:r>
          </w:p>
        </w:tc>
        <w:tc>
          <w:tcPr>
            <w:tcW w:w="5800" w:type="dxa"/>
            <w:noWrap w:val="0"/>
            <w:vAlign w:val="center"/>
          </w:tcPr>
          <w:p w14:paraId="688F5527">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不足10千克</w:t>
            </w:r>
          </w:p>
        </w:tc>
        <w:tc>
          <w:tcPr>
            <w:tcW w:w="1339" w:type="dxa"/>
            <w:noWrap w:val="0"/>
            <w:vAlign w:val="center"/>
          </w:tcPr>
          <w:p w14:paraId="08D6B75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431C0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1805" w:type="dxa"/>
            <w:vMerge w:val="continue"/>
            <w:noWrap w:val="0"/>
            <w:vAlign w:val="center"/>
          </w:tcPr>
          <w:p w14:paraId="60D263CF">
            <w:pPr>
              <w:jc w:val="center"/>
              <w:rPr>
                <w:rFonts w:hint="eastAsia" w:ascii="宋体" w:hAnsi="宋体" w:eastAsia="宋体" w:cs="宋体"/>
                <w:color w:val="auto"/>
                <w:sz w:val="21"/>
                <w:szCs w:val="21"/>
                <w:highlight w:val="none"/>
              </w:rPr>
            </w:pPr>
          </w:p>
        </w:tc>
        <w:tc>
          <w:tcPr>
            <w:tcW w:w="5800" w:type="dxa"/>
            <w:noWrap w:val="0"/>
            <w:vAlign w:val="center"/>
          </w:tcPr>
          <w:p w14:paraId="73B41741">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10千克以上不足100千克</w:t>
            </w:r>
          </w:p>
        </w:tc>
        <w:tc>
          <w:tcPr>
            <w:tcW w:w="1339" w:type="dxa"/>
            <w:noWrap w:val="0"/>
            <w:vAlign w:val="center"/>
          </w:tcPr>
          <w:p w14:paraId="042E0F6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0F657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1805" w:type="dxa"/>
            <w:vMerge w:val="continue"/>
            <w:noWrap w:val="0"/>
            <w:vAlign w:val="center"/>
          </w:tcPr>
          <w:p w14:paraId="4A645124">
            <w:pPr>
              <w:jc w:val="center"/>
              <w:rPr>
                <w:rFonts w:hint="eastAsia" w:ascii="宋体" w:hAnsi="宋体" w:eastAsia="宋体" w:cs="宋体"/>
                <w:color w:val="auto"/>
                <w:sz w:val="21"/>
                <w:szCs w:val="21"/>
                <w:highlight w:val="none"/>
              </w:rPr>
            </w:pPr>
          </w:p>
        </w:tc>
        <w:tc>
          <w:tcPr>
            <w:tcW w:w="5800" w:type="dxa"/>
            <w:noWrap w:val="0"/>
            <w:vAlign w:val="center"/>
          </w:tcPr>
          <w:p w14:paraId="4128EFC6">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100千克以上</w:t>
            </w:r>
          </w:p>
        </w:tc>
        <w:tc>
          <w:tcPr>
            <w:tcW w:w="1339" w:type="dxa"/>
            <w:noWrap w:val="0"/>
            <w:vAlign w:val="center"/>
          </w:tcPr>
          <w:p w14:paraId="4357A71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41E32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1805" w:type="dxa"/>
            <w:vMerge w:val="restart"/>
            <w:noWrap w:val="0"/>
            <w:vAlign w:val="center"/>
          </w:tcPr>
          <w:p w14:paraId="70D9302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放射性废物</w:t>
            </w:r>
          </w:p>
          <w:p w14:paraId="5B582A8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类型</w:t>
            </w:r>
          </w:p>
        </w:tc>
        <w:tc>
          <w:tcPr>
            <w:tcW w:w="5800" w:type="dxa"/>
            <w:noWrap w:val="0"/>
            <w:vAlign w:val="center"/>
          </w:tcPr>
          <w:p w14:paraId="2DBE7399">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极短寿命放射性废物</w:t>
            </w:r>
          </w:p>
        </w:tc>
        <w:tc>
          <w:tcPr>
            <w:tcW w:w="1339" w:type="dxa"/>
            <w:noWrap w:val="0"/>
            <w:vAlign w:val="center"/>
          </w:tcPr>
          <w:p w14:paraId="6E04C01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68D5B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1805" w:type="dxa"/>
            <w:vMerge w:val="continue"/>
            <w:noWrap w:val="0"/>
            <w:vAlign w:val="center"/>
          </w:tcPr>
          <w:p w14:paraId="05FEC75E">
            <w:pPr>
              <w:jc w:val="center"/>
              <w:rPr>
                <w:rFonts w:hint="eastAsia" w:ascii="宋体" w:hAnsi="宋体" w:eastAsia="宋体" w:cs="宋体"/>
                <w:color w:val="auto"/>
                <w:sz w:val="21"/>
                <w:szCs w:val="21"/>
                <w:highlight w:val="none"/>
              </w:rPr>
            </w:pPr>
          </w:p>
        </w:tc>
        <w:tc>
          <w:tcPr>
            <w:tcW w:w="5800" w:type="dxa"/>
            <w:noWrap w:val="0"/>
            <w:vAlign w:val="center"/>
          </w:tcPr>
          <w:p w14:paraId="692757F0">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极低水平放射性废物</w:t>
            </w:r>
          </w:p>
        </w:tc>
        <w:tc>
          <w:tcPr>
            <w:tcW w:w="1339" w:type="dxa"/>
            <w:noWrap w:val="0"/>
            <w:vAlign w:val="center"/>
          </w:tcPr>
          <w:p w14:paraId="41E8A56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r>
      <w:tr w14:paraId="3B57B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05" w:type="dxa"/>
            <w:vMerge w:val="continue"/>
            <w:noWrap w:val="0"/>
            <w:vAlign w:val="center"/>
          </w:tcPr>
          <w:p w14:paraId="7FFD44F2">
            <w:pPr>
              <w:jc w:val="center"/>
              <w:rPr>
                <w:rFonts w:hint="eastAsia" w:ascii="宋体" w:hAnsi="宋体" w:eastAsia="宋体" w:cs="宋体"/>
                <w:color w:val="auto"/>
                <w:sz w:val="21"/>
                <w:szCs w:val="21"/>
                <w:highlight w:val="none"/>
              </w:rPr>
            </w:pPr>
          </w:p>
        </w:tc>
        <w:tc>
          <w:tcPr>
            <w:tcW w:w="5800" w:type="dxa"/>
            <w:noWrap w:val="0"/>
            <w:vAlign w:val="center"/>
          </w:tcPr>
          <w:p w14:paraId="3C2590EE">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低水平放射性废物</w:t>
            </w:r>
          </w:p>
        </w:tc>
        <w:tc>
          <w:tcPr>
            <w:tcW w:w="1339" w:type="dxa"/>
            <w:noWrap w:val="0"/>
            <w:vAlign w:val="center"/>
          </w:tcPr>
          <w:p w14:paraId="3CE2298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638A6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1805" w:type="dxa"/>
            <w:vMerge w:val="continue"/>
            <w:noWrap w:val="0"/>
            <w:vAlign w:val="center"/>
          </w:tcPr>
          <w:p w14:paraId="7D7CECEE">
            <w:pPr>
              <w:jc w:val="center"/>
              <w:rPr>
                <w:rFonts w:hint="eastAsia" w:ascii="宋体" w:hAnsi="宋体" w:eastAsia="宋体" w:cs="宋体"/>
                <w:color w:val="auto"/>
                <w:sz w:val="21"/>
                <w:szCs w:val="21"/>
                <w:highlight w:val="none"/>
              </w:rPr>
            </w:pPr>
          </w:p>
        </w:tc>
        <w:tc>
          <w:tcPr>
            <w:tcW w:w="5800" w:type="dxa"/>
            <w:noWrap w:val="0"/>
            <w:vAlign w:val="center"/>
          </w:tcPr>
          <w:p w14:paraId="685FB70A">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中水平放射性废物</w:t>
            </w:r>
          </w:p>
        </w:tc>
        <w:tc>
          <w:tcPr>
            <w:tcW w:w="1339" w:type="dxa"/>
            <w:noWrap w:val="0"/>
            <w:vAlign w:val="center"/>
          </w:tcPr>
          <w:p w14:paraId="32EF69F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r>
      <w:tr w14:paraId="21E5C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1805" w:type="dxa"/>
            <w:vMerge w:val="continue"/>
            <w:noWrap w:val="0"/>
            <w:vAlign w:val="center"/>
          </w:tcPr>
          <w:p w14:paraId="27370F95">
            <w:pPr>
              <w:jc w:val="center"/>
              <w:rPr>
                <w:rFonts w:hint="eastAsia" w:ascii="宋体" w:hAnsi="宋体" w:eastAsia="宋体" w:cs="宋体"/>
                <w:color w:val="auto"/>
                <w:sz w:val="21"/>
                <w:szCs w:val="21"/>
                <w:highlight w:val="none"/>
              </w:rPr>
            </w:pPr>
          </w:p>
        </w:tc>
        <w:tc>
          <w:tcPr>
            <w:tcW w:w="5800" w:type="dxa"/>
            <w:noWrap w:val="0"/>
            <w:vAlign w:val="center"/>
          </w:tcPr>
          <w:p w14:paraId="4EB5270D">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高水平放射性废物</w:t>
            </w:r>
          </w:p>
        </w:tc>
        <w:tc>
          <w:tcPr>
            <w:tcW w:w="1339" w:type="dxa"/>
            <w:noWrap w:val="0"/>
            <w:vAlign w:val="center"/>
          </w:tcPr>
          <w:p w14:paraId="123BDB7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3E1D7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1805" w:type="dxa"/>
            <w:vMerge w:val="restart"/>
            <w:noWrap w:val="0"/>
            <w:vAlign w:val="center"/>
          </w:tcPr>
          <w:p w14:paraId="22185BB0">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违法</w:t>
            </w:r>
            <w:r>
              <w:rPr>
                <w:rFonts w:hint="eastAsia" w:ascii="宋体" w:hAnsi="宋体" w:cs="宋体"/>
                <w:color w:val="auto"/>
                <w:sz w:val="21"/>
                <w:szCs w:val="21"/>
                <w:highlight w:val="none"/>
                <w:lang w:val="en-US" w:eastAsia="zh-CN"/>
              </w:rPr>
              <w:t>行为发生</w:t>
            </w:r>
          </w:p>
        </w:tc>
        <w:tc>
          <w:tcPr>
            <w:tcW w:w="5800" w:type="dxa"/>
            <w:noWrap w:val="0"/>
            <w:vAlign w:val="top"/>
          </w:tcPr>
          <w:p w14:paraId="5FFA9A04">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二类环境空气功能区</w:t>
            </w:r>
            <w:r>
              <w:rPr>
                <w:rFonts w:hint="eastAsia" w:ascii="宋体" w:hAnsi="宋体" w:eastAsia="宋体" w:cs="宋体"/>
                <w:color w:val="auto"/>
                <w:sz w:val="21"/>
                <w:szCs w:val="21"/>
                <w:highlight w:val="none"/>
              </w:rPr>
              <w:t>（工业区和农村地区）</w:t>
            </w:r>
            <w:r>
              <w:rPr>
                <w:rFonts w:hint="eastAsia" w:ascii="宋体" w:hAnsi="宋体" w:cs="宋体"/>
                <w:color w:val="auto"/>
                <w:sz w:val="21"/>
                <w:szCs w:val="21"/>
                <w:highlight w:val="none"/>
                <w:lang w:val="en-US" w:eastAsia="zh-CN"/>
              </w:rPr>
              <w:t>/V类水体（或者污水集中处理设施）/</w:t>
            </w:r>
            <w:r>
              <w:rPr>
                <w:rFonts w:hint="eastAsia" w:ascii="宋体" w:hAnsi="宋体" w:eastAsia="宋体" w:cs="宋体"/>
                <w:color w:val="auto"/>
                <w:sz w:val="21"/>
                <w:szCs w:val="21"/>
                <w:highlight w:val="none"/>
                <w:lang w:val="en-US" w:eastAsia="zh-CN"/>
              </w:rPr>
              <w:t>第四类海水水质的区域</w:t>
            </w:r>
          </w:p>
        </w:tc>
        <w:tc>
          <w:tcPr>
            <w:tcW w:w="1339" w:type="dxa"/>
            <w:noWrap w:val="0"/>
            <w:vAlign w:val="center"/>
          </w:tcPr>
          <w:p w14:paraId="70A7224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7E99C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805" w:type="dxa"/>
            <w:vMerge w:val="continue"/>
            <w:noWrap w:val="0"/>
            <w:vAlign w:val="center"/>
          </w:tcPr>
          <w:p w14:paraId="6EB04992">
            <w:pPr>
              <w:jc w:val="center"/>
              <w:rPr>
                <w:rFonts w:hint="eastAsia" w:ascii="宋体" w:hAnsi="宋体" w:eastAsia="宋体" w:cs="宋体"/>
                <w:color w:val="auto"/>
                <w:sz w:val="21"/>
                <w:szCs w:val="21"/>
                <w:highlight w:val="none"/>
              </w:rPr>
            </w:pPr>
          </w:p>
        </w:tc>
        <w:tc>
          <w:tcPr>
            <w:tcW w:w="5800" w:type="dxa"/>
            <w:noWrap w:val="0"/>
            <w:vAlign w:val="top"/>
          </w:tcPr>
          <w:p w14:paraId="199DBD53">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Ⅳ类</w:t>
            </w:r>
            <w:r>
              <w:rPr>
                <w:rFonts w:hint="eastAsia" w:ascii="宋体" w:hAnsi="宋体" w:eastAsia="宋体" w:cs="宋体"/>
                <w:color w:val="auto"/>
                <w:sz w:val="21"/>
                <w:szCs w:val="21"/>
                <w:highlight w:val="none"/>
              </w:rPr>
              <w:t>水体</w:t>
            </w:r>
            <w:r>
              <w:rPr>
                <w:rFonts w:hint="eastAsia" w:ascii="宋体" w:hAnsi="宋体" w:eastAsia="宋体" w:cs="宋体"/>
                <w:color w:val="auto"/>
                <w:sz w:val="21"/>
                <w:szCs w:val="21"/>
                <w:highlight w:val="none"/>
                <w:lang w:val="en-US" w:eastAsia="zh-CN"/>
              </w:rPr>
              <w:t>/第三类海水水质的区域</w:t>
            </w:r>
          </w:p>
        </w:tc>
        <w:tc>
          <w:tcPr>
            <w:tcW w:w="1339" w:type="dxa"/>
            <w:noWrap w:val="0"/>
            <w:vAlign w:val="center"/>
          </w:tcPr>
          <w:p w14:paraId="30035765">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w:t>
            </w:r>
          </w:p>
        </w:tc>
      </w:tr>
      <w:tr w14:paraId="3F278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1805" w:type="dxa"/>
            <w:vMerge w:val="continue"/>
            <w:noWrap w:val="0"/>
            <w:vAlign w:val="center"/>
          </w:tcPr>
          <w:p w14:paraId="2FEB992E">
            <w:pPr>
              <w:jc w:val="center"/>
              <w:rPr>
                <w:rFonts w:hint="eastAsia" w:ascii="宋体" w:hAnsi="宋体" w:eastAsia="宋体" w:cs="宋体"/>
                <w:color w:val="auto"/>
                <w:sz w:val="21"/>
                <w:szCs w:val="21"/>
                <w:highlight w:val="none"/>
              </w:rPr>
            </w:pPr>
          </w:p>
        </w:tc>
        <w:tc>
          <w:tcPr>
            <w:tcW w:w="5800" w:type="dxa"/>
            <w:noWrap w:val="0"/>
            <w:vAlign w:val="top"/>
          </w:tcPr>
          <w:p w14:paraId="700DAF74">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二类环境空气功能区</w:t>
            </w:r>
            <w:r>
              <w:rPr>
                <w:rFonts w:hint="eastAsia" w:ascii="宋体" w:hAnsi="宋体" w:eastAsia="宋体" w:cs="宋体"/>
                <w:color w:val="auto"/>
                <w:sz w:val="21"/>
                <w:szCs w:val="21"/>
                <w:highlight w:val="none"/>
                <w:lang w:eastAsia="zh-CN"/>
              </w:rPr>
              <w:t>（居民区、商业交通居民混合区、文化区）/</w:t>
            </w:r>
            <w:r>
              <w:rPr>
                <w:rFonts w:hint="eastAsia" w:ascii="宋体" w:hAnsi="宋体" w:cs="宋体"/>
                <w:color w:val="auto"/>
                <w:sz w:val="21"/>
                <w:szCs w:val="21"/>
                <w:highlight w:val="none"/>
                <w:lang w:eastAsia="zh-CN"/>
              </w:rPr>
              <w:t>Ⅲ类</w:t>
            </w:r>
            <w:r>
              <w:rPr>
                <w:rFonts w:hint="eastAsia" w:ascii="宋体" w:hAnsi="宋体" w:eastAsia="宋体" w:cs="宋体"/>
                <w:color w:val="auto"/>
                <w:sz w:val="21"/>
                <w:szCs w:val="21"/>
                <w:highlight w:val="none"/>
                <w:lang w:eastAsia="zh-CN"/>
              </w:rPr>
              <w:t>水体/饮用水水源准保护区/自然保护地外的生态保护红线区域</w:t>
            </w:r>
          </w:p>
        </w:tc>
        <w:tc>
          <w:tcPr>
            <w:tcW w:w="1339" w:type="dxa"/>
            <w:noWrap w:val="0"/>
            <w:vAlign w:val="center"/>
          </w:tcPr>
          <w:p w14:paraId="25A10CF7">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3</w:t>
            </w:r>
          </w:p>
        </w:tc>
      </w:tr>
      <w:tr w14:paraId="7E465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1805" w:type="dxa"/>
            <w:vMerge w:val="continue"/>
            <w:noWrap w:val="0"/>
            <w:vAlign w:val="center"/>
          </w:tcPr>
          <w:p w14:paraId="69D59E35">
            <w:pPr>
              <w:jc w:val="center"/>
              <w:rPr>
                <w:rFonts w:hint="eastAsia" w:ascii="宋体" w:hAnsi="宋体" w:eastAsia="宋体" w:cs="宋体"/>
                <w:color w:val="auto"/>
                <w:sz w:val="21"/>
                <w:szCs w:val="21"/>
                <w:highlight w:val="none"/>
              </w:rPr>
            </w:pPr>
          </w:p>
        </w:tc>
        <w:tc>
          <w:tcPr>
            <w:tcW w:w="5800" w:type="dxa"/>
            <w:noWrap w:val="0"/>
            <w:vAlign w:val="top"/>
          </w:tcPr>
          <w:p w14:paraId="651D1786">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Ⅱ类</w:t>
            </w:r>
            <w:r>
              <w:rPr>
                <w:rFonts w:hint="eastAsia" w:ascii="宋体" w:hAnsi="宋体" w:eastAsia="宋体" w:cs="宋体"/>
                <w:color w:val="auto"/>
                <w:sz w:val="21"/>
                <w:szCs w:val="21"/>
                <w:highlight w:val="none"/>
              </w:rPr>
              <w:t>水体</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自然保护地一般控制区</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饮用水水源二级保护区</w:t>
            </w:r>
            <w:r>
              <w:rPr>
                <w:rFonts w:hint="eastAsia" w:ascii="宋体" w:hAnsi="宋体" w:eastAsia="宋体" w:cs="宋体"/>
                <w:color w:val="auto"/>
                <w:sz w:val="21"/>
                <w:szCs w:val="21"/>
                <w:highlight w:val="none"/>
                <w:lang w:val="en-US" w:eastAsia="zh-CN"/>
              </w:rPr>
              <w:t>/第二类海水水质的区域</w:t>
            </w:r>
          </w:p>
        </w:tc>
        <w:tc>
          <w:tcPr>
            <w:tcW w:w="1339" w:type="dxa"/>
            <w:noWrap w:val="0"/>
            <w:vAlign w:val="center"/>
          </w:tcPr>
          <w:p w14:paraId="6FF797FC">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r>
      <w:tr w14:paraId="181D6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1805" w:type="dxa"/>
            <w:vMerge w:val="continue"/>
            <w:noWrap w:val="0"/>
            <w:vAlign w:val="center"/>
          </w:tcPr>
          <w:p w14:paraId="12C677C8">
            <w:pPr>
              <w:jc w:val="center"/>
              <w:rPr>
                <w:rFonts w:hint="eastAsia" w:ascii="宋体" w:hAnsi="宋体" w:eastAsia="宋体" w:cs="宋体"/>
                <w:color w:val="auto"/>
                <w:sz w:val="21"/>
                <w:szCs w:val="21"/>
                <w:highlight w:val="none"/>
              </w:rPr>
            </w:pPr>
          </w:p>
        </w:tc>
        <w:tc>
          <w:tcPr>
            <w:tcW w:w="5800" w:type="dxa"/>
            <w:noWrap w:val="0"/>
            <w:vAlign w:val="top"/>
          </w:tcPr>
          <w:p w14:paraId="508C44E8">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一类环境空气功能区</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I类水体</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自然保护地核心保护区</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饮用水水源一级保护区</w:t>
            </w:r>
            <w:r>
              <w:rPr>
                <w:rFonts w:hint="eastAsia" w:ascii="宋体" w:hAnsi="宋体" w:eastAsia="宋体" w:cs="宋体"/>
                <w:color w:val="auto"/>
                <w:sz w:val="21"/>
                <w:szCs w:val="21"/>
                <w:highlight w:val="none"/>
                <w:lang w:val="en-US" w:eastAsia="zh-CN"/>
              </w:rPr>
              <w:t>/第一类海水水质的区域</w:t>
            </w:r>
          </w:p>
        </w:tc>
        <w:tc>
          <w:tcPr>
            <w:tcW w:w="1339" w:type="dxa"/>
            <w:noWrap w:val="0"/>
            <w:vAlign w:val="center"/>
          </w:tcPr>
          <w:p w14:paraId="4163F720">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r>
    </w:tbl>
    <w:p w14:paraId="4ADF499B">
      <w:pPr>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br w:type="page"/>
      </w:r>
    </w:p>
    <w:tbl>
      <w:tblPr>
        <w:tblStyle w:val="8"/>
        <w:tblW w:w="509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40"/>
        <w:gridCol w:w="5908"/>
        <w:gridCol w:w="1365"/>
      </w:tblGrid>
      <w:tr w14:paraId="21ECA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9113" w:type="dxa"/>
            <w:gridSpan w:val="3"/>
            <w:noWrap w:val="0"/>
            <w:vAlign w:val="center"/>
          </w:tcPr>
          <w:p w14:paraId="386297FC">
            <w:pPr>
              <w:jc w:val="center"/>
              <w:rPr>
                <w:rFonts w:hint="eastAsia" w:ascii="宋体" w:eastAsia="宋体" w:cs="宋体"/>
                <w:color w:val="auto"/>
                <w:szCs w:val="21"/>
                <w:lang w:eastAsia="zh-CN"/>
              </w:rPr>
            </w:pPr>
            <w:r>
              <w:rPr>
                <w:rFonts w:hint="eastAsia" w:ascii="宋体" w:cs="宋体"/>
                <w:color w:val="auto"/>
                <w:szCs w:val="21"/>
                <w:lang w:eastAsia="zh-CN"/>
              </w:rPr>
              <w:t>（十）放射性污染防治类</w:t>
            </w:r>
          </w:p>
        </w:tc>
      </w:tr>
      <w:tr w14:paraId="08DCE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840" w:type="dxa"/>
            <w:noWrap w:val="0"/>
            <w:vAlign w:val="center"/>
          </w:tcPr>
          <w:p w14:paraId="261C7FDF">
            <w:pPr>
              <w:jc w:val="center"/>
              <w:rPr>
                <w:rFonts w:hint="eastAsia" w:ascii="宋体" w:cs="宋体"/>
                <w:color w:val="auto"/>
                <w:szCs w:val="21"/>
              </w:rPr>
            </w:pPr>
            <w:r>
              <w:rPr>
                <w:rFonts w:hint="eastAsia" w:ascii="宋体" w:cs="宋体"/>
                <w:color w:val="auto"/>
                <w:szCs w:val="21"/>
              </w:rPr>
              <w:t>序号</w:t>
            </w:r>
          </w:p>
        </w:tc>
        <w:tc>
          <w:tcPr>
            <w:tcW w:w="7273" w:type="dxa"/>
            <w:gridSpan w:val="2"/>
            <w:noWrap w:val="0"/>
            <w:vAlign w:val="center"/>
          </w:tcPr>
          <w:p w14:paraId="2D2D4BFA">
            <w:pPr>
              <w:jc w:val="center"/>
              <w:rPr>
                <w:rFonts w:hint="default" w:ascii="宋体" w:eastAsia="宋体" w:cs="宋体"/>
                <w:color w:val="auto"/>
                <w:szCs w:val="21"/>
                <w:lang w:val="en-US" w:eastAsia="zh-CN"/>
              </w:rPr>
            </w:pPr>
            <w:r>
              <w:rPr>
                <w:rFonts w:hint="eastAsia" w:ascii="宋体" w:cs="宋体"/>
                <w:color w:val="auto"/>
                <w:szCs w:val="21"/>
                <w:lang w:val="en-US" w:eastAsia="zh-CN"/>
              </w:rPr>
              <w:t>19</w:t>
            </w:r>
          </w:p>
        </w:tc>
      </w:tr>
      <w:tr w14:paraId="770AD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1840" w:type="dxa"/>
            <w:noWrap w:val="0"/>
            <w:vAlign w:val="center"/>
          </w:tcPr>
          <w:p w14:paraId="60B76B73">
            <w:pPr>
              <w:jc w:val="center"/>
              <w:rPr>
                <w:rFonts w:hint="eastAsia" w:ascii="宋体" w:cs="宋体"/>
                <w:color w:val="auto"/>
                <w:szCs w:val="21"/>
              </w:rPr>
            </w:pPr>
            <w:r>
              <w:rPr>
                <w:rFonts w:hint="eastAsia" w:ascii="宋体" w:cs="宋体"/>
                <w:color w:val="auto"/>
                <w:szCs w:val="21"/>
              </w:rPr>
              <w:t>违法行为</w:t>
            </w:r>
          </w:p>
        </w:tc>
        <w:tc>
          <w:tcPr>
            <w:tcW w:w="7273" w:type="dxa"/>
            <w:gridSpan w:val="2"/>
            <w:noWrap w:val="0"/>
            <w:vAlign w:val="center"/>
          </w:tcPr>
          <w:p w14:paraId="1FF4BC24">
            <w:pPr>
              <w:adjustRightInd w:val="0"/>
              <w:ind w:firstLine="420" w:firstLineChars="200"/>
              <w:jc w:val="both"/>
              <w:rPr>
                <w:rFonts w:hint="eastAsia" w:ascii="宋体" w:cs="宋体"/>
                <w:color w:val="auto"/>
                <w:szCs w:val="21"/>
              </w:rPr>
            </w:pPr>
            <w:r>
              <w:rPr>
                <w:rFonts w:hint="eastAsia" w:ascii="宋体" w:cs="宋体"/>
                <w:color w:val="auto"/>
                <w:szCs w:val="21"/>
              </w:rPr>
              <w:t>未按照许可证规定从事贮存、处理和处置放射性废物活动的</w:t>
            </w:r>
          </w:p>
        </w:tc>
      </w:tr>
      <w:tr w14:paraId="78CF1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8" w:hRule="atLeast"/>
          <w:jc w:val="center"/>
        </w:trPr>
        <w:tc>
          <w:tcPr>
            <w:tcW w:w="1840" w:type="dxa"/>
            <w:noWrap w:val="0"/>
            <w:vAlign w:val="center"/>
          </w:tcPr>
          <w:p w14:paraId="6E8147B4">
            <w:pPr>
              <w:jc w:val="center"/>
              <w:rPr>
                <w:rFonts w:hint="eastAsia" w:ascii="宋体" w:cs="宋体"/>
                <w:color w:val="auto"/>
                <w:szCs w:val="21"/>
              </w:rPr>
            </w:pPr>
            <w:r>
              <w:rPr>
                <w:rFonts w:hint="eastAsia" w:ascii="宋体" w:cs="宋体"/>
                <w:color w:val="auto"/>
                <w:szCs w:val="21"/>
              </w:rPr>
              <w:t>违反条款</w:t>
            </w:r>
          </w:p>
        </w:tc>
        <w:tc>
          <w:tcPr>
            <w:tcW w:w="7273" w:type="dxa"/>
            <w:gridSpan w:val="2"/>
            <w:noWrap w:val="0"/>
            <w:vAlign w:val="center"/>
          </w:tcPr>
          <w:p w14:paraId="53A2D3A3">
            <w:pPr>
              <w:adjustRightInd w:val="0"/>
              <w:ind w:firstLine="420" w:firstLineChars="200"/>
              <w:jc w:val="both"/>
              <w:rPr>
                <w:rFonts w:hint="eastAsia" w:ascii="宋体" w:cs="宋体"/>
                <w:color w:val="auto"/>
                <w:szCs w:val="21"/>
              </w:rPr>
            </w:pPr>
            <w:r>
              <w:rPr>
                <w:rFonts w:hint="eastAsia" w:ascii="宋体" w:cs="宋体"/>
                <w:color w:val="auto"/>
                <w:szCs w:val="21"/>
              </w:rPr>
              <w:t>《中华人民共和国生态环境法典》第六百四十二条</w:t>
            </w:r>
            <w:r>
              <w:rPr>
                <w:rFonts w:hint="eastAsia" w:ascii="宋体" w:cs="宋体"/>
                <w:color w:val="auto"/>
                <w:szCs w:val="21"/>
                <w:lang w:val="en-US" w:eastAsia="zh-CN"/>
              </w:rPr>
              <w:t>第二款</w:t>
            </w:r>
            <w:r>
              <w:rPr>
                <w:rFonts w:hint="eastAsia" w:ascii="宋体" w:cs="宋体"/>
                <w:color w:val="auto"/>
                <w:szCs w:val="21"/>
              </w:rPr>
              <w:t xml:space="preserve">  禁止无许可证或者不按照许可证的要求专门从事贮存、处理、处置放射性废物的活动。</w:t>
            </w:r>
          </w:p>
        </w:tc>
      </w:tr>
      <w:tr w14:paraId="11549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1840" w:type="dxa"/>
            <w:noWrap w:val="0"/>
            <w:vAlign w:val="center"/>
          </w:tcPr>
          <w:p w14:paraId="2DB5BEAF">
            <w:pPr>
              <w:jc w:val="center"/>
              <w:rPr>
                <w:rFonts w:hint="eastAsia" w:ascii="宋体" w:cs="宋体"/>
                <w:color w:val="auto"/>
                <w:szCs w:val="21"/>
              </w:rPr>
            </w:pPr>
            <w:r>
              <w:rPr>
                <w:rFonts w:hint="eastAsia" w:ascii="宋体" w:cs="宋体"/>
                <w:color w:val="auto"/>
                <w:szCs w:val="21"/>
              </w:rPr>
              <w:t>处罚依据</w:t>
            </w:r>
          </w:p>
        </w:tc>
        <w:tc>
          <w:tcPr>
            <w:tcW w:w="7273" w:type="dxa"/>
            <w:gridSpan w:val="2"/>
            <w:noWrap w:val="0"/>
            <w:vAlign w:val="center"/>
          </w:tcPr>
          <w:p w14:paraId="65166486">
            <w:pPr>
              <w:adjustRightInd w:val="0"/>
              <w:ind w:firstLine="420" w:firstLineChars="200"/>
              <w:jc w:val="both"/>
              <w:rPr>
                <w:rFonts w:hint="eastAsia" w:ascii="宋体" w:cs="宋体"/>
                <w:color w:val="auto"/>
                <w:szCs w:val="21"/>
              </w:rPr>
            </w:pPr>
            <w:r>
              <w:rPr>
                <w:rFonts w:hint="eastAsia" w:ascii="宋体" w:cs="宋体"/>
                <w:color w:val="auto"/>
                <w:szCs w:val="21"/>
              </w:rPr>
              <w:t>《中华人民共和国生态环境法典》第一千二百零三条第二款  违反本法规定，未按照许可证规定从事贮存、处理和处置放射性废物活动的，由省级以上人民政府生态环境主管部门责令限期改正，没收违法所得，并处五十万元以上五百万元以下的罚款；</w:t>
            </w:r>
            <w:r>
              <w:rPr>
                <w:rFonts w:hint="eastAsia" w:ascii="宋体" w:cs="宋体"/>
                <w:color w:val="auto"/>
                <w:szCs w:val="21"/>
                <w:lang w:eastAsia="zh-CN"/>
              </w:rPr>
              <w:t>……</w:t>
            </w:r>
            <w:r>
              <w:rPr>
                <w:rFonts w:hint="eastAsia" w:ascii="宋体" w:cs="宋体"/>
                <w:color w:val="auto"/>
                <w:szCs w:val="21"/>
              </w:rPr>
              <w:t>。</w:t>
            </w:r>
          </w:p>
        </w:tc>
      </w:tr>
      <w:tr w14:paraId="2D800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840" w:type="dxa"/>
            <w:noWrap w:val="0"/>
            <w:vAlign w:val="center"/>
          </w:tcPr>
          <w:p w14:paraId="3D1DEC8C">
            <w:pPr>
              <w:jc w:val="center"/>
              <w:rPr>
                <w:rFonts w:hint="eastAsia" w:ascii="宋体" w:cs="宋体"/>
                <w:color w:val="auto"/>
                <w:szCs w:val="21"/>
              </w:rPr>
            </w:pPr>
            <w:r>
              <w:rPr>
                <w:rFonts w:hint="eastAsia" w:ascii="宋体" w:cs="宋体"/>
                <w:color w:val="auto"/>
                <w:szCs w:val="21"/>
              </w:rPr>
              <w:t>裁量因素</w:t>
            </w:r>
          </w:p>
        </w:tc>
        <w:tc>
          <w:tcPr>
            <w:tcW w:w="5908" w:type="dxa"/>
            <w:noWrap w:val="0"/>
            <w:vAlign w:val="center"/>
          </w:tcPr>
          <w:p w14:paraId="75DC1BC5">
            <w:pPr>
              <w:jc w:val="center"/>
              <w:rPr>
                <w:rFonts w:hint="eastAsia" w:ascii="宋体" w:cs="宋体"/>
                <w:color w:val="auto"/>
                <w:szCs w:val="21"/>
              </w:rPr>
            </w:pPr>
            <w:r>
              <w:rPr>
                <w:rFonts w:hint="eastAsia" w:ascii="宋体" w:cs="宋体"/>
                <w:color w:val="auto"/>
                <w:szCs w:val="21"/>
              </w:rPr>
              <w:t>裁量因子</w:t>
            </w:r>
          </w:p>
        </w:tc>
        <w:tc>
          <w:tcPr>
            <w:tcW w:w="1365" w:type="dxa"/>
            <w:noWrap w:val="0"/>
            <w:vAlign w:val="center"/>
          </w:tcPr>
          <w:p w14:paraId="25924ABD">
            <w:pPr>
              <w:jc w:val="center"/>
              <w:rPr>
                <w:rFonts w:hint="eastAsia" w:ascii="宋体" w:cs="宋体"/>
                <w:color w:val="auto"/>
                <w:szCs w:val="21"/>
              </w:rPr>
            </w:pPr>
            <w:r>
              <w:rPr>
                <w:rFonts w:hint="eastAsia" w:ascii="宋体" w:cs="宋体"/>
                <w:color w:val="auto"/>
                <w:szCs w:val="21"/>
              </w:rPr>
              <w:t>裁量等级</w:t>
            </w:r>
          </w:p>
        </w:tc>
      </w:tr>
      <w:tr w14:paraId="2C60D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840" w:type="dxa"/>
            <w:vMerge w:val="restart"/>
            <w:noWrap w:val="0"/>
            <w:vAlign w:val="center"/>
          </w:tcPr>
          <w:p w14:paraId="32786438">
            <w:pPr>
              <w:jc w:val="center"/>
              <w:rPr>
                <w:rFonts w:hint="eastAsia" w:ascii="宋体" w:cs="宋体"/>
                <w:color w:val="auto"/>
                <w:szCs w:val="21"/>
              </w:rPr>
            </w:pPr>
            <w:r>
              <w:rPr>
                <w:rFonts w:hint="eastAsia" w:ascii="宋体" w:cs="宋体"/>
                <w:color w:val="auto"/>
                <w:szCs w:val="21"/>
              </w:rPr>
              <w:t>放射性废物数量</w:t>
            </w:r>
          </w:p>
        </w:tc>
        <w:tc>
          <w:tcPr>
            <w:tcW w:w="5908" w:type="dxa"/>
            <w:noWrap w:val="0"/>
            <w:vAlign w:val="center"/>
          </w:tcPr>
          <w:p w14:paraId="3F1EC961">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cs="宋体"/>
                <w:color w:val="auto"/>
                <w:szCs w:val="21"/>
              </w:rPr>
            </w:pPr>
            <w:r>
              <w:rPr>
                <w:rFonts w:hint="eastAsia" w:ascii="宋体" w:cs="宋体"/>
                <w:color w:val="auto"/>
                <w:szCs w:val="21"/>
              </w:rPr>
              <w:t>不足10千克</w:t>
            </w:r>
          </w:p>
        </w:tc>
        <w:tc>
          <w:tcPr>
            <w:tcW w:w="1365" w:type="dxa"/>
            <w:noWrap w:val="0"/>
            <w:vAlign w:val="center"/>
          </w:tcPr>
          <w:p w14:paraId="21718B83">
            <w:pPr>
              <w:jc w:val="center"/>
              <w:rPr>
                <w:rFonts w:hint="eastAsia" w:ascii="宋体" w:cs="宋体"/>
                <w:color w:val="auto"/>
                <w:szCs w:val="21"/>
              </w:rPr>
            </w:pPr>
            <w:r>
              <w:rPr>
                <w:rFonts w:hint="eastAsia" w:ascii="宋体" w:cs="宋体"/>
                <w:color w:val="auto"/>
                <w:szCs w:val="21"/>
              </w:rPr>
              <w:t>1</w:t>
            </w:r>
          </w:p>
        </w:tc>
      </w:tr>
      <w:tr w14:paraId="7EDB5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840" w:type="dxa"/>
            <w:vMerge w:val="continue"/>
            <w:noWrap w:val="0"/>
            <w:vAlign w:val="center"/>
          </w:tcPr>
          <w:p w14:paraId="54A479A5">
            <w:pPr>
              <w:jc w:val="center"/>
              <w:rPr>
                <w:rFonts w:hint="eastAsia" w:ascii="宋体" w:cs="宋体"/>
                <w:color w:val="auto"/>
                <w:szCs w:val="21"/>
              </w:rPr>
            </w:pPr>
          </w:p>
        </w:tc>
        <w:tc>
          <w:tcPr>
            <w:tcW w:w="5908" w:type="dxa"/>
            <w:noWrap w:val="0"/>
            <w:vAlign w:val="center"/>
          </w:tcPr>
          <w:p w14:paraId="1106BD91">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cs="宋体"/>
                <w:color w:val="auto"/>
                <w:szCs w:val="21"/>
              </w:rPr>
            </w:pPr>
            <w:r>
              <w:rPr>
                <w:rFonts w:hint="eastAsia" w:ascii="宋体" w:cs="宋体"/>
                <w:color w:val="auto"/>
                <w:szCs w:val="21"/>
              </w:rPr>
              <w:t>10千克以上不足100千克</w:t>
            </w:r>
          </w:p>
        </w:tc>
        <w:tc>
          <w:tcPr>
            <w:tcW w:w="1365" w:type="dxa"/>
            <w:noWrap w:val="0"/>
            <w:vAlign w:val="center"/>
          </w:tcPr>
          <w:p w14:paraId="61FBD501">
            <w:pPr>
              <w:jc w:val="center"/>
              <w:rPr>
                <w:rFonts w:hint="eastAsia" w:ascii="宋体" w:cs="宋体"/>
                <w:color w:val="auto"/>
                <w:szCs w:val="21"/>
              </w:rPr>
            </w:pPr>
            <w:r>
              <w:rPr>
                <w:rFonts w:hint="eastAsia" w:ascii="宋体" w:cs="宋体"/>
                <w:color w:val="auto"/>
                <w:szCs w:val="21"/>
              </w:rPr>
              <w:t>3</w:t>
            </w:r>
          </w:p>
        </w:tc>
      </w:tr>
      <w:tr w14:paraId="6CBE8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840" w:type="dxa"/>
            <w:vMerge w:val="continue"/>
            <w:noWrap w:val="0"/>
            <w:vAlign w:val="center"/>
          </w:tcPr>
          <w:p w14:paraId="1A6599B7">
            <w:pPr>
              <w:jc w:val="center"/>
              <w:rPr>
                <w:rFonts w:hint="eastAsia" w:ascii="宋体" w:cs="宋体"/>
                <w:color w:val="auto"/>
                <w:szCs w:val="21"/>
              </w:rPr>
            </w:pPr>
          </w:p>
        </w:tc>
        <w:tc>
          <w:tcPr>
            <w:tcW w:w="5908" w:type="dxa"/>
            <w:noWrap w:val="0"/>
            <w:vAlign w:val="center"/>
          </w:tcPr>
          <w:p w14:paraId="0BF99416">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cs="宋体"/>
                <w:color w:val="auto"/>
                <w:szCs w:val="21"/>
              </w:rPr>
            </w:pPr>
            <w:r>
              <w:rPr>
                <w:rFonts w:hint="eastAsia" w:ascii="宋体" w:cs="宋体"/>
                <w:color w:val="auto"/>
                <w:szCs w:val="21"/>
              </w:rPr>
              <w:t>100千克以上</w:t>
            </w:r>
          </w:p>
        </w:tc>
        <w:tc>
          <w:tcPr>
            <w:tcW w:w="1365" w:type="dxa"/>
            <w:noWrap w:val="0"/>
            <w:vAlign w:val="center"/>
          </w:tcPr>
          <w:p w14:paraId="4B12C99F">
            <w:pPr>
              <w:jc w:val="center"/>
              <w:rPr>
                <w:rFonts w:hint="eastAsia" w:ascii="宋体" w:cs="宋体"/>
                <w:color w:val="auto"/>
                <w:szCs w:val="21"/>
              </w:rPr>
            </w:pPr>
            <w:r>
              <w:rPr>
                <w:rFonts w:hint="eastAsia" w:ascii="宋体" w:cs="宋体"/>
                <w:color w:val="auto"/>
                <w:szCs w:val="21"/>
              </w:rPr>
              <w:t>5</w:t>
            </w:r>
          </w:p>
        </w:tc>
      </w:tr>
      <w:tr w14:paraId="20E44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840" w:type="dxa"/>
            <w:vMerge w:val="restart"/>
            <w:noWrap w:val="0"/>
            <w:vAlign w:val="center"/>
          </w:tcPr>
          <w:p w14:paraId="7E52129D">
            <w:pPr>
              <w:jc w:val="center"/>
              <w:rPr>
                <w:rFonts w:hint="eastAsia" w:ascii="宋体" w:cs="宋体"/>
                <w:color w:val="auto"/>
                <w:szCs w:val="21"/>
              </w:rPr>
            </w:pPr>
            <w:r>
              <w:rPr>
                <w:rFonts w:hint="eastAsia" w:ascii="宋体" w:cs="宋体"/>
                <w:color w:val="auto"/>
                <w:szCs w:val="21"/>
              </w:rPr>
              <w:t>放射性废物类型</w:t>
            </w:r>
          </w:p>
        </w:tc>
        <w:tc>
          <w:tcPr>
            <w:tcW w:w="5908" w:type="dxa"/>
            <w:noWrap w:val="0"/>
            <w:vAlign w:val="center"/>
          </w:tcPr>
          <w:p w14:paraId="421F8B9D">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cs="宋体"/>
                <w:color w:val="auto"/>
                <w:szCs w:val="21"/>
              </w:rPr>
            </w:pPr>
            <w:r>
              <w:rPr>
                <w:rFonts w:hint="eastAsia" w:ascii="宋体" w:cs="宋体"/>
                <w:color w:val="auto"/>
                <w:szCs w:val="21"/>
              </w:rPr>
              <w:t>极短寿命放射性废物</w:t>
            </w:r>
          </w:p>
        </w:tc>
        <w:tc>
          <w:tcPr>
            <w:tcW w:w="1365" w:type="dxa"/>
            <w:noWrap w:val="0"/>
            <w:vAlign w:val="center"/>
          </w:tcPr>
          <w:p w14:paraId="09191669">
            <w:pPr>
              <w:jc w:val="center"/>
              <w:rPr>
                <w:rFonts w:hint="eastAsia" w:ascii="宋体" w:cs="宋体"/>
                <w:color w:val="auto"/>
                <w:szCs w:val="21"/>
              </w:rPr>
            </w:pPr>
            <w:r>
              <w:rPr>
                <w:rFonts w:hint="eastAsia" w:ascii="宋体" w:cs="宋体"/>
                <w:color w:val="auto"/>
                <w:szCs w:val="21"/>
              </w:rPr>
              <w:t>1</w:t>
            </w:r>
          </w:p>
        </w:tc>
      </w:tr>
      <w:tr w14:paraId="01D79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840" w:type="dxa"/>
            <w:vMerge w:val="continue"/>
            <w:noWrap w:val="0"/>
            <w:vAlign w:val="center"/>
          </w:tcPr>
          <w:p w14:paraId="16EBE8C2">
            <w:pPr>
              <w:jc w:val="center"/>
              <w:rPr>
                <w:color w:val="auto"/>
              </w:rPr>
            </w:pPr>
          </w:p>
        </w:tc>
        <w:tc>
          <w:tcPr>
            <w:tcW w:w="5908" w:type="dxa"/>
            <w:noWrap w:val="0"/>
            <w:vAlign w:val="center"/>
          </w:tcPr>
          <w:p w14:paraId="269A6878">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cs="宋体"/>
                <w:color w:val="auto"/>
                <w:szCs w:val="21"/>
              </w:rPr>
            </w:pPr>
            <w:r>
              <w:rPr>
                <w:rFonts w:hint="eastAsia" w:ascii="宋体" w:cs="宋体"/>
                <w:color w:val="auto"/>
                <w:szCs w:val="21"/>
              </w:rPr>
              <w:t>极低水平放射性废物</w:t>
            </w:r>
          </w:p>
        </w:tc>
        <w:tc>
          <w:tcPr>
            <w:tcW w:w="1365" w:type="dxa"/>
            <w:noWrap w:val="0"/>
            <w:vAlign w:val="center"/>
          </w:tcPr>
          <w:p w14:paraId="564078CA">
            <w:pPr>
              <w:jc w:val="center"/>
              <w:rPr>
                <w:rFonts w:hint="eastAsia" w:ascii="宋体" w:cs="宋体"/>
                <w:color w:val="auto"/>
                <w:szCs w:val="21"/>
              </w:rPr>
            </w:pPr>
            <w:r>
              <w:rPr>
                <w:rFonts w:hint="eastAsia" w:ascii="宋体" w:cs="宋体"/>
                <w:color w:val="auto"/>
                <w:szCs w:val="21"/>
              </w:rPr>
              <w:t>2</w:t>
            </w:r>
          </w:p>
        </w:tc>
      </w:tr>
      <w:tr w14:paraId="380B5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840" w:type="dxa"/>
            <w:vMerge w:val="continue"/>
            <w:noWrap w:val="0"/>
            <w:vAlign w:val="center"/>
          </w:tcPr>
          <w:p w14:paraId="59AE03F5">
            <w:pPr>
              <w:jc w:val="center"/>
              <w:rPr>
                <w:color w:val="auto"/>
              </w:rPr>
            </w:pPr>
          </w:p>
        </w:tc>
        <w:tc>
          <w:tcPr>
            <w:tcW w:w="5908" w:type="dxa"/>
            <w:noWrap w:val="0"/>
            <w:vAlign w:val="center"/>
          </w:tcPr>
          <w:p w14:paraId="2D2FFDB7">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cs="宋体"/>
                <w:color w:val="auto"/>
                <w:szCs w:val="21"/>
              </w:rPr>
            </w:pPr>
            <w:r>
              <w:rPr>
                <w:rFonts w:hint="eastAsia" w:ascii="宋体" w:cs="宋体"/>
                <w:color w:val="auto"/>
                <w:szCs w:val="21"/>
              </w:rPr>
              <w:t>低水平放射性废物</w:t>
            </w:r>
          </w:p>
        </w:tc>
        <w:tc>
          <w:tcPr>
            <w:tcW w:w="1365" w:type="dxa"/>
            <w:noWrap w:val="0"/>
            <w:vAlign w:val="center"/>
          </w:tcPr>
          <w:p w14:paraId="29DBFC96">
            <w:pPr>
              <w:jc w:val="center"/>
              <w:rPr>
                <w:rFonts w:hint="eastAsia" w:ascii="宋体" w:cs="宋体"/>
                <w:color w:val="auto"/>
                <w:szCs w:val="21"/>
              </w:rPr>
            </w:pPr>
            <w:r>
              <w:rPr>
                <w:rFonts w:hint="eastAsia" w:ascii="宋体" w:cs="宋体"/>
                <w:color w:val="auto"/>
                <w:szCs w:val="21"/>
              </w:rPr>
              <w:t>3</w:t>
            </w:r>
          </w:p>
        </w:tc>
      </w:tr>
      <w:tr w14:paraId="1995A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840" w:type="dxa"/>
            <w:vMerge w:val="continue"/>
            <w:noWrap w:val="0"/>
            <w:vAlign w:val="center"/>
          </w:tcPr>
          <w:p w14:paraId="1F1FE29A">
            <w:pPr>
              <w:jc w:val="center"/>
              <w:rPr>
                <w:color w:val="auto"/>
              </w:rPr>
            </w:pPr>
          </w:p>
        </w:tc>
        <w:tc>
          <w:tcPr>
            <w:tcW w:w="5908" w:type="dxa"/>
            <w:noWrap w:val="0"/>
            <w:vAlign w:val="center"/>
          </w:tcPr>
          <w:p w14:paraId="127BFCB1">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cs="宋体"/>
                <w:color w:val="auto"/>
                <w:szCs w:val="21"/>
              </w:rPr>
            </w:pPr>
            <w:r>
              <w:rPr>
                <w:rFonts w:hint="eastAsia" w:ascii="宋体" w:cs="宋体"/>
                <w:color w:val="auto"/>
                <w:szCs w:val="21"/>
              </w:rPr>
              <w:t>中水平放射性废物</w:t>
            </w:r>
          </w:p>
        </w:tc>
        <w:tc>
          <w:tcPr>
            <w:tcW w:w="1365" w:type="dxa"/>
            <w:noWrap w:val="0"/>
            <w:vAlign w:val="center"/>
          </w:tcPr>
          <w:p w14:paraId="2137AF94">
            <w:pPr>
              <w:jc w:val="center"/>
              <w:rPr>
                <w:rFonts w:hint="eastAsia" w:ascii="宋体" w:cs="宋体"/>
                <w:color w:val="auto"/>
                <w:szCs w:val="21"/>
              </w:rPr>
            </w:pPr>
            <w:r>
              <w:rPr>
                <w:rFonts w:hint="eastAsia" w:ascii="宋体" w:cs="宋体"/>
                <w:color w:val="auto"/>
                <w:szCs w:val="21"/>
              </w:rPr>
              <w:t>4</w:t>
            </w:r>
          </w:p>
        </w:tc>
      </w:tr>
      <w:tr w14:paraId="1805F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840" w:type="dxa"/>
            <w:vMerge w:val="continue"/>
            <w:noWrap w:val="0"/>
            <w:vAlign w:val="center"/>
          </w:tcPr>
          <w:p w14:paraId="7B414F23">
            <w:pPr>
              <w:jc w:val="center"/>
              <w:rPr>
                <w:color w:val="auto"/>
              </w:rPr>
            </w:pPr>
          </w:p>
        </w:tc>
        <w:tc>
          <w:tcPr>
            <w:tcW w:w="5908" w:type="dxa"/>
            <w:noWrap w:val="0"/>
            <w:vAlign w:val="center"/>
          </w:tcPr>
          <w:p w14:paraId="4AAB4BE8">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cs="宋体"/>
                <w:color w:val="auto"/>
                <w:szCs w:val="21"/>
              </w:rPr>
            </w:pPr>
            <w:r>
              <w:rPr>
                <w:rFonts w:hint="eastAsia" w:ascii="宋体" w:cs="宋体"/>
                <w:color w:val="auto"/>
                <w:szCs w:val="21"/>
              </w:rPr>
              <w:t>高水平放射性废物</w:t>
            </w:r>
          </w:p>
        </w:tc>
        <w:tc>
          <w:tcPr>
            <w:tcW w:w="1365" w:type="dxa"/>
            <w:noWrap w:val="0"/>
            <w:vAlign w:val="center"/>
          </w:tcPr>
          <w:p w14:paraId="565DF7DC">
            <w:pPr>
              <w:jc w:val="center"/>
              <w:rPr>
                <w:rFonts w:hint="eastAsia" w:ascii="宋体" w:cs="宋体"/>
                <w:color w:val="auto"/>
                <w:szCs w:val="21"/>
              </w:rPr>
            </w:pPr>
            <w:r>
              <w:rPr>
                <w:rFonts w:hint="eastAsia" w:ascii="宋体" w:cs="宋体"/>
                <w:color w:val="auto"/>
                <w:szCs w:val="21"/>
              </w:rPr>
              <w:t>5</w:t>
            </w:r>
          </w:p>
        </w:tc>
      </w:tr>
    </w:tbl>
    <w:p w14:paraId="42334455">
      <w:pPr>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br w:type="page"/>
      </w:r>
    </w:p>
    <w:p w14:paraId="0FD5B08E">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楷体_GB2312" w:hAnsi="楷体_GB2312" w:eastAsia="楷体_GB2312" w:cs="楷体_GB2312"/>
          <w:b/>
          <w:bCs/>
          <w:color w:val="auto"/>
          <w:sz w:val="28"/>
          <w:szCs w:val="28"/>
          <w:highlight w:val="none"/>
          <w:lang w:val="en-US" w:eastAsia="zh-CN"/>
        </w:rPr>
      </w:pPr>
      <w:r>
        <w:rPr>
          <w:rFonts w:hint="eastAsia" w:ascii="楷体_GB2312" w:hAnsi="楷体_GB2312" w:eastAsia="楷体_GB2312" w:cs="楷体_GB2312"/>
          <w:b/>
          <w:bCs/>
          <w:color w:val="auto"/>
          <w:sz w:val="28"/>
          <w:szCs w:val="28"/>
          <w:highlight w:val="none"/>
          <w:lang w:val="en-US" w:eastAsia="zh-CN"/>
        </w:rPr>
        <w:t>（十一）化学物质污染风险管控、电磁辐射和光污染防治类</w:t>
      </w:r>
    </w:p>
    <w:p w14:paraId="21099BE1">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p>
    <w:p w14:paraId="04388209">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1.</w:t>
      </w:r>
      <w:r>
        <w:rPr>
          <w:rFonts w:hint="eastAsia" w:ascii="宋体" w:hAnsi="Times New Roman" w:cs="Times New Roman"/>
          <w:color w:val="auto"/>
          <w:kern w:val="0"/>
          <w:sz w:val="24"/>
        </w:rPr>
        <w:t>未按照重点管控新污染物禁止或者限制环境风险管控措施要求，生产或者进口重点管控新污染物清单中的化学物质，或者使用重点管控新污染物清单中化学物质生产产品的</w:t>
      </w:r>
      <w:r>
        <w:rPr>
          <w:rFonts w:hint="eastAsia" w:ascii="宋体" w:hAnsi="Times New Roman" w:cs="Times New Roman"/>
          <w:color w:val="auto"/>
          <w:kern w:val="0"/>
          <w:sz w:val="24"/>
          <w:lang w:eastAsia="zh-CN"/>
        </w:rPr>
        <w:t>；</w:t>
      </w:r>
    </w:p>
    <w:p w14:paraId="171007EF">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2.不按照新化学物质环境管理登记证的要求生产、进口新化学物质的；</w:t>
      </w:r>
    </w:p>
    <w:p w14:paraId="2B41DD36">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3.无新化学物质环境管理登记证，生产、进口新化学物质，或者使用无新化学物质环境管理登记证的企业事业单位生产、进口的新化学物质生产产品的；</w:t>
      </w:r>
    </w:p>
    <w:p w14:paraId="5D8AEF8C">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4.未实行排污许可管理的企业事业单位，超过电磁辐射排放标准排放电磁辐射的；</w:t>
      </w:r>
    </w:p>
    <w:p w14:paraId="5A70D31D">
      <w:pPr>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br w:type="page"/>
      </w:r>
    </w:p>
    <w:tbl>
      <w:tblPr>
        <w:tblStyle w:val="8"/>
        <w:tblW w:w="509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46"/>
        <w:gridCol w:w="5889"/>
        <w:gridCol w:w="1378"/>
      </w:tblGrid>
      <w:tr w14:paraId="1DA8B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8679" w:type="dxa"/>
            <w:gridSpan w:val="3"/>
            <w:noWrap w:val="0"/>
            <w:vAlign w:val="center"/>
          </w:tcPr>
          <w:p w14:paraId="1243C271">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（十一）化学物质污染风险管控、电磁辐射和光污染防治类</w:t>
            </w:r>
          </w:p>
        </w:tc>
      </w:tr>
      <w:tr w14:paraId="3E482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758" w:type="dxa"/>
            <w:noWrap w:val="0"/>
            <w:vAlign w:val="center"/>
          </w:tcPr>
          <w:p w14:paraId="4B8A261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921" w:type="dxa"/>
            <w:gridSpan w:val="2"/>
            <w:noWrap w:val="0"/>
            <w:vAlign w:val="center"/>
          </w:tcPr>
          <w:p w14:paraId="17ED8501">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r>
      <w:tr w14:paraId="3B541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1758" w:type="dxa"/>
            <w:noWrap w:val="0"/>
            <w:vAlign w:val="center"/>
          </w:tcPr>
          <w:p w14:paraId="069EB5D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6921" w:type="dxa"/>
            <w:gridSpan w:val="2"/>
            <w:noWrap w:val="0"/>
            <w:vAlign w:val="center"/>
          </w:tcPr>
          <w:p w14:paraId="3EE05BF3">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未按照重点管控新污染物禁止或者限制环境风险管控措施要求，生产或者进口重点管控新污染物清单中的化学物质，或者使用重点管控新污染物清单中化学物质生产产品的</w:t>
            </w:r>
          </w:p>
        </w:tc>
      </w:tr>
      <w:tr w14:paraId="4F107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8" w:hRule="atLeast"/>
          <w:jc w:val="center"/>
        </w:trPr>
        <w:tc>
          <w:tcPr>
            <w:tcW w:w="1758" w:type="dxa"/>
            <w:noWrap w:val="0"/>
            <w:vAlign w:val="center"/>
          </w:tcPr>
          <w:p w14:paraId="13ED552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6921" w:type="dxa"/>
            <w:gridSpan w:val="2"/>
            <w:noWrap w:val="0"/>
            <w:vAlign w:val="center"/>
          </w:tcPr>
          <w:p w14:paraId="6766739A">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《中华人民共和国生态环境法典》第六百四十九条  国务院生态环境主管部门会同有关部门，组织开展化学物质污染风险评估，制定公布重点管控新污染物清单并适时调整，明确禁止、限制等环境风险管控措施。生产、进口重点管控新污染物清单中化学物质和使用重点管控新污染物清单中化学物质生产产品的，应当遵守上述环境风险管控措施。</w:t>
            </w:r>
          </w:p>
        </w:tc>
      </w:tr>
      <w:tr w14:paraId="75BE2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3" w:hRule="atLeast"/>
          <w:jc w:val="center"/>
        </w:trPr>
        <w:tc>
          <w:tcPr>
            <w:tcW w:w="1758" w:type="dxa"/>
            <w:noWrap w:val="0"/>
            <w:vAlign w:val="center"/>
          </w:tcPr>
          <w:p w14:paraId="3C8E5AE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6921" w:type="dxa"/>
            <w:gridSpan w:val="2"/>
            <w:noWrap w:val="0"/>
            <w:vAlign w:val="center"/>
          </w:tcPr>
          <w:p w14:paraId="219CCB8D">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《中华人民共和国生态环境法典》第一千二百零五条  违反本法规定，未按照重点管控新污染物禁止或者限制环境风险管控措施要求，生产或者进口重点管控新污染物清单中的化学物质，或者使用重点管控新污染物清单中化学物质生产产品的，由生态环境主管部门或者其他负有化学物质生产、进口、使用监督管理职责的部门按照职责分工责令改正，处十万元以上五十万元以下的罚款；拒不改正的，处五十万元以上一百万元以下的罚款，责令限制生产、停产整治</w:t>
            </w:r>
            <w:r>
              <w:rPr>
                <w:rFonts w:hint="eastAsia" w:ascii="宋体" w:cs="宋体"/>
                <w:color w:val="auto"/>
                <w:szCs w:val="21"/>
              </w:rPr>
              <w:t>；</w:t>
            </w:r>
            <w:r>
              <w:rPr>
                <w:rFonts w:hint="eastAsia" w:ascii="宋体" w:cs="宋体"/>
                <w:color w:val="auto"/>
                <w:szCs w:val="21"/>
                <w:lang w:eastAsia="zh-CN"/>
              </w:rPr>
              <w:t>……</w:t>
            </w:r>
            <w:r>
              <w:rPr>
                <w:rFonts w:hint="eastAsia" w:ascii="宋体" w:hAnsi="宋体" w:eastAsia="宋体" w:cs="宋体"/>
                <w:color w:val="auto"/>
                <w:sz w:val="21"/>
                <w:szCs w:val="21"/>
                <w:highlight w:val="none"/>
              </w:rPr>
              <w:t>。</w:t>
            </w:r>
          </w:p>
        </w:tc>
      </w:tr>
      <w:tr w14:paraId="257A6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758" w:type="dxa"/>
            <w:noWrap w:val="0"/>
            <w:vAlign w:val="center"/>
          </w:tcPr>
          <w:p w14:paraId="31C49D1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609" w:type="dxa"/>
            <w:noWrap w:val="0"/>
            <w:vAlign w:val="center"/>
          </w:tcPr>
          <w:p w14:paraId="5505842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312" w:type="dxa"/>
            <w:noWrap w:val="0"/>
            <w:vAlign w:val="center"/>
          </w:tcPr>
          <w:p w14:paraId="09E4650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7ED57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758" w:type="dxa"/>
            <w:vMerge w:val="restart"/>
            <w:noWrap w:val="0"/>
            <w:vAlign w:val="center"/>
          </w:tcPr>
          <w:p w14:paraId="05B85270">
            <w:pPr>
              <w:keepNext w:val="0"/>
              <w:keepLines w:val="0"/>
              <w:pageBreakBefore w:val="0"/>
              <w:widowControl w:val="0"/>
              <w:shd w:val="clear" w:color="auto" w:fill="auto"/>
              <w:kinsoku/>
              <w:wordWrap/>
              <w:topLinePunct w:val="0"/>
              <w:autoSpaceDE w:val="0"/>
              <w:autoSpaceDN w:val="0"/>
              <w:bidi w:val="0"/>
              <w:adjustRightInd/>
              <w:snapToGrid/>
              <w:spacing w:line="300" w:lineRule="exac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化学物质种类</w:t>
            </w:r>
          </w:p>
        </w:tc>
        <w:tc>
          <w:tcPr>
            <w:tcW w:w="5609" w:type="dxa"/>
            <w:noWrap w:val="0"/>
            <w:vAlign w:val="center"/>
          </w:tcPr>
          <w:p w14:paraId="0437B881">
            <w:pPr>
              <w:pStyle w:val="11"/>
              <w:keepNext w:val="0"/>
              <w:keepLines w:val="0"/>
              <w:pageBreakBefore w:val="0"/>
              <w:widowControl w:val="0"/>
              <w:shd w:val="clear" w:color="auto" w:fill="auto"/>
              <w:kinsoku/>
              <w:wordWrap/>
              <w:overflowPunct/>
              <w:topLinePunct w:val="0"/>
              <w:autoSpaceDE w:val="0"/>
              <w:autoSpaceDN w:val="0"/>
              <w:bidi w:val="0"/>
              <w:adjustRightInd/>
              <w:snapToGrid/>
              <w:ind w:left="0" w:leftChars="0" w:right="0" w:rightChars="0" w:firstLine="420" w:firstLineChars="200"/>
              <w:textAlignment w:val="baseline"/>
              <w:rPr>
                <w:rFonts w:hint="eastAsia" w:ascii="宋体" w:hAnsi="宋体" w:eastAsia="宋体" w:cs="宋体"/>
                <w:i w:val="0"/>
                <w:iCs w:val="0"/>
                <w:caps w:val="0"/>
                <w:color w:val="auto"/>
                <w:spacing w:val="0"/>
                <w:sz w:val="21"/>
                <w:szCs w:val="21"/>
                <w:highlight w:val="none"/>
                <w:shd w:val="clear" w:color="auto" w:fill="auto"/>
                <w:lang w:val="en-US" w:eastAsia="zh-CN"/>
              </w:rPr>
            </w:pPr>
            <w:r>
              <w:rPr>
                <w:rFonts w:hint="eastAsia" w:ascii="宋体" w:hAnsi="宋体" w:eastAsia="宋体" w:cs="宋体"/>
                <w:i w:val="0"/>
                <w:iCs w:val="0"/>
                <w:caps w:val="0"/>
                <w:color w:val="auto"/>
                <w:spacing w:val="0"/>
                <w:sz w:val="21"/>
                <w:szCs w:val="21"/>
                <w:highlight w:val="none"/>
                <w:shd w:val="clear" w:color="auto" w:fill="auto"/>
                <w:lang w:val="en-US" w:eastAsia="zh-CN"/>
              </w:rPr>
              <w:t>1种</w:t>
            </w:r>
          </w:p>
        </w:tc>
        <w:tc>
          <w:tcPr>
            <w:tcW w:w="1312" w:type="dxa"/>
            <w:noWrap w:val="0"/>
            <w:vAlign w:val="center"/>
          </w:tcPr>
          <w:p w14:paraId="3AC52283">
            <w:pPr>
              <w:keepNext w:val="0"/>
              <w:keepLines w:val="0"/>
              <w:pageBreakBefore w:val="0"/>
              <w:widowControl w:val="0"/>
              <w:shd w:val="clear" w:color="auto" w:fill="auto"/>
              <w:kinsoku/>
              <w:wordWrap/>
              <w:overflowPunct w:val="0"/>
              <w:topLinePunct w:val="0"/>
              <w:autoSpaceDE w:val="0"/>
              <w:autoSpaceDN w:val="0"/>
              <w:bidi w:val="0"/>
              <w:spacing w:line="300" w:lineRule="exact"/>
              <w:jc w:val="center"/>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r>
      <w:tr w14:paraId="461C4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758" w:type="dxa"/>
            <w:vMerge w:val="continue"/>
            <w:noWrap w:val="0"/>
            <w:vAlign w:val="center"/>
          </w:tcPr>
          <w:p w14:paraId="168EF549">
            <w:pPr>
              <w:keepNext w:val="0"/>
              <w:keepLines w:val="0"/>
              <w:pageBreakBefore w:val="0"/>
              <w:widowControl w:val="0"/>
              <w:shd w:val="clear" w:color="auto" w:fill="auto"/>
              <w:kinsoku/>
              <w:wordWrap/>
              <w:topLinePunct w:val="0"/>
              <w:autoSpaceDE w:val="0"/>
              <w:autoSpaceDN w:val="0"/>
              <w:bidi w:val="0"/>
              <w:adjustRightInd/>
              <w:snapToGrid/>
              <w:spacing w:line="300" w:lineRule="exact"/>
              <w:jc w:val="center"/>
              <w:textAlignment w:val="baseline"/>
              <w:rPr>
                <w:rFonts w:hint="eastAsia" w:ascii="宋体" w:hAnsi="宋体" w:eastAsia="宋体" w:cs="宋体"/>
                <w:color w:val="auto"/>
                <w:sz w:val="21"/>
                <w:szCs w:val="21"/>
                <w:highlight w:val="none"/>
              </w:rPr>
            </w:pPr>
          </w:p>
        </w:tc>
        <w:tc>
          <w:tcPr>
            <w:tcW w:w="5609" w:type="dxa"/>
            <w:noWrap w:val="0"/>
            <w:vAlign w:val="center"/>
          </w:tcPr>
          <w:p w14:paraId="08DFE286">
            <w:pPr>
              <w:pStyle w:val="11"/>
              <w:keepNext w:val="0"/>
              <w:keepLines w:val="0"/>
              <w:pageBreakBefore w:val="0"/>
              <w:widowControl w:val="0"/>
              <w:shd w:val="clear" w:color="auto" w:fill="auto"/>
              <w:kinsoku/>
              <w:wordWrap/>
              <w:overflowPunct/>
              <w:topLinePunct w:val="0"/>
              <w:autoSpaceDE w:val="0"/>
              <w:autoSpaceDN w:val="0"/>
              <w:bidi w:val="0"/>
              <w:adjustRightInd/>
              <w:snapToGrid/>
              <w:ind w:left="0" w:leftChars="0" w:right="0" w:rightChars="0" w:firstLine="420" w:firstLineChars="200"/>
              <w:textAlignment w:val="baseline"/>
              <w:rPr>
                <w:rFonts w:hint="eastAsia" w:ascii="宋体" w:hAnsi="宋体" w:eastAsia="宋体" w:cs="宋体"/>
                <w:i w:val="0"/>
                <w:iCs w:val="0"/>
                <w:caps w:val="0"/>
                <w:color w:val="auto"/>
                <w:spacing w:val="0"/>
                <w:sz w:val="21"/>
                <w:szCs w:val="21"/>
                <w:highlight w:val="none"/>
                <w:shd w:val="clear" w:color="auto" w:fill="auto"/>
                <w:lang w:val="en-US" w:eastAsia="zh-CN"/>
              </w:rPr>
            </w:pPr>
            <w:r>
              <w:rPr>
                <w:rFonts w:hint="eastAsia" w:ascii="宋体" w:hAnsi="宋体" w:eastAsia="宋体" w:cs="宋体"/>
                <w:i w:val="0"/>
                <w:iCs w:val="0"/>
                <w:caps w:val="0"/>
                <w:color w:val="auto"/>
                <w:spacing w:val="0"/>
                <w:sz w:val="21"/>
                <w:szCs w:val="21"/>
                <w:highlight w:val="none"/>
                <w:shd w:val="clear" w:color="auto" w:fill="auto"/>
                <w:lang w:val="en-US" w:eastAsia="zh-CN"/>
              </w:rPr>
              <w:t>2种</w:t>
            </w:r>
          </w:p>
        </w:tc>
        <w:tc>
          <w:tcPr>
            <w:tcW w:w="1312" w:type="dxa"/>
            <w:noWrap w:val="0"/>
            <w:vAlign w:val="center"/>
          </w:tcPr>
          <w:p w14:paraId="31655E33">
            <w:pPr>
              <w:keepNext w:val="0"/>
              <w:keepLines w:val="0"/>
              <w:pageBreakBefore w:val="0"/>
              <w:widowControl w:val="0"/>
              <w:shd w:val="clear" w:color="auto" w:fill="auto"/>
              <w:kinsoku/>
              <w:wordWrap/>
              <w:overflowPunct w:val="0"/>
              <w:topLinePunct w:val="0"/>
              <w:autoSpaceDE w:val="0"/>
              <w:autoSpaceDN w:val="0"/>
              <w:bidi w:val="0"/>
              <w:spacing w:line="300" w:lineRule="exact"/>
              <w:jc w:val="center"/>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r>
      <w:tr w14:paraId="1CB74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758" w:type="dxa"/>
            <w:vMerge w:val="continue"/>
            <w:noWrap w:val="0"/>
            <w:vAlign w:val="center"/>
          </w:tcPr>
          <w:p w14:paraId="4C8AF3EA">
            <w:pPr>
              <w:keepNext w:val="0"/>
              <w:keepLines w:val="0"/>
              <w:pageBreakBefore w:val="0"/>
              <w:widowControl w:val="0"/>
              <w:shd w:val="clear" w:color="auto" w:fill="auto"/>
              <w:kinsoku/>
              <w:wordWrap/>
              <w:topLinePunct w:val="0"/>
              <w:autoSpaceDE w:val="0"/>
              <w:autoSpaceDN w:val="0"/>
              <w:bidi w:val="0"/>
              <w:adjustRightInd/>
              <w:snapToGrid/>
              <w:spacing w:line="300" w:lineRule="exact"/>
              <w:jc w:val="center"/>
              <w:textAlignment w:val="baseline"/>
              <w:rPr>
                <w:rFonts w:hint="eastAsia" w:ascii="宋体" w:hAnsi="宋体" w:eastAsia="宋体" w:cs="宋体"/>
                <w:color w:val="auto"/>
                <w:sz w:val="21"/>
                <w:szCs w:val="21"/>
                <w:highlight w:val="none"/>
              </w:rPr>
            </w:pPr>
          </w:p>
        </w:tc>
        <w:tc>
          <w:tcPr>
            <w:tcW w:w="5609" w:type="dxa"/>
            <w:noWrap w:val="0"/>
            <w:vAlign w:val="center"/>
          </w:tcPr>
          <w:p w14:paraId="19AA65B9">
            <w:pPr>
              <w:pStyle w:val="11"/>
              <w:keepNext w:val="0"/>
              <w:keepLines w:val="0"/>
              <w:pageBreakBefore w:val="0"/>
              <w:widowControl w:val="0"/>
              <w:shd w:val="clear" w:color="auto" w:fill="auto"/>
              <w:kinsoku/>
              <w:wordWrap/>
              <w:overflowPunct/>
              <w:topLinePunct w:val="0"/>
              <w:autoSpaceDE w:val="0"/>
              <w:autoSpaceDN w:val="0"/>
              <w:bidi w:val="0"/>
              <w:adjustRightInd/>
              <w:snapToGrid/>
              <w:ind w:left="0" w:leftChars="0" w:right="0" w:rightChars="0" w:firstLine="420" w:firstLineChars="200"/>
              <w:textAlignment w:val="baseline"/>
              <w:rPr>
                <w:rFonts w:hint="eastAsia" w:ascii="宋体" w:hAnsi="宋体" w:eastAsia="宋体" w:cs="宋体"/>
                <w:i w:val="0"/>
                <w:iCs w:val="0"/>
                <w:caps w:val="0"/>
                <w:color w:val="auto"/>
                <w:spacing w:val="0"/>
                <w:sz w:val="21"/>
                <w:szCs w:val="21"/>
                <w:highlight w:val="none"/>
                <w:shd w:val="clear" w:color="auto" w:fill="auto"/>
                <w:lang w:val="en-US" w:eastAsia="zh-CN"/>
              </w:rPr>
            </w:pPr>
            <w:r>
              <w:rPr>
                <w:rFonts w:hint="eastAsia" w:ascii="宋体" w:hAnsi="宋体" w:eastAsia="宋体" w:cs="宋体"/>
                <w:i w:val="0"/>
                <w:iCs w:val="0"/>
                <w:caps w:val="0"/>
                <w:color w:val="auto"/>
                <w:spacing w:val="0"/>
                <w:sz w:val="21"/>
                <w:szCs w:val="21"/>
                <w:highlight w:val="none"/>
                <w:shd w:val="clear" w:color="auto" w:fill="auto"/>
                <w:lang w:val="en-US" w:eastAsia="zh-CN"/>
              </w:rPr>
              <w:t>3种及以上</w:t>
            </w:r>
          </w:p>
        </w:tc>
        <w:tc>
          <w:tcPr>
            <w:tcW w:w="1312" w:type="dxa"/>
            <w:noWrap w:val="0"/>
            <w:vAlign w:val="center"/>
          </w:tcPr>
          <w:p w14:paraId="2C3977BE">
            <w:pPr>
              <w:keepNext w:val="0"/>
              <w:keepLines w:val="0"/>
              <w:pageBreakBefore w:val="0"/>
              <w:widowControl w:val="0"/>
              <w:shd w:val="clear" w:color="auto" w:fill="auto"/>
              <w:kinsoku/>
              <w:wordWrap/>
              <w:overflowPunct w:val="0"/>
              <w:topLinePunct w:val="0"/>
              <w:autoSpaceDE w:val="0"/>
              <w:autoSpaceDN w:val="0"/>
              <w:bidi w:val="0"/>
              <w:spacing w:line="300" w:lineRule="exact"/>
              <w:jc w:val="center"/>
              <w:textAlignment w:val="baseline"/>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5</w:t>
            </w:r>
          </w:p>
        </w:tc>
      </w:tr>
      <w:tr w14:paraId="3DF82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758" w:type="dxa"/>
            <w:vMerge w:val="restart"/>
            <w:noWrap w:val="0"/>
            <w:vAlign w:val="center"/>
          </w:tcPr>
          <w:p w14:paraId="44B6C66B">
            <w:pPr>
              <w:keepNext w:val="0"/>
              <w:keepLines w:val="0"/>
              <w:pageBreakBefore w:val="0"/>
              <w:widowControl w:val="0"/>
              <w:shd w:val="clear" w:color="auto" w:fill="auto"/>
              <w:kinsoku/>
              <w:wordWrap/>
              <w:topLinePunct w:val="0"/>
              <w:autoSpaceDE w:val="0"/>
              <w:autoSpaceDN w:val="0"/>
              <w:bidi w:val="0"/>
              <w:adjustRightInd/>
              <w:snapToGrid/>
              <w:spacing w:line="300" w:lineRule="exac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化学物质数量</w:t>
            </w:r>
          </w:p>
        </w:tc>
        <w:tc>
          <w:tcPr>
            <w:tcW w:w="5609" w:type="dxa"/>
            <w:noWrap w:val="0"/>
            <w:vAlign w:val="center"/>
          </w:tcPr>
          <w:p w14:paraId="4125B555">
            <w:pPr>
              <w:pStyle w:val="11"/>
              <w:keepNext w:val="0"/>
              <w:keepLines w:val="0"/>
              <w:pageBreakBefore w:val="0"/>
              <w:widowControl w:val="0"/>
              <w:shd w:val="clear" w:color="auto" w:fill="auto"/>
              <w:kinsoku/>
              <w:wordWrap/>
              <w:overflowPunct/>
              <w:topLinePunct w:val="0"/>
              <w:autoSpaceDE w:val="0"/>
              <w:autoSpaceDN w:val="0"/>
              <w:bidi w:val="0"/>
              <w:adjustRightInd/>
              <w:snapToGrid/>
              <w:ind w:left="0" w:leftChars="0" w:right="0" w:rightChars="0" w:firstLine="420" w:firstLineChars="200"/>
              <w:textAlignment w:val="baseline"/>
              <w:rPr>
                <w:rFonts w:hint="eastAsia" w:ascii="宋体" w:hAnsi="宋体" w:eastAsia="宋体" w:cs="宋体"/>
                <w:b/>
                <w:bCs/>
                <w:kern w:val="2"/>
                <w:sz w:val="21"/>
                <w:szCs w:val="21"/>
                <w:highlight w:val="none"/>
                <w:lang w:val="en-US" w:eastAsia="zh-CN" w:bidi="ar-SA"/>
              </w:rPr>
            </w:pPr>
            <w:r>
              <w:rPr>
                <w:rFonts w:hint="eastAsia" w:ascii="宋体" w:hAnsi="宋体" w:eastAsia="宋体" w:cs="宋体"/>
                <w:i w:val="0"/>
                <w:iCs w:val="0"/>
                <w:caps w:val="0"/>
                <w:color w:val="auto"/>
                <w:spacing w:val="0"/>
                <w:sz w:val="21"/>
                <w:szCs w:val="21"/>
                <w:highlight w:val="none"/>
                <w:shd w:val="clear" w:color="auto" w:fill="FFFFFF"/>
                <w:lang w:val="en-US" w:eastAsia="zh-CN"/>
              </w:rPr>
              <w:t>不足</w:t>
            </w:r>
            <w:r>
              <w:rPr>
                <w:rFonts w:hint="eastAsia" w:ascii="宋体" w:hAnsi="宋体" w:eastAsia="宋体" w:cs="宋体"/>
                <w:i w:val="0"/>
                <w:iCs w:val="0"/>
                <w:caps w:val="0"/>
                <w:color w:val="auto"/>
                <w:spacing w:val="0"/>
                <w:sz w:val="21"/>
                <w:szCs w:val="21"/>
                <w:highlight w:val="none"/>
                <w:shd w:val="clear" w:color="auto" w:fill="FFFFFF"/>
              </w:rPr>
              <w:t>1吨</w:t>
            </w:r>
          </w:p>
        </w:tc>
        <w:tc>
          <w:tcPr>
            <w:tcW w:w="1312" w:type="dxa"/>
            <w:noWrap w:val="0"/>
            <w:vAlign w:val="center"/>
          </w:tcPr>
          <w:p w14:paraId="2D696005">
            <w:pPr>
              <w:keepNext w:val="0"/>
              <w:keepLines w:val="0"/>
              <w:pageBreakBefore w:val="0"/>
              <w:widowControl w:val="0"/>
              <w:shd w:val="clear" w:color="auto" w:fill="auto"/>
              <w:kinsoku/>
              <w:wordWrap/>
              <w:overflowPunct w:val="0"/>
              <w:topLinePunct w:val="0"/>
              <w:autoSpaceDE w:val="0"/>
              <w:autoSpaceDN w:val="0"/>
              <w:bidi w:val="0"/>
              <w:spacing w:line="300" w:lineRule="exac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p>
        </w:tc>
      </w:tr>
      <w:tr w14:paraId="6FAE1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758" w:type="dxa"/>
            <w:vMerge w:val="continue"/>
            <w:noWrap w:val="0"/>
            <w:vAlign w:val="center"/>
          </w:tcPr>
          <w:p w14:paraId="251E60EA">
            <w:pPr>
              <w:keepNext w:val="0"/>
              <w:keepLines w:val="0"/>
              <w:pageBreakBefore w:val="0"/>
              <w:widowControl w:val="0"/>
              <w:shd w:val="clear" w:color="auto" w:fill="auto"/>
              <w:kinsoku/>
              <w:wordWrap/>
              <w:topLinePunct w:val="0"/>
              <w:autoSpaceDE w:val="0"/>
              <w:autoSpaceDN w:val="0"/>
              <w:bidi w:val="0"/>
              <w:adjustRightInd/>
              <w:snapToGrid/>
              <w:spacing w:line="300" w:lineRule="exact"/>
              <w:jc w:val="center"/>
              <w:textAlignment w:val="baseline"/>
              <w:rPr>
                <w:rFonts w:hint="eastAsia" w:ascii="宋体" w:hAnsi="宋体" w:eastAsia="宋体" w:cs="宋体"/>
                <w:color w:val="auto"/>
                <w:sz w:val="21"/>
                <w:szCs w:val="21"/>
                <w:highlight w:val="none"/>
              </w:rPr>
            </w:pPr>
          </w:p>
        </w:tc>
        <w:tc>
          <w:tcPr>
            <w:tcW w:w="5609" w:type="dxa"/>
            <w:noWrap w:val="0"/>
            <w:vAlign w:val="center"/>
          </w:tcPr>
          <w:p w14:paraId="62BBCDF6">
            <w:pPr>
              <w:pStyle w:val="11"/>
              <w:keepNext w:val="0"/>
              <w:keepLines w:val="0"/>
              <w:pageBreakBefore w:val="0"/>
              <w:widowControl w:val="0"/>
              <w:shd w:val="clear" w:color="auto" w:fill="auto"/>
              <w:kinsoku/>
              <w:wordWrap/>
              <w:overflowPunct/>
              <w:topLinePunct w:val="0"/>
              <w:autoSpaceDE w:val="0"/>
              <w:autoSpaceDN w:val="0"/>
              <w:bidi w:val="0"/>
              <w:adjustRightInd/>
              <w:snapToGrid/>
              <w:ind w:left="0" w:leftChars="0" w:right="0" w:rightChars="0" w:firstLine="420" w:firstLineChars="200"/>
              <w:textAlignment w:val="baseline"/>
              <w:rPr>
                <w:rFonts w:hint="eastAsia" w:ascii="宋体" w:hAnsi="宋体" w:eastAsia="宋体" w:cs="宋体"/>
                <w:b/>
                <w:bCs/>
                <w:kern w:val="2"/>
                <w:sz w:val="21"/>
                <w:szCs w:val="21"/>
                <w:highlight w:val="none"/>
                <w:lang w:val="en-US" w:eastAsia="zh-CN" w:bidi="ar-SA"/>
              </w:rPr>
            </w:pPr>
            <w:r>
              <w:rPr>
                <w:rFonts w:hint="eastAsia" w:ascii="宋体" w:hAnsi="宋体" w:eastAsia="宋体" w:cs="宋体"/>
                <w:i w:val="0"/>
                <w:iCs w:val="0"/>
                <w:caps w:val="0"/>
                <w:color w:val="auto"/>
                <w:spacing w:val="0"/>
                <w:sz w:val="21"/>
                <w:szCs w:val="21"/>
                <w:highlight w:val="none"/>
                <w:shd w:val="clear" w:color="auto" w:fill="FFFFFF"/>
              </w:rPr>
              <w:t>1吨以上</w:t>
            </w:r>
            <w:r>
              <w:rPr>
                <w:rFonts w:hint="eastAsia" w:ascii="宋体" w:hAnsi="宋体" w:eastAsia="宋体" w:cs="宋体"/>
                <w:i w:val="0"/>
                <w:iCs w:val="0"/>
                <w:caps w:val="0"/>
                <w:color w:val="auto"/>
                <w:spacing w:val="0"/>
                <w:sz w:val="21"/>
                <w:szCs w:val="21"/>
                <w:highlight w:val="none"/>
                <w:shd w:val="clear" w:color="auto" w:fill="FFFFFF"/>
                <w:lang w:val="en-US" w:eastAsia="zh-CN"/>
              </w:rPr>
              <w:t>不足</w:t>
            </w:r>
            <w:r>
              <w:rPr>
                <w:rFonts w:hint="eastAsia" w:ascii="宋体" w:hAnsi="宋体" w:eastAsia="宋体" w:cs="宋体"/>
                <w:i w:val="0"/>
                <w:iCs w:val="0"/>
                <w:caps w:val="0"/>
                <w:color w:val="auto"/>
                <w:spacing w:val="0"/>
                <w:sz w:val="21"/>
                <w:szCs w:val="21"/>
                <w:highlight w:val="none"/>
                <w:shd w:val="clear" w:color="auto" w:fill="FFFFFF"/>
              </w:rPr>
              <w:t>5吨</w:t>
            </w:r>
          </w:p>
        </w:tc>
        <w:tc>
          <w:tcPr>
            <w:tcW w:w="1312" w:type="dxa"/>
            <w:noWrap w:val="0"/>
            <w:vAlign w:val="center"/>
          </w:tcPr>
          <w:p w14:paraId="5CCAC9D9">
            <w:pPr>
              <w:keepNext w:val="0"/>
              <w:keepLines w:val="0"/>
              <w:pageBreakBefore w:val="0"/>
              <w:widowControl w:val="0"/>
              <w:shd w:val="clear" w:color="auto" w:fill="auto"/>
              <w:kinsoku/>
              <w:wordWrap/>
              <w:overflowPunct w:val="0"/>
              <w:topLinePunct w:val="0"/>
              <w:autoSpaceDE w:val="0"/>
              <w:autoSpaceDN w:val="0"/>
              <w:bidi w:val="0"/>
              <w:spacing w:line="300" w:lineRule="exac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p>
        </w:tc>
      </w:tr>
      <w:tr w14:paraId="690F3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758" w:type="dxa"/>
            <w:vMerge w:val="continue"/>
            <w:noWrap w:val="0"/>
            <w:vAlign w:val="center"/>
          </w:tcPr>
          <w:p w14:paraId="58AC3BAE">
            <w:pPr>
              <w:keepNext w:val="0"/>
              <w:keepLines w:val="0"/>
              <w:pageBreakBefore w:val="0"/>
              <w:widowControl w:val="0"/>
              <w:shd w:val="clear" w:color="auto" w:fill="auto"/>
              <w:kinsoku/>
              <w:wordWrap/>
              <w:topLinePunct w:val="0"/>
              <w:autoSpaceDE w:val="0"/>
              <w:autoSpaceDN w:val="0"/>
              <w:bidi w:val="0"/>
              <w:adjustRightInd/>
              <w:snapToGrid/>
              <w:spacing w:line="300" w:lineRule="exact"/>
              <w:jc w:val="center"/>
              <w:textAlignment w:val="baseline"/>
              <w:rPr>
                <w:rFonts w:hint="eastAsia" w:ascii="宋体" w:hAnsi="宋体" w:eastAsia="宋体" w:cs="宋体"/>
                <w:color w:val="auto"/>
                <w:sz w:val="21"/>
                <w:szCs w:val="21"/>
                <w:highlight w:val="none"/>
              </w:rPr>
            </w:pPr>
          </w:p>
        </w:tc>
        <w:tc>
          <w:tcPr>
            <w:tcW w:w="5609" w:type="dxa"/>
            <w:noWrap w:val="0"/>
            <w:vAlign w:val="center"/>
          </w:tcPr>
          <w:p w14:paraId="799C0323">
            <w:pPr>
              <w:pStyle w:val="11"/>
              <w:keepNext w:val="0"/>
              <w:keepLines w:val="0"/>
              <w:pageBreakBefore w:val="0"/>
              <w:widowControl w:val="0"/>
              <w:shd w:val="clear" w:color="auto" w:fill="auto"/>
              <w:kinsoku/>
              <w:wordWrap/>
              <w:overflowPunct/>
              <w:topLinePunct w:val="0"/>
              <w:autoSpaceDE w:val="0"/>
              <w:autoSpaceDN w:val="0"/>
              <w:bidi w:val="0"/>
              <w:adjustRightInd/>
              <w:snapToGrid/>
              <w:ind w:left="0" w:leftChars="0" w:right="0" w:rightChars="0" w:firstLine="420" w:firstLineChars="200"/>
              <w:textAlignment w:val="baseline"/>
              <w:rPr>
                <w:rFonts w:hint="eastAsia" w:ascii="宋体" w:hAnsi="宋体" w:eastAsia="宋体" w:cs="宋体"/>
                <w:b/>
                <w:bCs/>
                <w:kern w:val="2"/>
                <w:sz w:val="21"/>
                <w:szCs w:val="21"/>
                <w:highlight w:val="none"/>
                <w:lang w:val="en-US" w:eastAsia="zh-CN" w:bidi="ar-SA"/>
              </w:rPr>
            </w:pPr>
            <w:r>
              <w:rPr>
                <w:rFonts w:hint="eastAsia" w:ascii="宋体" w:hAnsi="宋体" w:eastAsia="宋体" w:cs="宋体"/>
                <w:i w:val="0"/>
                <w:iCs w:val="0"/>
                <w:caps w:val="0"/>
                <w:color w:val="auto"/>
                <w:spacing w:val="0"/>
                <w:sz w:val="21"/>
                <w:szCs w:val="21"/>
                <w:highlight w:val="none"/>
                <w:shd w:val="clear" w:color="auto" w:fill="FFFFFF"/>
              </w:rPr>
              <w:t>5吨以上</w:t>
            </w:r>
            <w:r>
              <w:rPr>
                <w:rFonts w:hint="eastAsia" w:ascii="宋体" w:hAnsi="宋体" w:eastAsia="宋体" w:cs="宋体"/>
                <w:i w:val="0"/>
                <w:iCs w:val="0"/>
                <w:caps w:val="0"/>
                <w:color w:val="auto"/>
                <w:spacing w:val="0"/>
                <w:sz w:val="21"/>
                <w:szCs w:val="21"/>
                <w:highlight w:val="none"/>
                <w:shd w:val="clear" w:color="auto" w:fill="FFFFFF"/>
                <w:lang w:val="en-US" w:eastAsia="zh-CN"/>
              </w:rPr>
              <w:t>不足</w:t>
            </w:r>
            <w:r>
              <w:rPr>
                <w:rFonts w:hint="eastAsia" w:ascii="宋体" w:hAnsi="宋体" w:eastAsia="宋体" w:cs="宋体"/>
                <w:i w:val="0"/>
                <w:iCs w:val="0"/>
                <w:caps w:val="0"/>
                <w:color w:val="auto"/>
                <w:spacing w:val="0"/>
                <w:sz w:val="21"/>
                <w:szCs w:val="21"/>
                <w:highlight w:val="none"/>
                <w:shd w:val="clear" w:color="auto" w:fill="FFFFFF"/>
              </w:rPr>
              <w:t>10吨</w:t>
            </w:r>
          </w:p>
        </w:tc>
        <w:tc>
          <w:tcPr>
            <w:tcW w:w="1312" w:type="dxa"/>
            <w:noWrap w:val="0"/>
            <w:vAlign w:val="center"/>
          </w:tcPr>
          <w:p w14:paraId="75FB4820">
            <w:pPr>
              <w:keepNext w:val="0"/>
              <w:keepLines w:val="0"/>
              <w:pageBreakBefore w:val="0"/>
              <w:widowControl w:val="0"/>
              <w:shd w:val="clear" w:color="auto" w:fill="auto"/>
              <w:kinsoku/>
              <w:wordWrap/>
              <w:overflowPunct w:val="0"/>
              <w:topLinePunct w:val="0"/>
              <w:autoSpaceDE w:val="0"/>
              <w:autoSpaceDN w:val="0"/>
              <w:bidi w:val="0"/>
              <w:spacing w:line="300" w:lineRule="exac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p>
        </w:tc>
      </w:tr>
      <w:tr w14:paraId="7A500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758" w:type="dxa"/>
            <w:vMerge w:val="continue"/>
            <w:noWrap w:val="0"/>
            <w:vAlign w:val="center"/>
          </w:tcPr>
          <w:p w14:paraId="46EC9184">
            <w:pPr>
              <w:keepNext w:val="0"/>
              <w:keepLines w:val="0"/>
              <w:pageBreakBefore w:val="0"/>
              <w:widowControl w:val="0"/>
              <w:shd w:val="clear" w:color="auto" w:fill="auto"/>
              <w:kinsoku/>
              <w:wordWrap/>
              <w:topLinePunct w:val="0"/>
              <w:autoSpaceDE w:val="0"/>
              <w:autoSpaceDN w:val="0"/>
              <w:bidi w:val="0"/>
              <w:adjustRightInd/>
              <w:snapToGrid/>
              <w:spacing w:line="300" w:lineRule="exact"/>
              <w:jc w:val="center"/>
              <w:textAlignment w:val="baseline"/>
              <w:rPr>
                <w:rFonts w:hint="eastAsia" w:ascii="宋体" w:hAnsi="宋体" w:eastAsia="宋体" w:cs="宋体"/>
                <w:color w:val="auto"/>
                <w:sz w:val="21"/>
                <w:szCs w:val="21"/>
                <w:highlight w:val="none"/>
              </w:rPr>
            </w:pPr>
          </w:p>
        </w:tc>
        <w:tc>
          <w:tcPr>
            <w:tcW w:w="5609" w:type="dxa"/>
            <w:noWrap w:val="0"/>
            <w:vAlign w:val="center"/>
          </w:tcPr>
          <w:p w14:paraId="48F8A600">
            <w:pPr>
              <w:pStyle w:val="11"/>
              <w:keepNext w:val="0"/>
              <w:keepLines w:val="0"/>
              <w:pageBreakBefore w:val="0"/>
              <w:widowControl w:val="0"/>
              <w:shd w:val="clear" w:color="auto" w:fill="auto"/>
              <w:kinsoku/>
              <w:wordWrap/>
              <w:overflowPunct/>
              <w:topLinePunct w:val="0"/>
              <w:autoSpaceDE w:val="0"/>
              <w:autoSpaceDN w:val="0"/>
              <w:bidi w:val="0"/>
              <w:adjustRightInd/>
              <w:snapToGrid/>
              <w:ind w:left="0" w:leftChars="0" w:right="0" w:rightChars="0" w:firstLine="420" w:firstLineChars="200"/>
              <w:textAlignment w:val="baseline"/>
              <w:rPr>
                <w:rFonts w:hint="eastAsia" w:ascii="宋体" w:hAnsi="宋体" w:eastAsia="宋体" w:cs="宋体"/>
                <w:b/>
                <w:bCs/>
                <w:kern w:val="2"/>
                <w:sz w:val="21"/>
                <w:szCs w:val="21"/>
                <w:highlight w:val="none"/>
                <w:lang w:val="en-US" w:eastAsia="zh-CN" w:bidi="ar-SA"/>
              </w:rPr>
            </w:pPr>
            <w:r>
              <w:rPr>
                <w:rFonts w:hint="eastAsia" w:ascii="宋体" w:hAnsi="宋体" w:eastAsia="宋体" w:cs="宋体"/>
                <w:i w:val="0"/>
                <w:iCs w:val="0"/>
                <w:caps w:val="0"/>
                <w:color w:val="auto"/>
                <w:spacing w:val="0"/>
                <w:sz w:val="21"/>
                <w:szCs w:val="21"/>
                <w:highlight w:val="none"/>
                <w:shd w:val="clear" w:color="auto" w:fill="FFFFFF"/>
              </w:rPr>
              <w:t>10吨以上</w:t>
            </w:r>
            <w:r>
              <w:rPr>
                <w:rFonts w:hint="eastAsia" w:ascii="宋体" w:hAnsi="宋体" w:eastAsia="宋体" w:cs="宋体"/>
                <w:i w:val="0"/>
                <w:iCs w:val="0"/>
                <w:caps w:val="0"/>
                <w:color w:val="auto"/>
                <w:spacing w:val="0"/>
                <w:sz w:val="21"/>
                <w:szCs w:val="21"/>
                <w:highlight w:val="none"/>
                <w:shd w:val="clear" w:color="auto" w:fill="FFFFFF"/>
                <w:lang w:val="en-US" w:eastAsia="zh-CN"/>
              </w:rPr>
              <w:t>不足</w:t>
            </w:r>
            <w:r>
              <w:rPr>
                <w:rFonts w:hint="eastAsia" w:ascii="宋体" w:hAnsi="宋体" w:eastAsia="宋体" w:cs="宋体"/>
                <w:i w:val="0"/>
                <w:iCs w:val="0"/>
                <w:caps w:val="0"/>
                <w:color w:val="auto"/>
                <w:spacing w:val="0"/>
                <w:sz w:val="21"/>
                <w:szCs w:val="21"/>
                <w:highlight w:val="none"/>
                <w:shd w:val="clear" w:color="auto" w:fill="FFFFFF"/>
              </w:rPr>
              <w:t>50吨</w:t>
            </w:r>
          </w:p>
        </w:tc>
        <w:tc>
          <w:tcPr>
            <w:tcW w:w="1312" w:type="dxa"/>
            <w:noWrap w:val="0"/>
            <w:vAlign w:val="center"/>
          </w:tcPr>
          <w:p w14:paraId="3FE73DEA">
            <w:pPr>
              <w:keepNext w:val="0"/>
              <w:keepLines w:val="0"/>
              <w:pageBreakBefore w:val="0"/>
              <w:widowControl w:val="0"/>
              <w:shd w:val="clear" w:color="auto" w:fill="auto"/>
              <w:kinsoku/>
              <w:wordWrap/>
              <w:overflowPunct w:val="0"/>
              <w:topLinePunct w:val="0"/>
              <w:autoSpaceDE w:val="0"/>
              <w:autoSpaceDN w:val="0"/>
              <w:bidi w:val="0"/>
              <w:spacing w:line="300" w:lineRule="exac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p>
        </w:tc>
      </w:tr>
      <w:tr w14:paraId="03B40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758" w:type="dxa"/>
            <w:vMerge w:val="continue"/>
            <w:noWrap w:val="0"/>
            <w:vAlign w:val="center"/>
          </w:tcPr>
          <w:p w14:paraId="001C316B">
            <w:pPr>
              <w:keepNext w:val="0"/>
              <w:keepLines w:val="0"/>
              <w:pageBreakBefore w:val="0"/>
              <w:widowControl w:val="0"/>
              <w:shd w:val="clear" w:color="auto" w:fill="auto"/>
              <w:kinsoku/>
              <w:wordWrap/>
              <w:topLinePunct w:val="0"/>
              <w:autoSpaceDE w:val="0"/>
              <w:autoSpaceDN w:val="0"/>
              <w:bidi w:val="0"/>
              <w:adjustRightInd/>
              <w:snapToGrid/>
              <w:spacing w:line="300" w:lineRule="exact"/>
              <w:jc w:val="center"/>
              <w:textAlignment w:val="baseline"/>
              <w:rPr>
                <w:rFonts w:hint="eastAsia" w:ascii="宋体" w:hAnsi="宋体" w:eastAsia="宋体" w:cs="宋体"/>
                <w:color w:val="auto"/>
                <w:sz w:val="21"/>
                <w:szCs w:val="21"/>
                <w:highlight w:val="none"/>
              </w:rPr>
            </w:pPr>
          </w:p>
        </w:tc>
        <w:tc>
          <w:tcPr>
            <w:tcW w:w="5609" w:type="dxa"/>
            <w:noWrap w:val="0"/>
            <w:vAlign w:val="center"/>
          </w:tcPr>
          <w:p w14:paraId="7F4DC2F6">
            <w:pPr>
              <w:pStyle w:val="11"/>
              <w:keepNext w:val="0"/>
              <w:keepLines w:val="0"/>
              <w:pageBreakBefore w:val="0"/>
              <w:widowControl w:val="0"/>
              <w:shd w:val="clear" w:color="auto" w:fill="auto"/>
              <w:kinsoku/>
              <w:wordWrap/>
              <w:overflowPunct/>
              <w:topLinePunct w:val="0"/>
              <w:autoSpaceDE w:val="0"/>
              <w:autoSpaceDN w:val="0"/>
              <w:bidi w:val="0"/>
              <w:adjustRightInd/>
              <w:snapToGrid/>
              <w:ind w:left="0" w:leftChars="0" w:right="0" w:rightChars="0" w:firstLine="420" w:firstLineChars="200"/>
              <w:textAlignment w:val="baseline"/>
              <w:rPr>
                <w:rFonts w:hint="eastAsia" w:ascii="宋体" w:hAnsi="宋体" w:eastAsia="宋体" w:cs="宋体"/>
                <w:b/>
                <w:bCs/>
                <w:kern w:val="2"/>
                <w:sz w:val="21"/>
                <w:szCs w:val="21"/>
                <w:highlight w:val="none"/>
                <w:lang w:val="en-US" w:eastAsia="zh-CN" w:bidi="ar-SA"/>
              </w:rPr>
            </w:pPr>
            <w:r>
              <w:rPr>
                <w:rFonts w:hint="eastAsia" w:ascii="宋体" w:hAnsi="宋体" w:eastAsia="宋体" w:cs="宋体"/>
                <w:i w:val="0"/>
                <w:iCs w:val="0"/>
                <w:caps w:val="0"/>
                <w:color w:val="auto"/>
                <w:spacing w:val="0"/>
                <w:sz w:val="21"/>
                <w:szCs w:val="21"/>
                <w:highlight w:val="none"/>
                <w:shd w:val="clear" w:color="auto" w:fill="FFFFFF"/>
              </w:rPr>
              <w:t>50吨以上</w:t>
            </w:r>
          </w:p>
        </w:tc>
        <w:tc>
          <w:tcPr>
            <w:tcW w:w="1312" w:type="dxa"/>
            <w:noWrap w:val="0"/>
            <w:vAlign w:val="center"/>
          </w:tcPr>
          <w:p w14:paraId="17976EF6">
            <w:pPr>
              <w:keepNext w:val="0"/>
              <w:keepLines w:val="0"/>
              <w:pageBreakBefore w:val="0"/>
              <w:widowControl w:val="0"/>
              <w:shd w:val="clear" w:color="auto" w:fill="auto"/>
              <w:kinsoku/>
              <w:wordWrap/>
              <w:overflowPunct w:val="0"/>
              <w:topLinePunct w:val="0"/>
              <w:autoSpaceDE w:val="0"/>
              <w:autoSpaceDN w:val="0"/>
              <w:bidi w:val="0"/>
              <w:spacing w:line="300" w:lineRule="exac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p>
        </w:tc>
      </w:tr>
    </w:tbl>
    <w:p w14:paraId="2678367E">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p w14:paraId="63D8417E">
      <w:pPr>
        <w:rPr>
          <w:rFonts w:hint="eastAsia" w:ascii="宋体" w:hAnsi="宋体" w:eastAsia="宋体" w:cs="宋体"/>
          <w:sz w:val="21"/>
          <w:szCs w:val="21"/>
          <w:highlight w:val="none"/>
        </w:rPr>
      </w:pPr>
    </w:p>
    <w:tbl>
      <w:tblPr>
        <w:tblStyle w:val="8"/>
        <w:tblW w:w="509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44"/>
        <w:gridCol w:w="5893"/>
        <w:gridCol w:w="1376"/>
      </w:tblGrid>
      <w:tr w14:paraId="5CEFD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8679" w:type="dxa"/>
            <w:gridSpan w:val="3"/>
            <w:noWrap w:val="0"/>
            <w:vAlign w:val="center"/>
          </w:tcPr>
          <w:p w14:paraId="08349180">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（十一）化学物质污染风险管控、电磁辐射和光污染防治类</w:t>
            </w:r>
          </w:p>
        </w:tc>
      </w:tr>
      <w:tr w14:paraId="7A3AF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757" w:type="dxa"/>
            <w:noWrap w:val="0"/>
            <w:vAlign w:val="center"/>
          </w:tcPr>
          <w:p w14:paraId="10D5D05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922" w:type="dxa"/>
            <w:gridSpan w:val="2"/>
            <w:noWrap w:val="0"/>
            <w:vAlign w:val="center"/>
          </w:tcPr>
          <w:p w14:paraId="2879946B">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r>
      <w:tr w14:paraId="51345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1757" w:type="dxa"/>
            <w:noWrap w:val="0"/>
            <w:vAlign w:val="center"/>
          </w:tcPr>
          <w:p w14:paraId="4C375CA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6922" w:type="dxa"/>
            <w:gridSpan w:val="2"/>
            <w:noWrap w:val="0"/>
            <w:vAlign w:val="center"/>
          </w:tcPr>
          <w:p w14:paraId="074BD572">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不按照新化学物质环境管理登记证的要求生产、进口新化学物质的</w:t>
            </w:r>
          </w:p>
        </w:tc>
      </w:tr>
      <w:tr w14:paraId="776FA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8" w:hRule="atLeast"/>
          <w:jc w:val="center"/>
        </w:trPr>
        <w:tc>
          <w:tcPr>
            <w:tcW w:w="1757" w:type="dxa"/>
            <w:noWrap w:val="0"/>
            <w:vAlign w:val="center"/>
          </w:tcPr>
          <w:p w14:paraId="4EFE9F5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6922" w:type="dxa"/>
            <w:gridSpan w:val="2"/>
            <w:noWrap w:val="0"/>
            <w:vAlign w:val="center"/>
          </w:tcPr>
          <w:p w14:paraId="08DFCD98">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《中华人民共和国生态环境法典》第六百五十一条 禁止无新化学物质环境管理登记证或者不按照新化学物质环境管理登记证的要求生产、进口新化学物质。禁止使用无新化学物质环境管理登记证的企业事业单位生产、进口的新化学物质生产产品。</w:t>
            </w:r>
          </w:p>
        </w:tc>
      </w:tr>
      <w:tr w14:paraId="446F6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3" w:hRule="atLeast"/>
          <w:jc w:val="center"/>
        </w:trPr>
        <w:tc>
          <w:tcPr>
            <w:tcW w:w="1757" w:type="dxa"/>
            <w:noWrap w:val="0"/>
            <w:vAlign w:val="center"/>
          </w:tcPr>
          <w:p w14:paraId="51C4426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6922" w:type="dxa"/>
            <w:gridSpan w:val="2"/>
            <w:noWrap w:val="0"/>
            <w:vAlign w:val="center"/>
          </w:tcPr>
          <w:p w14:paraId="24166AB3">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《中华人民共和国生态环境法典》第一千二百零六条  违反本法规定，不按照新化学物质环境管理登记证的要求生产、进口新化学物质的，由生态环境主管部门或者其他负有化学物质生产、进口监督管理职责的部门按照职责分工责令改正，处二十万元以上一百万元以下的罚款；拒不改正的，处一百万元以上二百万元以下的罚款，责令限制生产、停产整治</w:t>
            </w:r>
            <w:r>
              <w:rPr>
                <w:rFonts w:hint="eastAsia" w:ascii="宋体" w:cs="宋体"/>
                <w:color w:val="auto"/>
                <w:szCs w:val="21"/>
              </w:rPr>
              <w:t>；</w:t>
            </w:r>
            <w:r>
              <w:rPr>
                <w:rFonts w:hint="eastAsia" w:ascii="宋体" w:cs="宋体"/>
                <w:color w:val="auto"/>
                <w:szCs w:val="21"/>
                <w:lang w:eastAsia="zh-CN"/>
              </w:rPr>
              <w:t>……</w:t>
            </w:r>
            <w:r>
              <w:rPr>
                <w:rFonts w:hint="eastAsia" w:ascii="宋体" w:hAnsi="宋体" w:eastAsia="宋体" w:cs="宋体"/>
                <w:color w:val="auto"/>
                <w:sz w:val="21"/>
                <w:szCs w:val="21"/>
                <w:highlight w:val="none"/>
              </w:rPr>
              <w:t>。</w:t>
            </w:r>
          </w:p>
        </w:tc>
      </w:tr>
      <w:tr w14:paraId="1FB8F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757" w:type="dxa"/>
            <w:noWrap w:val="0"/>
            <w:vAlign w:val="center"/>
          </w:tcPr>
          <w:p w14:paraId="02D7543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612" w:type="dxa"/>
            <w:noWrap w:val="0"/>
            <w:vAlign w:val="center"/>
          </w:tcPr>
          <w:p w14:paraId="1D34907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310" w:type="dxa"/>
            <w:noWrap w:val="0"/>
            <w:vAlign w:val="center"/>
          </w:tcPr>
          <w:p w14:paraId="60CD02D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0F49A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757" w:type="dxa"/>
            <w:vMerge w:val="restart"/>
            <w:noWrap w:val="0"/>
            <w:vAlign w:val="center"/>
          </w:tcPr>
          <w:p w14:paraId="43F5E5C7">
            <w:pPr>
              <w:keepNext w:val="0"/>
              <w:keepLines w:val="0"/>
              <w:pageBreakBefore w:val="0"/>
              <w:widowControl w:val="0"/>
              <w:shd w:val="clear" w:color="auto" w:fill="auto"/>
              <w:kinsoku/>
              <w:wordWrap/>
              <w:topLinePunct w:val="0"/>
              <w:autoSpaceDE w:val="0"/>
              <w:autoSpaceDN w:val="0"/>
              <w:bidi w:val="0"/>
              <w:adjustRightInd/>
              <w:snapToGrid/>
              <w:spacing w:line="300" w:lineRule="exac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化学物质种类</w:t>
            </w:r>
          </w:p>
        </w:tc>
        <w:tc>
          <w:tcPr>
            <w:tcW w:w="5612" w:type="dxa"/>
            <w:noWrap w:val="0"/>
            <w:vAlign w:val="center"/>
          </w:tcPr>
          <w:p w14:paraId="210887D3">
            <w:pPr>
              <w:pStyle w:val="11"/>
              <w:keepNext w:val="0"/>
              <w:keepLines w:val="0"/>
              <w:pageBreakBefore w:val="0"/>
              <w:widowControl w:val="0"/>
              <w:shd w:val="clear" w:color="auto" w:fill="auto"/>
              <w:kinsoku/>
              <w:wordWrap/>
              <w:overflowPunct/>
              <w:topLinePunct w:val="0"/>
              <w:autoSpaceDE w:val="0"/>
              <w:autoSpaceDN w:val="0"/>
              <w:bidi w:val="0"/>
              <w:adjustRightInd/>
              <w:snapToGrid/>
              <w:ind w:left="0" w:leftChars="0" w:right="0" w:rightChars="0"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i w:val="0"/>
                <w:iCs w:val="0"/>
                <w:caps w:val="0"/>
                <w:color w:val="auto"/>
                <w:spacing w:val="0"/>
                <w:sz w:val="21"/>
                <w:szCs w:val="21"/>
                <w:highlight w:val="none"/>
                <w:shd w:val="clear" w:color="auto" w:fill="auto"/>
                <w:lang w:val="en-US" w:eastAsia="zh-CN"/>
              </w:rPr>
              <w:t>1种</w:t>
            </w:r>
          </w:p>
        </w:tc>
        <w:tc>
          <w:tcPr>
            <w:tcW w:w="1310" w:type="dxa"/>
            <w:noWrap w:val="0"/>
            <w:vAlign w:val="center"/>
          </w:tcPr>
          <w:p w14:paraId="7317F3E0">
            <w:pPr>
              <w:keepNext w:val="0"/>
              <w:keepLines w:val="0"/>
              <w:pageBreakBefore w:val="0"/>
              <w:widowControl w:val="0"/>
              <w:shd w:val="clear" w:color="auto" w:fill="auto"/>
              <w:kinsoku/>
              <w:wordWrap/>
              <w:overflowPunct w:val="0"/>
              <w:topLinePunct w:val="0"/>
              <w:autoSpaceDE w:val="0"/>
              <w:autoSpaceDN w:val="0"/>
              <w:bidi w:val="0"/>
              <w:spacing w:line="300" w:lineRule="exac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p>
        </w:tc>
      </w:tr>
      <w:tr w14:paraId="00DFD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757" w:type="dxa"/>
            <w:vMerge w:val="continue"/>
            <w:noWrap w:val="0"/>
            <w:vAlign w:val="center"/>
          </w:tcPr>
          <w:p w14:paraId="5F209C32">
            <w:pPr>
              <w:keepNext w:val="0"/>
              <w:keepLines w:val="0"/>
              <w:pageBreakBefore w:val="0"/>
              <w:widowControl w:val="0"/>
              <w:shd w:val="clear" w:color="auto" w:fill="auto"/>
              <w:kinsoku/>
              <w:wordWrap/>
              <w:topLinePunct w:val="0"/>
              <w:autoSpaceDE w:val="0"/>
              <w:autoSpaceDN w:val="0"/>
              <w:bidi w:val="0"/>
              <w:adjustRightInd/>
              <w:snapToGrid/>
              <w:spacing w:line="300" w:lineRule="exact"/>
              <w:jc w:val="center"/>
              <w:textAlignment w:val="baseline"/>
              <w:rPr>
                <w:rFonts w:hint="eastAsia" w:ascii="宋体" w:hAnsi="宋体" w:eastAsia="宋体" w:cs="宋体"/>
                <w:color w:val="auto"/>
                <w:sz w:val="21"/>
                <w:szCs w:val="21"/>
                <w:highlight w:val="none"/>
              </w:rPr>
            </w:pPr>
          </w:p>
        </w:tc>
        <w:tc>
          <w:tcPr>
            <w:tcW w:w="5612" w:type="dxa"/>
            <w:noWrap w:val="0"/>
            <w:vAlign w:val="center"/>
          </w:tcPr>
          <w:p w14:paraId="08CD2BA2">
            <w:pPr>
              <w:pStyle w:val="11"/>
              <w:keepNext w:val="0"/>
              <w:keepLines w:val="0"/>
              <w:pageBreakBefore w:val="0"/>
              <w:widowControl w:val="0"/>
              <w:shd w:val="clear" w:color="auto" w:fill="auto"/>
              <w:kinsoku/>
              <w:wordWrap/>
              <w:overflowPunct/>
              <w:topLinePunct w:val="0"/>
              <w:autoSpaceDE w:val="0"/>
              <w:autoSpaceDN w:val="0"/>
              <w:bidi w:val="0"/>
              <w:adjustRightInd/>
              <w:snapToGrid/>
              <w:ind w:left="0" w:leftChars="0" w:right="0" w:rightChars="0"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i w:val="0"/>
                <w:iCs w:val="0"/>
                <w:caps w:val="0"/>
                <w:color w:val="auto"/>
                <w:spacing w:val="0"/>
                <w:sz w:val="21"/>
                <w:szCs w:val="21"/>
                <w:highlight w:val="none"/>
                <w:shd w:val="clear" w:color="auto" w:fill="auto"/>
                <w:lang w:val="en-US" w:eastAsia="zh-CN"/>
              </w:rPr>
              <w:t>2种</w:t>
            </w:r>
          </w:p>
        </w:tc>
        <w:tc>
          <w:tcPr>
            <w:tcW w:w="1310" w:type="dxa"/>
            <w:noWrap w:val="0"/>
            <w:vAlign w:val="center"/>
          </w:tcPr>
          <w:p w14:paraId="66C90213">
            <w:pPr>
              <w:keepNext w:val="0"/>
              <w:keepLines w:val="0"/>
              <w:pageBreakBefore w:val="0"/>
              <w:widowControl w:val="0"/>
              <w:shd w:val="clear" w:color="auto" w:fill="auto"/>
              <w:kinsoku/>
              <w:wordWrap/>
              <w:overflowPunct w:val="0"/>
              <w:topLinePunct w:val="0"/>
              <w:autoSpaceDE w:val="0"/>
              <w:autoSpaceDN w:val="0"/>
              <w:bidi w:val="0"/>
              <w:spacing w:line="300" w:lineRule="exac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p>
        </w:tc>
      </w:tr>
      <w:tr w14:paraId="0AC6E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757" w:type="dxa"/>
            <w:vMerge w:val="continue"/>
            <w:noWrap w:val="0"/>
            <w:vAlign w:val="center"/>
          </w:tcPr>
          <w:p w14:paraId="534E585D">
            <w:pPr>
              <w:keepNext w:val="0"/>
              <w:keepLines w:val="0"/>
              <w:pageBreakBefore w:val="0"/>
              <w:widowControl w:val="0"/>
              <w:shd w:val="clear" w:color="auto" w:fill="auto"/>
              <w:kinsoku/>
              <w:wordWrap/>
              <w:topLinePunct w:val="0"/>
              <w:autoSpaceDE w:val="0"/>
              <w:autoSpaceDN w:val="0"/>
              <w:bidi w:val="0"/>
              <w:adjustRightInd/>
              <w:snapToGrid/>
              <w:spacing w:line="300" w:lineRule="exact"/>
              <w:jc w:val="center"/>
              <w:textAlignment w:val="baseline"/>
              <w:rPr>
                <w:rFonts w:hint="eastAsia" w:ascii="宋体" w:hAnsi="宋体" w:eastAsia="宋体" w:cs="宋体"/>
                <w:color w:val="auto"/>
                <w:sz w:val="21"/>
                <w:szCs w:val="21"/>
                <w:highlight w:val="none"/>
              </w:rPr>
            </w:pPr>
          </w:p>
        </w:tc>
        <w:tc>
          <w:tcPr>
            <w:tcW w:w="5612" w:type="dxa"/>
            <w:noWrap w:val="0"/>
            <w:vAlign w:val="center"/>
          </w:tcPr>
          <w:p w14:paraId="6638A7D8">
            <w:pPr>
              <w:pStyle w:val="11"/>
              <w:keepNext w:val="0"/>
              <w:keepLines w:val="0"/>
              <w:pageBreakBefore w:val="0"/>
              <w:widowControl w:val="0"/>
              <w:shd w:val="clear" w:color="auto" w:fill="auto"/>
              <w:kinsoku/>
              <w:wordWrap/>
              <w:overflowPunct/>
              <w:topLinePunct w:val="0"/>
              <w:autoSpaceDE w:val="0"/>
              <w:autoSpaceDN w:val="0"/>
              <w:bidi w:val="0"/>
              <w:adjustRightInd/>
              <w:snapToGrid/>
              <w:ind w:left="0" w:leftChars="0" w:right="0" w:rightChars="0"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i w:val="0"/>
                <w:iCs w:val="0"/>
                <w:caps w:val="0"/>
                <w:color w:val="auto"/>
                <w:spacing w:val="0"/>
                <w:sz w:val="21"/>
                <w:szCs w:val="21"/>
                <w:highlight w:val="none"/>
                <w:shd w:val="clear" w:color="auto" w:fill="auto"/>
                <w:lang w:val="en-US" w:eastAsia="zh-CN"/>
              </w:rPr>
              <w:t>3种及以上</w:t>
            </w:r>
          </w:p>
        </w:tc>
        <w:tc>
          <w:tcPr>
            <w:tcW w:w="1310" w:type="dxa"/>
            <w:noWrap w:val="0"/>
            <w:vAlign w:val="center"/>
          </w:tcPr>
          <w:p w14:paraId="2D600BC8">
            <w:pPr>
              <w:keepNext w:val="0"/>
              <w:keepLines w:val="0"/>
              <w:pageBreakBefore w:val="0"/>
              <w:widowControl w:val="0"/>
              <w:shd w:val="clear" w:color="auto" w:fill="auto"/>
              <w:kinsoku/>
              <w:wordWrap/>
              <w:overflowPunct w:val="0"/>
              <w:topLinePunct w:val="0"/>
              <w:autoSpaceDE w:val="0"/>
              <w:autoSpaceDN w:val="0"/>
              <w:bidi w:val="0"/>
              <w:spacing w:line="300" w:lineRule="exact"/>
              <w:jc w:val="center"/>
              <w:textAlignment w:val="baseline"/>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5</w:t>
            </w:r>
          </w:p>
        </w:tc>
      </w:tr>
      <w:tr w14:paraId="44AA6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757" w:type="dxa"/>
            <w:vMerge w:val="restart"/>
            <w:noWrap w:val="0"/>
            <w:vAlign w:val="center"/>
          </w:tcPr>
          <w:p w14:paraId="62EAB816">
            <w:pPr>
              <w:keepNext w:val="0"/>
              <w:keepLines w:val="0"/>
              <w:pageBreakBefore w:val="0"/>
              <w:widowControl w:val="0"/>
              <w:shd w:val="clear" w:color="auto" w:fill="auto"/>
              <w:kinsoku/>
              <w:wordWrap/>
              <w:topLinePunct w:val="0"/>
              <w:autoSpaceDE w:val="0"/>
              <w:autoSpaceDN w:val="0"/>
              <w:bidi w:val="0"/>
              <w:adjustRightInd/>
              <w:snapToGrid/>
              <w:spacing w:line="300" w:lineRule="exac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化学物质数量</w:t>
            </w:r>
          </w:p>
        </w:tc>
        <w:tc>
          <w:tcPr>
            <w:tcW w:w="5612" w:type="dxa"/>
            <w:noWrap w:val="0"/>
            <w:vAlign w:val="center"/>
          </w:tcPr>
          <w:p w14:paraId="021B745D">
            <w:pPr>
              <w:pStyle w:val="11"/>
              <w:keepNext w:val="0"/>
              <w:keepLines w:val="0"/>
              <w:pageBreakBefore w:val="0"/>
              <w:widowControl w:val="0"/>
              <w:shd w:val="clear" w:color="auto" w:fill="auto"/>
              <w:kinsoku/>
              <w:wordWrap/>
              <w:overflowPunct/>
              <w:topLinePunct w:val="0"/>
              <w:autoSpaceDE w:val="0"/>
              <w:autoSpaceDN w:val="0"/>
              <w:bidi w:val="0"/>
              <w:adjustRightInd/>
              <w:snapToGrid/>
              <w:ind w:left="0" w:leftChars="0" w:right="0" w:rightChars="0" w:firstLine="420" w:firstLineChars="200"/>
              <w:textAlignment w:val="baseline"/>
              <w:rPr>
                <w:rFonts w:hint="eastAsia" w:ascii="宋体" w:hAnsi="宋体" w:eastAsia="宋体" w:cs="宋体"/>
                <w:b/>
                <w:bCs/>
                <w:sz w:val="21"/>
                <w:szCs w:val="21"/>
                <w:highlight w:val="none"/>
                <w:lang w:val="en-US" w:eastAsia="zh-CN"/>
              </w:rPr>
            </w:pPr>
            <w:r>
              <w:rPr>
                <w:rFonts w:hint="eastAsia" w:ascii="宋体" w:hAnsi="宋体" w:eastAsia="宋体" w:cs="宋体"/>
                <w:i w:val="0"/>
                <w:iCs w:val="0"/>
                <w:caps w:val="0"/>
                <w:color w:val="auto"/>
                <w:spacing w:val="0"/>
                <w:sz w:val="21"/>
                <w:szCs w:val="21"/>
                <w:highlight w:val="none"/>
                <w:shd w:val="clear" w:color="auto" w:fill="FFFFFF"/>
                <w:lang w:val="en-US" w:eastAsia="zh-CN"/>
              </w:rPr>
              <w:t>不足</w:t>
            </w:r>
            <w:r>
              <w:rPr>
                <w:rFonts w:hint="eastAsia" w:ascii="宋体" w:hAnsi="宋体" w:eastAsia="宋体" w:cs="宋体"/>
                <w:i w:val="0"/>
                <w:iCs w:val="0"/>
                <w:caps w:val="0"/>
                <w:color w:val="auto"/>
                <w:spacing w:val="0"/>
                <w:sz w:val="21"/>
                <w:szCs w:val="21"/>
                <w:highlight w:val="none"/>
                <w:shd w:val="clear" w:color="auto" w:fill="FFFFFF"/>
              </w:rPr>
              <w:t>1吨</w:t>
            </w:r>
          </w:p>
        </w:tc>
        <w:tc>
          <w:tcPr>
            <w:tcW w:w="1310" w:type="dxa"/>
            <w:noWrap w:val="0"/>
            <w:vAlign w:val="center"/>
          </w:tcPr>
          <w:p w14:paraId="585331C7">
            <w:pPr>
              <w:keepNext w:val="0"/>
              <w:keepLines w:val="0"/>
              <w:pageBreakBefore w:val="0"/>
              <w:widowControl w:val="0"/>
              <w:shd w:val="clear" w:color="auto" w:fill="auto"/>
              <w:kinsoku/>
              <w:wordWrap/>
              <w:overflowPunct w:val="0"/>
              <w:topLinePunct w:val="0"/>
              <w:autoSpaceDE w:val="0"/>
              <w:autoSpaceDN w:val="0"/>
              <w:bidi w:val="0"/>
              <w:spacing w:line="300" w:lineRule="exac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p>
        </w:tc>
      </w:tr>
      <w:tr w14:paraId="6218D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757" w:type="dxa"/>
            <w:vMerge w:val="continue"/>
            <w:noWrap w:val="0"/>
            <w:vAlign w:val="center"/>
          </w:tcPr>
          <w:p w14:paraId="54864E04">
            <w:pPr>
              <w:keepNext w:val="0"/>
              <w:keepLines w:val="0"/>
              <w:pageBreakBefore w:val="0"/>
              <w:widowControl w:val="0"/>
              <w:shd w:val="clear" w:color="auto" w:fill="auto"/>
              <w:kinsoku/>
              <w:wordWrap/>
              <w:topLinePunct w:val="0"/>
              <w:autoSpaceDE w:val="0"/>
              <w:autoSpaceDN w:val="0"/>
              <w:bidi w:val="0"/>
              <w:adjustRightInd/>
              <w:snapToGrid/>
              <w:spacing w:line="300" w:lineRule="exact"/>
              <w:jc w:val="center"/>
              <w:textAlignment w:val="baseline"/>
              <w:rPr>
                <w:rFonts w:hint="eastAsia" w:ascii="宋体" w:hAnsi="宋体" w:eastAsia="宋体" w:cs="宋体"/>
                <w:color w:val="auto"/>
                <w:sz w:val="21"/>
                <w:szCs w:val="21"/>
                <w:highlight w:val="none"/>
              </w:rPr>
            </w:pPr>
          </w:p>
        </w:tc>
        <w:tc>
          <w:tcPr>
            <w:tcW w:w="5612" w:type="dxa"/>
            <w:noWrap w:val="0"/>
            <w:vAlign w:val="center"/>
          </w:tcPr>
          <w:p w14:paraId="7B8F47FC">
            <w:pPr>
              <w:pStyle w:val="11"/>
              <w:keepNext w:val="0"/>
              <w:keepLines w:val="0"/>
              <w:pageBreakBefore w:val="0"/>
              <w:widowControl w:val="0"/>
              <w:shd w:val="clear" w:color="auto" w:fill="auto"/>
              <w:kinsoku/>
              <w:wordWrap/>
              <w:overflowPunct/>
              <w:topLinePunct w:val="0"/>
              <w:autoSpaceDE w:val="0"/>
              <w:autoSpaceDN w:val="0"/>
              <w:bidi w:val="0"/>
              <w:adjustRightInd/>
              <w:snapToGrid/>
              <w:ind w:left="0" w:leftChars="0" w:right="0" w:rightChars="0" w:firstLine="420" w:firstLineChars="200"/>
              <w:textAlignment w:val="baseline"/>
              <w:rPr>
                <w:rFonts w:hint="eastAsia" w:ascii="宋体" w:hAnsi="宋体" w:eastAsia="宋体" w:cs="宋体"/>
                <w:b/>
                <w:bCs/>
                <w:sz w:val="21"/>
                <w:szCs w:val="21"/>
                <w:highlight w:val="none"/>
                <w:lang w:val="en-US" w:eastAsia="zh-CN"/>
              </w:rPr>
            </w:pPr>
            <w:r>
              <w:rPr>
                <w:rFonts w:hint="eastAsia" w:ascii="宋体" w:hAnsi="宋体" w:eastAsia="宋体" w:cs="宋体"/>
                <w:i w:val="0"/>
                <w:iCs w:val="0"/>
                <w:caps w:val="0"/>
                <w:color w:val="auto"/>
                <w:spacing w:val="0"/>
                <w:sz w:val="21"/>
                <w:szCs w:val="21"/>
                <w:highlight w:val="none"/>
                <w:shd w:val="clear" w:color="auto" w:fill="FFFFFF"/>
              </w:rPr>
              <w:t>1吨以上</w:t>
            </w:r>
            <w:r>
              <w:rPr>
                <w:rFonts w:hint="eastAsia" w:ascii="宋体" w:hAnsi="宋体" w:eastAsia="宋体" w:cs="宋体"/>
                <w:i w:val="0"/>
                <w:iCs w:val="0"/>
                <w:caps w:val="0"/>
                <w:color w:val="auto"/>
                <w:spacing w:val="0"/>
                <w:sz w:val="21"/>
                <w:szCs w:val="21"/>
                <w:highlight w:val="none"/>
                <w:shd w:val="clear" w:color="auto" w:fill="FFFFFF"/>
                <w:lang w:val="en-US" w:eastAsia="zh-CN"/>
              </w:rPr>
              <w:t>不足</w:t>
            </w:r>
            <w:r>
              <w:rPr>
                <w:rFonts w:hint="eastAsia" w:ascii="宋体" w:hAnsi="宋体" w:eastAsia="宋体" w:cs="宋体"/>
                <w:i w:val="0"/>
                <w:iCs w:val="0"/>
                <w:caps w:val="0"/>
                <w:color w:val="auto"/>
                <w:spacing w:val="0"/>
                <w:sz w:val="21"/>
                <w:szCs w:val="21"/>
                <w:highlight w:val="none"/>
                <w:shd w:val="clear" w:color="auto" w:fill="FFFFFF"/>
              </w:rPr>
              <w:t>5吨</w:t>
            </w:r>
          </w:p>
        </w:tc>
        <w:tc>
          <w:tcPr>
            <w:tcW w:w="1310" w:type="dxa"/>
            <w:noWrap w:val="0"/>
            <w:vAlign w:val="center"/>
          </w:tcPr>
          <w:p w14:paraId="1C3CD256">
            <w:pPr>
              <w:keepNext w:val="0"/>
              <w:keepLines w:val="0"/>
              <w:pageBreakBefore w:val="0"/>
              <w:widowControl w:val="0"/>
              <w:shd w:val="clear" w:color="auto" w:fill="auto"/>
              <w:kinsoku/>
              <w:wordWrap/>
              <w:overflowPunct w:val="0"/>
              <w:topLinePunct w:val="0"/>
              <w:autoSpaceDE w:val="0"/>
              <w:autoSpaceDN w:val="0"/>
              <w:bidi w:val="0"/>
              <w:spacing w:line="300" w:lineRule="exac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p>
        </w:tc>
      </w:tr>
      <w:tr w14:paraId="5F3F9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757" w:type="dxa"/>
            <w:vMerge w:val="continue"/>
            <w:noWrap w:val="0"/>
            <w:vAlign w:val="center"/>
          </w:tcPr>
          <w:p w14:paraId="029DBAC1">
            <w:pPr>
              <w:keepNext w:val="0"/>
              <w:keepLines w:val="0"/>
              <w:pageBreakBefore w:val="0"/>
              <w:widowControl w:val="0"/>
              <w:shd w:val="clear" w:color="auto" w:fill="auto"/>
              <w:kinsoku/>
              <w:wordWrap/>
              <w:topLinePunct w:val="0"/>
              <w:autoSpaceDE w:val="0"/>
              <w:autoSpaceDN w:val="0"/>
              <w:bidi w:val="0"/>
              <w:adjustRightInd/>
              <w:snapToGrid/>
              <w:spacing w:line="300" w:lineRule="exact"/>
              <w:jc w:val="center"/>
              <w:textAlignment w:val="baseline"/>
              <w:rPr>
                <w:rFonts w:hint="eastAsia" w:ascii="宋体" w:hAnsi="宋体" w:eastAsia="宋体" w:cs="宋体"/>
                <w:color w:val="auto"/>
                <w:sz w:val="21"/>
                <w:szCs w:val="21"/>
                <w:highlight w:val="none"/>
              </w:rPr>
            </w:pPr>
          </w:p>
        </w:tc>
        <w:tc>
          <w:tcPr>
            <w:tcW w:w="5612" w:type="dxa"/>
            <w:noWrap w:val="0"/>
            <w:vAlign w:val="center"/>
          </w:tcPr>
          <w:p w14:paraId="57B47B97">
            <w:pPr>
              <w:pStyle w:val="11"/>
              <w:keepNext w:val="0"/>
              <w:keepLines w:val="0"/>
              <w:pageBreakBefore w:val="0"/>
              <w:widowControl w:val="0"/>
              <w:shd w:val="clear" w:color="auto" w:fill="auto"/>
              <w:kinsoku/>
              <w:wordWrap/>
              <w:overflowPunct/>
              <w:topLinePunct w:val="0"/>
              <w:autoSpaceDE w:val="0"/>
              <w:autoSpaceDN w:val="0"/>
              <w:bidi w:val="0"/>
              <w:adjustRightInd/>
              <w:snapToGrid/>
              <w:ind w:left="0" w:leftChars="0" w:right="0" w:rightChars="0" w:firstLine="420" w:firstLineChars="200"/>
              <w:textAlignment w:val="baseline"/>
              <w:rPr>
                <w:rFonts w:hint="eastAsia" w:ascii="宋体" w:hAnsi="宋体" w:eastAsia="宋体" w:cs="宋体"/>
                <w:b/>
                <w:bCs/>
                <w:sz w:val="21"/>
                <w:szCs w:val="21"/>
                <w:highlight w:val="none"/>
                <w:lang w:val="en-US" w:eastAsia="zh-CN"/>
              </w:rPr>
            </w:pPr>
            <w:r>
              <w:rPr>
                <w:rFonts w:hint="eastAsia" w:ascii="宋体" w:hAnsi="宋体" w:eastAsia="宋体" w:cs="宋体"/>
                <w:i w:val="0"/>
                <w:iCs w:val="0"/>
                <w:caps w:val="0"/>
                <w:color w:val="auto"/>
                <w:spacing w:val="0"/>
                <w:sz w:val="21"/>
                <w:szCs w:val="21"/>
                <w:highlight w:val="none"/>
                <w:shd w:val="clear" w:color="auto" w:fill="FFFFFF"/>
              </w:rPr>
              <w:t>5吨以上</w:t>
            </w:r>
            <w:r>
              <w:rPr>
                <w:rFonts w:hint="eastAsia" w:ascii="宋体" w:hAnsi="宋体" w:eastAsia="宋体" w:cs="宋体"/>
                <w:i w:val="0"/>
                <w:iCs w:val="0"/>
                <w:caps w:val="0"/>
                <w:color w:val="auto"/>
                <w:spacing w:val="0"/>
                <w:sz w:val="21"/>
                <w:szCs w:val="21"/>
                <w:highlight w:val="none"/>
                <w:shd w:val="clear" w:color="auto" w:fill="FFFFFF"/>
                <w:lang w:val="en-US" w:eastAsia="zh-CN"/>
              </w:rPr>
              <w:t>不足</w:t>
            </w:r>
            <w:r>
              <w:rPr>
                <w:rFonts w:hint="eastAsia" w:ascii="宋体" w:hAnsi="宋体" w:eastAsia="宋体" w:cs="宋体"/>
                <w:i w:val="0"/>
                <w:iCs w:val="0"/>
                <w:caps w:val="0"/>
                <w:color w:val="auto"/>
                <w:spacing w:val="0"/>
                <w:sz w:val="21"/>
                <w:szCs w:val="21"/>
                <w:highlight w:val="none"/>
                <w:shd w:val="clear" w:color="auto" w:fill="FFFFFF"/>
              </w:rPr>
              <w:t>10吨</w:t>
            </w:r>
          </w:p>
        </w:tc>
        <w:tc>
          <w:tcPr>
            <w:tcW w:w="1310" w:type="dxa"/>
            <w:noWrap w:val="0"/>
            <w:vAlign w:val="center"/>
          </w:tcPr>
          <w:p w14:paraId="69F21C8F">
            <w:pPr>
              <w:keepNext w:val="0"/>
              <w:keepLines w:val="0"/>
              <w:pageBreakBefore w:val="0"/>
              <w:widowControl w:val="0"/>
              <w:shd w:val="clear" w:color="auto" w:fill="auto"/>
              <w:kinsoku/>
              <w:wordWrap/>
              <w:overflowPunct w:val="0"/>
              <w:topLinePunct w:val="0"/>
              <w:autoSpaceDE w:val="0"/>
              <w:autoSpaceDN w:val="0"/>
              <w:bidi w:val="0"/>
              <w:spacing w:line="300" w:lineRule="exac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p>
        </w:tc>
      </w:tr>
      <w:tr w14:paraId="62199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757" w:type="dxa"/>
            <w:vMerge w:val="continue"/>
            <w:noWrap w:val="0"/>
            <w:vAlign w:val="center"/>
          </w:tcPr>
          <w:p w14:paraId="69642763">
            <w:pPr>
              <w:keepNext w:val="0"/>
              <w:keepLines w:val="0"/>
              <w:pageBreakBefore w:val="0"/>
              <w:widowControl w:val="0"/>
              <w:shd w:val="clear" w:color="auto" w:fill="auto"/>
              <w:kinsoku/>
              <w:wordWrap/>
              <w:topLinePunct w:val="0"/>
              <w:autoSpaceDE w:val="0"/>
              <w:autoSpaceDN w:val="0"/>
              <w:bidi w:val="0"/>
              <w:adjustRightInd/>
              <w:snapToGrid/>
              <w:spacing w:line="300" w:lineRule="exact"/>
              <w:jc w:val="center"/>
              <w:textAlignment w:val="baseline"/>
              <w:rPr>
                <w:rFonts w:hint="eastAsia" w:ascii="宋体" w:hAnsi="宋体" w:eastAsia="宋体" w:cs="宋体"/>
                <w:color w:val="auto"/>
                <w:sz w:val="21"/>
                <w:szCs w:val="21"/>
                <w:highlight w:val="none"/>
              </w:rPr>
            </w:pPr>
          </w:p>
        </w:tc>
        <w:tc>
          <w:tcPr>
            <w:tcW w:w="5612" w:type="dxa"/>
            <w:noWrap w:val="0"/>
            <w:vAlign w:val="center"/>
          </w:tcPr>
          <w:p w14:paraId="4DA534CF">
            <w:pPr>
              <w:pStyle w:val="11"/>
              <w:keepNext w:val="0"/>
              <w:keepLines w:val="0"/>
              <w:pageBreakBefore w:val="0"/>
              <w:widowControl w:val="0"/>
              <w:shd w:val="clear" w:color="auto" w:fill="auto"/>
              <w:kinsoku/>
              <w:wordWrap/>
              <w:overflowPunct/>
              <w:topLinePunct w:val="0"/>
              <w:autoSpaceDE w:val="0"/>
              <w:autoSpaceDN w:val="0"/>
              <w:bidi w:val="0"/>
              <w:adjustRightInd/>
              <w:snapToGrid/>
              <w:ind w:left="0" w:leftChars="0" w:right="0" w:rightChars="0" w:firstLine="420" w:firstLineChars="200"/>
              <w:textAlignment w:val="baseline"/>
              <w:rPr>
                <w:rFonts w:hint="eastAsia" w:ascii="宋体" w:hAnsi="宋体" w:eastAsia="宋体" w:cs="宋体"/>
                <w:b/>
                <w:bCs/>
                <w:sz w:val="21"/>
                <w:szCs w:val="21"/>
                <w:highlight w:val="none"/>
                <w:lang w:val="en-US" w:eastAsia="zh-CN"/>
              </w:rPr>
            </w:pPr>
            <w:r>
              <w:rPr>
                <w:rFonts w:hint="eastAsia" w:ascii="宋体" w:hAnsi="宋体" w:eastAsia="宋体" w:cs="宋体"/>
                <w:i w:val="0"/>
                <w:iCs w:val="0"/>
                <w:caps w:val="0"/>
                <w:color w:val="auto"/>
                <w:spacing w:val="0"/>
                <w:sz w:val="21"/>
                <w:szCs w:val="21"/>
                <w:highlight w:val="none"/>
                <w:shd w:val="clear" w:color="auto" w:fill="FFFFFF"/>
              </w:rPr>
              <w:t>10吨以上</w:t>
            </w:r>
            <w:r>
              <w:rPr>
                <w:rFonts w:hint="eastAsia" w:ascii="宋体" w:hAnsi="宋体" w:eastAsia="宋体" w:cs="宋体"/>
                <w:i w:val="0"/>
                <w:iCs w:val="0"/>
                <w:caps w:val="0"/>
                <w:color w:val="auto"/>
                <w:spacing w:val="0"/>
                <w:sz w:val="21"/>
                <w:szCs w:val="21"/>
                <w:highlight w:val="none"/>
                <w:shd w:val="clear" w:color="auto" w:fill="FFFFFF"/>
                <w:lang w:val="en-US" w:eastAsia="zh-CN"/>
              </w:rPr>
              <w:t>不足</w:t>
            </w:r>
            <w:r>
              <w:rPr>
                <w:rFonts w:hint="eastAsia" w:ascii="宋体" w:hAnsi="宋体" w:eastAsia="宋体" w:cs="宋体"/>
                <w:i w:val="0"/>
                <w:iCs w:val="0"/>
                <w:caps w:val="0"/>
                <w:color w:val="auto"/>
                <w:spacing w:val="0"/>
                <w:sz w:val="21"/>
                <w:szCs w:val="21"/>
                <w:highlight w:val="none"/>
                <w:shd w:val="clear" w:color="auto" w:fill="FFFFFF"/>
              </w:rPr>
              <w:t>50吨</w:t>
            </w:r>
          </w:p>
        </w:tc>
        <w:tc>
          <w:tcPr>
            <w:tcW w:w="1310" w:type="dxa"/>
            <w:noWrap w:val="0"/>
            <w:vAlign w:val="center"/>
          </w:tcPr>
          <w:p w14:paraId="0D83345B">
            <w:pPr>
              <w:keepNext w:val="0"/>
              <w:keepLines w:val="0"/>
              <w:pageBreakBefore w:val="0"/>
              <w:widowControl w:val="0"/>
              <w:shd w:val="clear" w:color="auto" w:fill="auto"/>
              <w:kinsoku/>
              <w:wordWrap/>
              <w:overflowPunct w:val="0"/>
              <w:topLinePunct w:val="0"/>
              <w:autoSpaceDE w:val="0"/>
              <w:autoSpaceDN w:val="0"/>
              <w:bidi w:val="0"/>
              <w:spacing w:line="300" w:lineRule="exac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p>
        </w:tc>
      </w:tr>
      <w:tr w14:paraId="0A0D7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757" w:type="dxa"/>
            <w:vMerge w:val="continue"/>
            <w:noWrap w:val="0"/>
            <w:vAlign w:val="center"/>
          </w:tcPr>
          <w:p w14:paraId="4A290739">
            <w:pPr>
              <w:keepNext w:val="0"/>
              <w:keepLines w:val="0"/>
              <w:pageBreakBefore w:val="0"/>
              <w:widowControl w:val="0"/>
              <w:shd w:val="clear" w:color="auto" w:fill="auto"/>
              <w:kinsoku/>
              <w:wordWrap/>
              <w:topLinePunct w:val="0"/>
              <w:autoSpaceDE w:val="0"/>
              <w:autoSpaceDN w:val="0"/>
              <w:bidi w:val="0"/>
              <w:adjustRightInd/>
              <w:snapToGrid/>
              <w:spacing w:line="300" w:lineRule="exact"/>
              <w:jc w:val="center"/>
              <w:textAlignment w:val="baseline"/>
              <w:rPr>
                <w:rFonts w:hint="eastAsia" w:ascii="宋体" w:hAnsi="宋体" w:eastAsia="宋体" w:cs="宋体"/>
                <w:color w:val="auto"/>
                <w:sz w:val="21"/>
                <w:szCs w:val="21"/>
                <w:highlight w:val="none"/>
              </w:rPr>
            </w:pPr>
          </w:p>
        </w:tc>
        <w:tc>
          <w:tcPr>
            <w:tcW w:w="5612" w:type="dxa"/>
            <w:noWrap w:val="0"/>
            <w:vAlign w:val="center"/>
          </w:tcPr>
          <w:p w14:paraId="0D4DAA60">
            <w:pPr>
              <w:pStyle w:val="11"/>
              <w:keepNext w:val="0"/>
              <w:keepLines w:val="0"/>
              <w:pageBreakBefore w:val="0"/>
              <w:widowControl w:val="0"/>
              <w:shd w:val="clear" w:color="auto" w:fill="auto"/>
              <w:kinsoku/>
              <w:wordWrap/>
              <w:overflowPunct/>
              <w:topLinePunct w:val="0"/>
              <w:autoSpaceDE w:val="0"/>
              <w:autoSpaceDN w:val="0"/>
              <w:bidi w:val="0"/>
              <w:adjustRightInd/>
              <w:snapToGrid/>
              <w:ind w:left="0" w:leftChars="0" w:right="0" w:rightChars="0" w:firstLine="420" w:firstLineChars="200"/>
              <w:textAlignment w:val="baseline"/>
              <w:rPr>
                <w:rFonts w:hint="eastAsia" w:ascii="宋体" w:hAnsi="宋体" w:eastAsia="宋体" w:cs="宋体"/>
                <w:b/>
                <w:bCs/>
                <w:sz w:val="21"/>
                <w:szCs w:val="21"/>
                <w:highlight w:val="none"/>
                <w:lang w:val="en-US" w:eastAsia="zh-CN"/>
              </w:rPr>
            </w:pPr>
            <w:r>
              <w:rPr>
                <w:rFonts w:hint="eastAsia" w:ascii="宋体" w:hAnsi="宋体" w:eastAsia="宋体" w:cs="宋体"/>
                <w:i w:val="0"/>
                <w:iCs w:val="0"/>
                <w:caps w:val="0"/>
                <w:color w:val="auto"/>
                <w:spacing w:val="0"/>
                <w:sz w:val="21"/>
                <w:szCs w:val="21"/>
                <w:highlight w:val="none"/>
                <w:shd w:val="clear" w:color="auto" w:fill="FFFFFF"/>
              </w:rPr>
              <w:t>50吨以上</w:t>
            </w:r>
          </w:p>
        </w:tc>
        <w:tc>
          <w:tcPr>
            <w:tcW w:w="1310" w:type="dxa"/>
            <w:noWrap w:val="0"/>
            <w:vAlign w:val="center"/>
          </w:tcPr>
          <w:p w14:paraId="0A176D3D">
            <w:pPr>
              <w:keepNext w:val="0"/>
              <w:keepLines w:val="0"/>
              <w:pageBreakBefore w:val="0"/>
              <w:widowControl w:val="0"/>
              <w:shd w:val="clear" w:color="auto" w:fill="auto"/>
              <w:kinsoku/>
              <w:wordWrap/>
              <w:overflowPunct w:val="0"/>
              <w:topLinePunct w:val="0"/>
              <w:autoSpaceDE w:val="0"/>
              <w:autoSpaceDN w:val="0"/>
              <w:bidi w:val="0"/>
              <w:spacing w:line="300" w:lineRule="exac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p>
        </w:tc>
      </w:tr>
    </w:tbl>
    <w:p w14:paraId="64E78EC9">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p w14:paraId="5D18AF53">
      <w:pPr>
        <w:jc w:val="center"/>
        <w:rPr>
          <w:rFonts w:hint="eastAsia" w:ascii="宋体" w:hAnsi="宋体" w:eastAsia="宋体" w:cs="宋体"/>
          <w:color w:val="auto"/>
          <w:sz w:val="21"/>
          <w:szCs w:val="21"/>
          <w:highlight w:val="none"/>
        </w:rPr>
      </w:pPr>
    </w:p>
    <w:tbl>
      <w:tblPr>
        <w:tblStyle w:val="8"/>
        <w:tblW w:w="509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47"/>
        <w:gridCol w:w="5889"/>
        <w:gridCol w:w="1377"/>
      </w:tblGrid>
      <w:tr w14:paraId="47DE8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8679" w:type="dxa"/>
            <w:gridSpan w:val="3"/>
            <w:noWrap w:val="0"/>
            <w:vAlign w:val="center"/>
          </w:tcPr>
          <w:p w14:paraId="1E3F1E4E">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（十一）化学物质污染风险管控、电磁辐射和光污染防治类</w:t>
            </w:r>
          </w:p>
        </w:tc>
      </w:tr>
      <w:tr w14:paraId="3E19B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759" w:type="dxa"/>
            <w:noWrap w:val="0"/>
            <w:vAlign w:val="center"/>
          </w:tcPr>
          <w:p w14:paraId="39A8262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920" w:type="dxa"/>
            <w:gridSpan w:val="2"/>
            <w:noWrap w:val="0"/>
            <w:vAlign w:val="center"/>
          </w:tcPr>
          <w:p w14:paraId="44B35FD1">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r>
      <w:tr w14:paraId="67B07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1759" w:type="dxa"/>
            <w:noWrap w:val="0"/>
            <w:vAlign w:val="center"/>
          </w:tcPr>
          <w:p w14:paraId="7CC4EDA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6920" w:type="dxa"/>
            <w:gridSpan w:val="2"/>
            <w:noWrap w:val="0"/>
            <w:vAlign w:val="center"/>
          </w:tcPr>
          <w:p w14:paraId="05B8E609">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无新化学物质环境管理登记证，生产、进口新化学物质，或者使用无新化学物质环境管理登记证的企业事业单位生产、进口的新化学物质生产产品的</w:t>
            </w:r>
          </w:p>
        </w:tc>
      </w:tr>
      <w:tr w14:paraId="35C48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8" w:hRule="atLeast"/>
          <w:jc w:val="center"/>
        </w:trPr>
        <w:tc>
          <w:tcPr>
            <w:tcW w:w="1759" w:type="dxa"/>
            <w:noWrap w:val="0"/>
            <w:vAlign w:val="center"/>
          </w:tcPr>
          <w:p w14:paraId="110F1B8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6920" w:type="dxa"/>
            <w:gridSpan w:val="2"/>
            <w:noWrap w:val="0"/>
            <w:vAlign w:val="center"/>
          </w:tcPr>
          <w:p w14:paraId="307537B3">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《中华人民共和国生态环境法典》第六百五十一条 禁止无新化学物质环境管理登记证或者不按照新化学物质环境管理登记证的要求生产、进口新化学物质。禁止使用无新化学物质环境管理登记证的企业事业单位生产、进口的新化学物质生产产品。</w:t>
            </w:r>
          </w:p>
        </w:tc>
      </w:tr>
      <w:tr w14:paraId="092A9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3" w:hRule="atLeast"/>
          <w:jc w:val="center"/>
        </w:trPr>
        <w:tc>
          <w:tcPr>
            <w:tcW w:w="1759" w:type="dxa"/>
            <w:noWrap w:val="0"/>
            <w:vAlign w:val="center"/>
          </w:tcPr>
          <w:p w14:paraId="791B60F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6920" w:type="dxa"/>
            <w:gridSpan w:val="2"/>
            <w:noWrap w:val="0"/>
            <w:vAlign w:val="center"/>
          </w:tcPr>
          <w:p w14:paraId="290F99C2">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《中华人民共和国生态环境法典》第一千二百零七条  违反本法规定，无新化学物质环境管理登记证，生产、进口新化学物质，或者使用无新化学物质环境管理登记证的企业事业单位生产、进口的新化学物质生产产品的，由生态环境主管部门或者其他负有化学物质生产、进口、使用监督管理职责的部门按照职责分工责令改正，处二十万元以上一百万元以下的罚款；拒不改正的，处一百万元以上二百万元以下的罚款，责令限制生产、停产整治</w:t>
            </w:r>
            <w:r>
              <w:rPr>
                <w:rFonts w:hint="eastAsia" w:ascii="宋体" w:cs="宋体"/>
                <w:color w:val="auto"/>
                <w:szCs w:val="21"/>
              </w:rPr>
              <w:t>；</w:t>
            </w:r>
            <w:r>
              <w:rPr>
                <w:rFonts w:hint="eastAsia" w:ascii="宋体" w:cs="宋体"/>
                <w:color w:val="auto"/>
                <w:szCs w:val="21"/>
                <w:lang w:eastAsia="zh-CN"/>
              </w:rPr>
              <w:t>……</w:t>
            </w:r>
            <w:r>
              <w:rPr>
                <w:rFonts w:hint="eastAsia" w:ascii="宋体" w:hAnsi="宋体" w:eastAsia="宋体" w:cs="宋体"/>
                <w:color w:val="auto"/>
                <w:sz w:val="21"/>
                <w:szCs w:val="21"/>
                <w:highlight w:val="none"/>
              </w:rPr>
              <w:t>。</w:t>
            </w:r>
          </w:p>
        </w:tc>
      </w:tr>
      <w:tr w14:paraId="7814A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759" w:type="dxa"/>
            <w:noWrap w:val="0"/>
            <w:vAlign w:val="center"/>
          </w:tcPr>
          <w:p w14:paraId="662D8B4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609" w:type="dxa"/>
            <w:noWrap w:val="0"/>
            <w:vAlign w:val="center"/>
          </w:tcPr>
          <w:p w14:paraId="491479D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311" w:type="dxa"/>
            <w:noWrap w:val="0"/>
            <w:vAlign w:val="center"/>
          </w:tcPr>
          <w:p w14:paraId="7E09442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58AC6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759" w:type="dxa"/>
            <w:vMerge w:val="restart"/>
            <w:noWrap w:val="0"/>
            <w:vAlign w:val="center"/>
          </w:tcPr>
          <w:p w14:paraId="772904CF">
            <w:pPr>
              <w:keepNext w:val="0"/>
              <w:keepLines w:val="0"/>
              <w:pageBreakBefore w:val="0"/>
              <w:widowControl w:val="0"/>
              <w:shd w:val="clear" w:color="auto" w:fill="auto"/>
              <w:kinsoku/>
              <w:wordWrap/>
              <w:topLinePunct w:val="0"/>
              <w:autoSpaceDE w:val="0"/>
              <w:autoSpaceDN w:val="0"/>
              <w:bidi w:val="0"/>
              <w:adjustRightInd/>
              <w:snapToGrid/>
              <w:spacing w:line="300" w:lineRule="exac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化学物质种类</w:t>
            </w:r>
          </w:p>
        </w:tc>
        <w:tc>
          <w:tcPr>
            <w:tcW w:w="5609" w:type="dxa"/>
            <w:noWrap w:val="0"/>
            <w:vAlign w:val="center"/>
          </w:tcPr>
          <w:p w14:paraId="502C2CE7">
            <w:pPr>
              <w:pStyle w:val="11"/>
              <w:keepNext w:val="0"/>
              <w:keepLines w:val="0"/>
              <w:pageBreakBefore w:val="0"/>
              <w:widowControl w:val="0"/>
              <w:shd w:val="clear" w:color="auto" w:fill="auto"/>
              <w:kinsoku/>
              <w:wordWrap/>
              <w:overflowPunct/>
              <w:topLinePunct w:val="0"/>
              <w:autoSpaceDE w:val="0"/>
              <w:autoSpaceDN w:val="0"/>
              <w:bidi w:val="0"/>
              <w:adjustRightInd/>
              <w:snapToGrid/>
              <w:ind w:left="0" w:leftChars="0" w:right="0" w:rightChars="0"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i w:val="0"/>
                <w:iCs w:val="0"/>
                <w:caps w:val="0"/>
                <w:color w:val="auto"/>
                <w:spacing w:val="0"/>
                <w:sz w:val="21"/>
                <w:szCs w:val="21"/>
                <w:highlight w:val="none"/>
                <w:shd w:val="clear" w:color="auto" w:fill="auto"/>
                <w:lang w:val="en-US" w:eastAsia="zh-CN"/>
              </w:rPr>
              <w:t>1种</w:t>
            </w:r>
          </w:p>
        </w:tc>
        <w:tc>
          <w:tcPr>
            <w:tcW w:w="1311" w:type="dxa"/>
            <w:noWrap w:val="0"/>
            <w:vAlign w:val="center"/>
          </w:tcPr>
          <w:p w14:paraId="55020FC7">
            <w:pPr>
              <w:keepNext w:val="0"/>
              <w:keepLines w:val="0"/>
              <w:pageBreakBefore w:val="0"/>
              <w:widowControl w:val="0"/>
              <w:shd w:val="clear" w:color="auto" w:fill="auto"/>
              <w:kinsoku/>
              <w:wordWrap/>
              <w:overflowPunct w:val="0"/>
              <w:topLinePunct w:val="0"/>
              <w:autoSpaceDE w:val="0"/>
              <w:autoSpaceDN w:val="0"/>
              <w:bidi w:val="0"/>
              <w:spacing w:line="300" w:lineRule="exac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p>
        </w:tc>
      </w:tr>
      <w:tr w14:paraId="56A2E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759" w:type="dxa"/>
            <w:vMerge w:val="continue"/>
            <w:noWrap w:val="0"/>
            <w:vAlign w:val="center"/>
          </w:tcPr>
          <w:p w14:paraId="0791FCDC">
            <w:pPr>
              <w:keepNext w:val="0"/>
              <w:keepLines w:val="0"/>
              <w:pageBreakBefore w:val="0"/>
              <w:widowControl w:val="0"/>
              <w:shd w:val="clear" w:color="auto" w:fill="auto"/>
              <w:kinsoku/>
              <w:wordWrap/>
              <w:topLinePunct w:val="0"/>
              <w:autoSpaceDE w:val="0"/>
              <w:autoSpaceDN w:val="0"/>
              <w:bidi w:val="0"/>
              <w:adjustRightInd/>
              <w:snapToGrid/>
              <w:spacing w:line="300" w:lineRule="exact"/>
              <w:jc w:val="center"/>
              <w:textAlignment w:val="baseline"/>
              <w:rPr>
                <w:rFonts w:hint="eastAsia" w:ascii="宋体" w:hAnsi="宋体" w:eastAsia="宋体" w:cs="宋体"/>
                <w:color w:val="auto"/>
                <w:sz w:val="21"/>
                <w:szCs w:val="21"/>
                <w:highlight w:val="none"/>
              </w:rPr>
            </w:pPr>
          </w:p>
        </w:tc>
        <w:tc>
          <w:tcPr>
            <w:tcW w:w="5609" w:type="dxa"/>
            <w:noWrap w:val="0"/>
            <w:vAlign w:val="center"/>
          </w:tcPr>
          <w:p w14:paraId="04824195">
            <w:pPr>
              <w:pStyle w:val="11"/>
              <w:keepNext w:val="0"/>
              <w:keepLines w:val="0"/>
              <w:pageBreakBefore w:val="0"/>
              <w:widowControl w:val="0"/>
              <w:shd w:val="clear" w:color="auto" w:fill="auto"/>
              <w:kinsoku/>
              <w:wordWrap/>
              <w:overflowPunct/>
              <w:topLinePunct w:val="0"/>
              <w:autoSpaceDE w:val="0"/>
              <w:autoSpaceDN w:val="0"/>
              <w:bidi w:val="0"/>
              <w:adjustRightInd/>
              <w:snapToGrid/>
              <w:ind w:left="0" w:leftChars="0" w:right="0" w:rightChars="0"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i w:val="0"/>
                <w:iCs w:val="0"/>
                <w:caps w:val="0"/>
                <w:color w:val="auto"/>
                <w:spacing w:val="0"/>
                <w:sz w:val="21"/>
                <w:szCs w:val="21"/>
                <w:highlight w:val="none"/>
                <w:shd w:val="clear" w:color="auto" w:fill="auto"/>
                <w:lang w:val="en-US" w:eastAsia="zh-CN"/>
              </w:rPr>
              <w:t>2种</w:t>
            </w:r>
          </w:p>
        </w:tc>
        <w:tc>
          <w:tcPr>
            <w:tcW w:w="1311" w:type="dxa"/>
            <w:noWrap w:val="0"/>
            <w:vAlign w:val="center"/>
          </w:tcPr>
          <w:p w14:paraId="37E86127">
            <w:pPr>
              <w:keepNext w:val="0"/>
              <w:keepLines w:val="0"/>
              <w:pageBreakBefore w:val="0"/>
              <w:widowControl w:val="0"/>
              <w:shd w:val="clear" w:color="auto" w:fill="auto"/>
              <w:kinsoku/>
              <w:wordWrap/>
              <w:overflowPunct w:val="0"/>
              <w:topLinePunct w:val="0"/>
              <w:autoSpaceDE w:val="0"/>
              <w:autoSpaceDN w:val="0"/>
              <w:bidi w:val="0"/>
              <w:spacing w:line="300" w:lineRule="exac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p>
        </w:tc>
      </w:tr>
      <w:tr w14:paraId="2CFB8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759" w:type="dxa"/>
            <w:vMerge w:val="continue"/>
            <w:noWrap w:val="0"/>
            <w:vAlign w:val="center"/>
          </w:tcPr>
          <w:p w14:paraId="2676C2A8">
            <w:pPr>
              <w:keepNext w:val="0"/>
              <w:keepLines w:val="0"/>
              <w:pageBreakBefore w:val="0"/>
              <w:widowControl w:val="0"/>
              <w:shd w:val="clear" w:color="auto" w:fill="auto"/>
              <w:kinsoku/>
              <w:wordWrap/>
              <w:topLinePunct w:val="0"/>
              <w:autoSpaceDE w:val="0"/>
              <w:autoSpaceDN w:val="0"/>
              <w:bidi w:val="0"/>
              <w:adjustRightInd/>
              <w:snapToGrid/>
              <w:spacing w:line="300" w:lineRule="exact"/>
              <w:jc w:val="center"/>
              <w:textAlignment w:val="baseline"/>
              <w:rPr>
                <w:rFonts w:hint="eastAsia" w:ascii="宋体" w:hAnsi="宋体" w:eastAsia="宋体" w:cs="宋体"/>
                <w:color w:val="auto"/>
                <w:sz w:val="21"/>
                <w:szCs w:val="21"/>
                <w:highlight w:val="none"/>
              </w:rPr>
            </w:pPr>
          </w:p>
        </w:tc>
        <w:tc>
          <w:tcPr>
            <w:tcW w:w="5609" w:type="dxa"/>
            <w:noWrap w:val="0"/>
            <w:vAlign w:val="center"/>
          </w:tcPr>
          <w:p w14:paraId="62DFAF94">
            <w:pPr>
              <w:pStyle w:val="11"/>
              <w:keepNext w:val="0"/>
              <w:keepLines w:val="0"/>
              <w:pageBreakBefore w:val="0"/>
              <w:widowControl w:val="0"/>
              <w:shd w:val="clear" w:color="auto" w:fill="auto"/>
              <w:kinsoku/>
              <w:wordWrap/>
              <w:overflowPunct/>
              <w:topLinePunct w:val="0"/>
              <w:autoSpaceDE w:val="0"/>
              <w:autoSpaceDN w:val="0"/>
              <w:bidi w:val="0"/>
              <w:adjustRightInd/>
              <w:snapToGrid/>
              <w:ind w:left="0" w:leftChars="0" w:right="0" w:rightChars="0"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i w:val="0"/>
                <w:iCs w:val="0"/>
                <w:caps w:val="0"/>
                <w:color w:val="auto"/>
                <w:spacing w:val="0"/>
                <w:sz w:val="21"/>
                <w:szCs w:val="21"/>
                <w:highlight w:val="none"/>
                <w:shd w:val="clear" w:color="auto" w:fill="auto"/>
                <w:lang w:val="en-US" w:eastAsia="zh-CN"/>
              </w:rPr>
              <w:t>3种及以上</w:t>
            </w:r>
          </w:p>
        </w:tc>
        <w:tc>
          <w:tcPr>
            <w:tcW w:w="1311" w:type="dxa"/>
            <w:noWrap w:val="0"/>
            <w:vAlign w:val="center"/>
          </w:tcPr>
          <w:p w14:paraId="5CFD19BF">
            <w:pPr>
              <w:keepNext w:val="0"/>
              <w:keepLines w:val="0"/>
              <w:pageBreakBefore w:val="0"/>
              <w:widowControl w:val="0"/>
              <w:shd w:val="clear" w:color="auto" w:fill="auto"/>
              <w:kinsoku/>
              <w:wordWrap/>
              <w:overflowPunct w:val="0"/>
              <w:topLinePunct w:val="0"/>
              <w:autoSpaceDE w:val="0"/>
              <w:autoSpaceDN w:val="0"/>
              <w:bidi w:val="0"/>
              <w:spacing w:line="300" w:lineRule="exact"/>
              <w:jc w:val="center"/>
              <w:textAlignment w:val="baseline"/>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5</w:t>
            </w:r>
          </w:p>
        </w:tc>
      </w:tr>
      <w:tr w14:paraId="5C83F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759" w:type="dxa"/>
            <w:vMerge w:val="restart"/>
            <w:noWrap w:val="0"/>
            <w:vAlign w:val="center"/>
          </w:tcPr>
          <w:p w14:paraId="1DB7CF9D">
            <w:pPr>
              <w:keepNext w:val="0"/>
              <w:keepLines w:val="0"/>
              <w:pageBreakBefore w:val="0"/>
              <w:widowControl w:val="0"/>
              <w:shd w:val="clear" w:color="auto" w:fill="auto"/>
              <w:kinsoku/>
              <w:wordWrap/>
              <w:topLinePunct w:val="0"/>
              <w:autoSpaceDE w:val="0"/>
              <w:autoSpaceDN w:val="0"/>
              <w:bidi w:val="0"/>
              <w:adjustRightInd/>
              <w:snapToGrid/>
              <w:spacing w:line="300" w:lineRule="exac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化学物质数量</w:t>
            </w:r>
          </w:p>
        </w:tc>
        <w:tc>
          <w:tcPr>
            <w:tcW w:w="5609" w:type="dxa"/>
            <w:noWrap w:val="0"/>
            <w:vAlign w:val="center"/>
          </w:tcPr>
          <w:p w14:paraId="65D09965">
            <w:pPr>
              <w:pStyle w:val="11"/>
              <w:keepNext w:val="0"/>
              <w:keepLines w:val="0"/>
              <w:pageBreakBefore w:val="0"/>
              <w:widowControl w:val="0"/>
              <w:shd w:val="clear" w:color="auto" w:fill="auto"/>
              <w:kinsoku/>
              <w:wordWrap/>
              <w:overflowPunct/>
              <w:topLinePunct w:val="0"/>
              <w:autoSpaceDE w:val="0"/>
              <w:autoSpaceDN w:val="0"/>
              <w:bidi w:val="0"/>
              <w:adjustRightInd/>
              <w:snapToGrid/>
              <w:ind w:left="0" w:leftChars="0" w:right="0" w:rightChars="0" w:firstLine="420" w:firstLineChars="200"/>
              <w:textAlignment w:val="baseline"/>
              <w:rPr>
                <w:rFonts w:hint="eastAsia" w:ascii="宋体" w:hAnsi="宋体" w:eastAsia="宋体" w:cs="宋体"/>
                <w:b/>
                <w:bCs/>
                <w:kern w:val="2"/>
                <w:sz w:val="21"/>
                <w:szCs w:val="21"/>
                <w:highlight w:val="none"/>
                <w:lang w:val="en-US" w:eastAsia="zh-CN" w:bidi="ar-SA"/>
              </w:rPr>
            </w:pPr>
            <w:r>
              <w:rPr>
                <w:rFonts w:hint="eastAsia" w:ascii="宋体" w:hAnsi="宋体" w:eastAsia="宋体" w:cs="宋体"/>
                <w:i w:val="0"/>
                <w:iCs w:val="0"/>
                <w:caps w:val="0"/>
                <w:color w:val="auto"/>
                <w:spacing w:val="0"/>
                <w:sz w:val="21"/>
                <w:szCs w:val="21"/>
                <w:highlight w:val="none"/>
                <w:shd w:val="clear" w:color="auto" w:fill="FFFFFF"/>
                <w:lang w:val="en-US" w:eastAsia="zh-CN"/>
              </w:rPr>
              <w:t>不足</w:t>
            </w:r>
            <w:r>
              <w:rPr>
                <w:rFonts w:hint="eastAsia" w:ascii="宋体" w:hAnsi="宋体" w:eastAsia="宋体" w:cs="宋体"/>
                <w:i w:val="0"/>
                <w:iCs w:val="0"/>
                <w:caps w:val="0"/>
                <w:color w:val="auto"/>
                <w:spacing w:val="0"/>
                <w:sz w:val="21"/>
                <w:szCs w:val="21"/>
                <w:highlight w:val="none"/>
                <w:shd w:val="clear" w:color="auto" w:fill="FFFFFF"/>
              </w:rPr>
              <w:t>1吨</w:t>
            </w:r>
          </w:p>
        </w:tc>
        <w:tc>
          <w:tcPr>
            <w:tcW w:w="1311" w:type="dxa"/>
            <w:noWrap w:val="0"/>
            <w:vAlign w:val="center"/>
          </w:tcPr>
          <w:p w14:paraId="735476ED">
            <w:pPr>
              <w:keepNext w:val="0"/>
              <w:keepLines w:val="0"/>
              <w:pageBreakBefore w:val="0"/>
              <w:widowControl w:val="0"/>
              <w:shd w:val="clear" w:color="auto" w:fill="auto"/>
              <w:kinsoku/>
              <w:wordWrap/>
              <w:overflowPunct w:val="0"/>
              <w:topLinePunct w:val="0"/>
              <w:autoSpaceDE w:val="0"/>
              <w:autoSpaceDN w:val="0"/>
              <w:bidi w:val="0"/>
              <w:spacing w:line="300" w:lineRule="exac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p>
        </w:tc>
      </w:tr>
      <w:tr w14:paraId="371BB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759" w:type="dxa"/>
            <w:vMerge w:val="continue"/>
            <w:noWrap w:val="0"/>
            <w:vAlign w:val="center"/>
          </w:tcPr>
          <w:p w14:paraId="5A4C346B">
            <w:pPr>
              <w:keepNext w:val="0"/>
              <w:keepLines w:val="0"/>
              <w:pageBreakBefore w:val="0"/>
              <w:widowControl w:val="0"/>
              <w:shd w:val="clear" w:color="auto" w:fill="auto"/>
              <w:kinsoku/>
              <w:wordWrap/>
              <w:topLinePunct w:val="0"/>
              <w:autoSpaceDE w:val="0"/>
              <w:autoSpaceDN w:val="0"/>
              <w:bidi w:val="0"/>
              <w:adjustRightInd/>
              <w:snapToGrid/>
              <w:spacing w:line="300" w:lineRule="exact"/>
              <w:jc w:val="center"/>
              <w:textAlignment w:val="baseline"/>
              <w:rPr>
                <w:rFonts w:hint="eastAsia" w:ascii="宋体" w:hAnsi="宋体" w:eastAsia="宋体" w:cs="宋体"/>
                <w:color w:val="auto"/>
                <w:sz w:val="21"/>
                <w:szCs w:val="21"/>
                <w:highlight w:val="none"/>
              </w:rPr>
            </w:pPr>
          </w:p>
        </w:tc>
        <w:tc>
          <w:tcPr>
            <w:tcW w:w="5609" w:type="dxa"/>
            <w:noWrap w:val="0"/>
            <w:vAlign w:val="center"/>
          </w:tcPr>
          <w:p w14:paraId="10A085BF">
            <w:pPr>
              <w:pStyle w:val="11"/>
              <w:keepNext w:val="0"/>
              <w:keepLines w:val="0"/>
              <w:pageBreakBefore w:val="0"/>
              <w:widowControl w:val="0"/>
              <w:shd w:val="clear" w:color="auto" w:fill="auto"/>
              <w:kinsoku/>
              <w:wordWrap/>
              <w:overflowPunct/>
              <w:topLinePunct w:val="0"/>
              <w:autoSpaceDE w:val="0"/>
              <w:autoSpaceDN w:val="0"/>
              <w:bidi w:val="0"/>
              <w:adjustRightInd/>
              <w:snapToGrid/>
              <w:ind w:left="0" w:leftChars="0" w:right="0" w:rightChars="0" w:firstLine="420" w:firstLineChars="200"/>
              <w:textAlignment w:val="baseline"/>
              <w:rPr>
                <w:rFonts w:hint="eastAsia" w:ascii="宋体" w:hAnsi="宋体" w:eastAsia="宋体" w:cs="宋体"/>
                <w:b/>
                <w:bCs/>
                <w:kern w:val="2"/>
                <w:sz w:val="21"/>
                <w:szCs w:val="21"/>
                <w:highlight w:val="none"/>
                <w:lang w:val="en-US" w:eastAsia="zh-CN" w:bidi="ar-SA"/>
              </w:rPr>
            </w:pPr>
            <w:r>
              <w:rPr>
                <w:rFonts w:hint="eastAsia" w:ascii="宋体" w:hAnsi="宋体" w:eastAsia="宋体" w:cs="宋体"/>
                <w:i w:val="0"/>
                <w:iCs w:val="0"/>
                <w:caps w:val="0"/>
                <w:color w:val="auto"/>
                <w:spacing w:val="0"/>
                <w:sz w:val="21"/>
                <w:szCs w:val="21"/>
                <w:highlight w:val="none"/>
                <w:shd w:val="clear" w:color="auto" w:fill="FFFFFF"/>
              </w:rPr>
              <w:t>1吨以上</w:t>
            </w:r>
            <w:r>
              <w:rPr>
                <w:rFonts w:hint="eastAsia" w:ascii="宋体" w:hAnsi="宋体" w:eastAsia="宋体" w:cs="宋体"/>
                <w:i w:val="0"/>
                <w:iCs w:val="0"/>
                <w:caps w:val="0"/>
                <w:color w:val="auto"/>
                <w:spacing w:val="0"/>
                <w:sz w:val="21"/>
                <w:szCs w:val="21"/>
                <w:highlight w:val="none"/>
                <w:shd w:val="clear" w:color="auto" w:fill="FFFFFF"/>
                <w:lang w:val="en-US" w:eastAsia="zh-CN"/>
              </w:rPr>
              <w:t>不足</w:t>
            </w:r>
            <w:r>
              <w:rPr>
                <w:rFonts w:hint="eastAsia" w:ascii="宋体" w:hAnsi="宋体" w:eastAsia="宋体" w:cs="宋体"/>
                <w:i w:val="0"/>
                <w:iCs w:val="0"/>
                <w:caps w:val="0"/>
                <w:color w:val="auto"/>
                <w:spacing w:val="0"/>
                <w:sz w:val="21"/>
                <w:szCs w:val="21"/>
                <w:highlight w:val="none"/>
                <w:shd w:val="clear" w:color="auto" w:fill="FFFFFF"/>
              </w:rPr>
              <w:t>5吨</w:t>
            </w:r>
          </w:p>
        </w:tc>
        <w:tc>
          <w:tcPr>
            <w:tcW w:w="1311" w:type="dxa"/>
            <w:noWrap w:val="0"/>
            <w:vAlign w:val="center"/>
          </w:tcPr>
          <w:p w14:paraId="6C1D1902">
            <w:pPr>
              <w:keepNext w:val="0"/>
              <w:keepLines w:val="0"/>
              <w:pageBreakBefore w:val="0"/>
              <w:widowControl w:val="0"/>
              <w:shd w:val="clear" w:color="auto" w:fill="auto"/>
              <w:kinsoku/>
              <w:wordWrap/>
              <w:overflowPunct w:val="0"/>
              <w:topLinePunct w:val="0"/>
              <w:autoSpaceDE w:val="0"/>
              <w:autoSpaceDN w:val="0"/>
              <w:bidi w:val="0"/>
              <w:spacing w:line="300" w:lineRule="exac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p>
        </w:tc>
      </w:tr>
      <w:tr w14:paraId="7A514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759" w:type="dxa"/>
            <w:vMerge w:val="continue"/>
            <w:noWrap w:val="0"/>
            <w:vAlign w:val="center"/>
          </w:tcPr>
          <w:p w14:paraId="00ECCB08">
            <w:pPr>
              <w:keepNext w:val="0"/>
              <w:keepLines w:val="0"/>
              <w:pageBreakBefore w:val="0"/>
              <w:widowControl w:val="0"/>
              <w:shd w:val="clear" w:color="auto" w:fill="auto"/>
              <w:kinsoku/>
              <w:wordWrap/>
              <w:topLinePunct w:val="0"/>
              <w:autoSpaceDE w:val="0"/>
              <w:autoSpaceDN w:val="0"/>
              <w:bidi w:val="0"/>
              <w:adjustRightInd/>
              <w:snapToGrid/>
              <w:spacing w:line="300" w:lineRule="exact"/>
              <w:jc w:val="center"/>
              <w:textAlignment w:val="baseline"/>
              <w:rPr>
                <w:rFonts w:hint="eastAsia" w:ascii="宋体" w:hAnsi="宋体" w:eastAsia="宋体" w:cs="宋体"/>
                <w:color w:val="auto"/>
                <w:sz w:val="21"/>
                <w:szCs w:val="21"/>
                <w:highlight w:val="none"/>
              </w:rPr>
            </w:pPr>
          </w:p>
        </w:tc>
        <w:tc>
          <w:tcPr>
            <w:tcW w:w="5609" w:type="dxa"/>
            <w:noWrap w:val="0"/>
            <w:vAlign w:val="center"/>
          </w:tcPr>
          <w:p w14:paraId="549217F9">
            <w:pPr>
              <w:pStyle w:val="11"/>
              <w:keepNext w:val="0"/>
              <w:keepLines w:val="0"/>
              <w:pageBreakBefore w:val="0"/>
              <w:widowControl w:val="0"/>
              <w:shd w:val="clear" w:color="auto" w:fill="auto"/>
              <w:kinsoku/>
              <w:wordWrap/>
              <w:overflowPunct/>
              <w:topLinePunct w:val="0"/>
              <w:autoSpaceDE w:val="0"/>
              <w:autoSpaceDN w:val="0"/>
              <w:bidi w:val="0"/>
              <w:adjustRightInd/>
              <w:snapToGrid/>
              <w:ind w:left="0" w:leftChars="0" w:right="0" w:rightChars="0" w:firstLine="420" w:firstLineChars="200"/>
              <w:textAlignment w:val="baseline"/>
              <w:rPr>
                <w:rFonts w:hint="eastAsia" w:ascii="宋体" w:hAnsi="宋体" w:eastAsia="宋体" w:cs="宋体"/>
                <w:b/>
                <w:bCs/>
                <w:kern w:val="2"/>
                <w:sz w:val="21"/>
                <w:szCs w:val="21"/>
                <w:highlight w:val="none"/>
                <w:lang w:val="en-US" w:eastAsia="zh-CN" w:bidi="ar-SA"/>
              </w:rPr>
            </w:pPr>
            <w:r>
              <w:rPr>
                <w:rFonts w:hint="eastAsia" w:ascii="宋体" w:hAnsi="宋体" w:eastAsia="宋体" w:cs="宋体"/>
                <w:i w:val="0"/>
                <w:iCs w:val="0"/>
                <w:caps w:val="0"/>
                <w:color w:val="auto"/>
                <w:spacing w:val="0"/>
                <w:sz w:val="21"/>
                <w:szCs w:val="21"/>
                <w:highlight w:val="none"/>
                <w:shd w:val="clear" w:color="auto" w:fill="FFFFFF"/>
              </w:rPr>
              <w:t>5吨以上</w:t>
            </w:r>
            <w:r>
              <w:rPr>
                <w:rFonts w:hint="eastAsia" w:ascii="宋体" w:hAnsi="宋体" w:eastAsia="宋体" w:cs="宋体"/>
                <w:i w:val="0"/>
                <w:iCs w:val="0"/>
                <w:caps w:val="0"/>
                <w:color w:val="auto"/>
                <w:spacing w:val="0"/>
                <w:sz w:val="21"/>
                <w:szCs w:val="21"/>
                <w:highlight w:val="none"/>
                <w:shd w:val="clear" w:color="auto" w:fill="FFFFFF"/>
                <w:lang w:val="en-US" w:eastAsia="zh-CN"/>
              </w:rPr>
              <w:t>不足</w:t>
            </w:r>
            <w:r>
              <w:rPr>
                <w:rFonts w:hint="eastAsia" w:ascii="宋体" w:hAnsi="宋体" w:eastAsia="宋体" w:cs="宋体"/>
                <w:i w:val="0"/>
                <w:iCs w:val="0"/>
                <w:caps w:val="0"/>
                <w:color w:val="auto"/>
                <w:spacing w:val="0"/>
                <w:sz w:val="21"/>
                <w:szCs w:val="21"/>
                <w:highlight w:val="none"/>
                <w:shd w:val="clear" w:color="auto" w:fill="FFFFFF"/>
              </w:rPr>
              <w:t>10吨</w:t>
            </w:r>
          </w:p>
        </w:tc>
        <w:tc>
          <w:tcPr>
            <w:tcW w:w="1311" w:type="dxa"/>
            <w:noWrap w:val="0"/>
            <w:vAlign w:val="center"/>
          </w:tcPr>
          <w:p w14:paraId="0D6821D3">
            <w:pPr>
              <w:keepNext w:val="0"/>
              <w:keepLines w:val="0"/>
              <w:pageBreakBefore w:val="0"/>
              <w:widowControl w:val="0"/>
              <w:shd w:val="clear" w:color="auto" w:fill="auto"/>
              <w:kinsoku/>
              <w:wordWrap/>
              <w:overflowPunct w:val="0"/>
              <w:topLinePunct w:val="0"/>
              <w:autoSpaceDE w:val="0"/>
              <w:autoSpaceDN w:val="0"/>
              <w:bidi w:val="0"/>
              <w:spacing w:line="300" w:lineRule="exac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p>
        </w:tc>
      </w:tr>
      <w:tr w14:paraId="63D4F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759" w:type="dxa"/>
            <w:vMerge w:val="continue"/>
            <w:noWrap w:val="0"/>
            <w:vAlign w:val="center"/>
          </w:tcPr>
          <w:p w14:paraId="6458E1FA">
            <w:pPr>
              <w:keepNext w:val="0"/>
              <w:keepLines w:val="0"/>
              <w:pageBreakBefore w:val="0"/>
              <w:widowControl w:val="0"/>
              <w:shd w:val="clear" w:color="auto" w:fill="auto"/>
              <w:kinsoku/>
              <w:wordWrap/>
              <w:topLinePunct w:val="0"/>
              <w:autoSpaceDE w:val="0"/>
              <w:autoSpaceDN w:val="0"/>
              <w:bidi w:val="0"/>
              <w:adjustRightInd/>
              <w:snapToGrid/>
              <w:spacing w:line="300" w:lineRule="exact"/>
              <w:jc w:val="center"/>
              <w:textAlignment w:val="baseline"/>
              <w:rPr>
                <w:rFonts w:hint="eastAsia" w:ascii="宋体" w:hAnsi="宋体" w:eastAsia="宋体" w:cs="宋体"/>
                <w:color w:val="auto"/>
                <w:sz w:val="21"/>
                <w:szCs w:val="21"/>
                <w:highlight w:val="none"/>
              </w:rPr>
            </w:pPr>
          </w:p>
        </w:tc>
        <w:tc>
          <w:tcPr>
            <w:tcW w:w="5609" w:type="dxa"/>
            <w:noWrap w:val="0"/>
            <w:vAlign w:val="center"/>
          </w:tcPr>
          <w:p w14:paraId="3867A335">
            <w:pPr>
              <w:pStyle w:val="11"/>
              <w:keepNext w:val="0"/>
              <w:keepLines w:val="0"/>
              <w:pageBreakBefore w:val="0"/>
              <w:widowControl w:val="0"/>
              <w:shd w:val="clear" w:color="auto" w:fill="auto"/>
              <w:kinsoku/>
              <w:wordWrap/>
              <w:overflowPunct/>
              <w:topLinePunct w:val="0"/>
              <w:autoSpaceDE w:val="0"/>
              <w:autoSpaceDN w:val="0"/>
              <w:bidi w:val="0"/>
              <w:adjustRightInd/>
              <w:snapToGrid/>
              <w:ind w:left="0" w:leftChars="0" w:right="0" w:rightChars="0" w:firstLine="420" w:firstLineChars="200"/>
              <w:textAlignment w:val="baseline"/>
              <w:rPr>
                <w:rFonts w:hint="eastAsia" w:ascii="宋体" w:hAnsi="宋体" w:eastAsia="宋体" w:cs="宋体"/>
                <w:b/>
                <w:bCs/>
                <w:kern w:val="2"/>
                <w:sz w:val="21"/>
                <w:szCs w:val="21"/>
                <w:highlight w:val="none"/>
                <w:lang w:val="en-US" w:eastAsia="zh-CN" w:bidi="ar-SA"/>
              </w:rPr>
            </w:pPr>
            <w:r>
              <w:rPr>
                <w:rFonts w:hint="eastAsia" w:ascii="宋体" w:hAnsi="宋体" w:eastAsia="宋体" w:cs="宋体"/>
                <w:i w:val="0"/>
                <w:iCs w:val="0"/>
                <w:caps w:val="0"/>
                <w:color w:val="auto"/>
                <w:spacing w:val="0"/>
                <w:sz w:val="21"/>
                <w:szCs w:val="21"/>
                <w:highlight w:val="none"/>
                <w:shd w:val="clear" w:color="auto" w:fill="FFFFFF"/>
              </w:rPr>
              <w:t>10吨以上</w:t>
            </w:r>
            <w:r>
              <w:rPr>
                <w:rFonts w:hint="eastAsia" w:ascii="宋体" w:hAnsi="宋体" w:eastAsia="宋体" w:cs="宋体"/>
                <w:i w:val="0"/>
                <w:iCs w:val="0"/>
                <w:caps w:val="0"/>
                <w:color w:val="auto"/>
                <w:spacing w:val="0"/>
                <w:sz w:val="21"/>
                <w:szCs w:val="21"/>
                <w:highlight w:val="none"/>
                <w:shd w:val="clear" w:color="auto" w:fill="FFFFFF"/>
                <w:lang w:val="en-US" w:eastAsia="zh-CN"/>
              </w:rPr>
              <w:t>不足</w:t>
            </w:r>
            <w:r>
              <w:rPr>
                <w:rFonts w:hint="eastAsia" w:ascii="宋体" w:hAnsi="宋体" w:eastAsia="宋体" w:cs="宋体"/>
                <w:i w:val="0"/>
                <w:iCs w:val="0"/>
                <w:caps w:val="0"/>
                <w:color w:val="auto"/>
                <w:spacing w:val="0"/>
                <w:sz w:val="21"/>
                <w:szCs w:val="21"/>
                <w:highlight w:val="none"/>
                <w:shd w:val="clear" w:color="auto" w:fill="FFFFFF"/>
              </w:rPr>
              <w:t>50吨</w:t>
            </w:r>
          </w:p>
        </w:tc>
        <w:tc>
          <w:tcPr>
            <w:tcW w:w="1311" w:type="dxa"/>
            <w:noWrap w:val="0"/>
            <w:vAlign w:val="center"/>
          </w:tcPr>
          <w:p w14:paraId="0829010E">
            <w:pPr>
              <w:keepNext w:val="0"/>
              <w:keepLines w:val="0"/>
              <w:pageBreakBefore w:val="0"/>
              <w:widowControl w:val="0"/>
              <w:shd w:val="clear" w:color="auto" w:fill="auto"/>
              <w:kinsoku/>
              <w:wordWrap/>
              <w:overflowPunct w:val="0"/>
              <w:topLinePunct w:val="0"/>
              <w:autoSpaceDE w:val="0"/>
              <w:autoSpaceDN w:val="0"/>
              <w:bidi w:val="0"/>
              <w:spacing w:line="300" w:lineRule="exac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p>
        </w:tc>
      </w:tr>
      <w:tr w14:paraId="07005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759" w:type="dxa"/>
            <w:vMerge w:val="continue"/>
            <w:noWrap w:val="0"/>
            <w:vAlign w:val="center"/>
          </w:tcPr>
          <w:p w14:paraId="143FF515">
            <w:pPr>
              <w:keepNext w:val="0"/>
              <w:keepLines w:val="0"/>
              <w:pageBreakBefore w:val="0"/>
              <w:widowControl w:val="0"/>
              <w:shd w:val="clear" w:color="auto" w:fill="auto"/>
              <w:kinsoku/>
              <w:wordWrap/>
              <w:topLinePunct w:val="0"/>
              <w:autoSpaceDE w:val="0"/>
              <w:autoSpaceDN w:val="0"/>
              <w:bidi w:val="0"/>
              <w:adjustRightInd/>
              <w:snapToGrid/>
              <w:spacing w:line="300" w:lineRule="exact"/>
              <w:jc w:val="center"/>
              <w:textAlignment w:val="baseline"/>
              <w:rPr>
                <w:rFonts w:hint="eastAsia" w:ascii="宋体" w:hAnsi="宋体" w:eastAsia="宋体" w:cs="宋体"/>
                <w:color w:val="auto"/>
                <w:sz w:val="21"/>
                <w:szCs w:val="21"/>
                <w:highlight w:val="none"/>
              </w:rPr>
            </w:pPr>
          </w:p>
        </w:tc>
        <w:tc>
          <w:tcPr>
            <w:tcW w:w="5609" w:type="dxa"/>
            <w:noWrap w:val="0"/>
            <w:vAlign w:val="center"/>
          </w:tcPr>
          <w:p w14:paraId="67E23621">
            <w:pPr>
              <w:pStyle w:val="11"/>
              <w:keepNext w:val="0"/>
              <w:keepLines w:val="0"/>
              <w:pageBreakBefore w:val="0"/>
              <w:widowControl w:val="0"/>
              <w:shd w:val="clear" w:color="auto" w:fill="auto"/>
              <w:kinsoku/>
              <w:wordWrap/>
              <w:overflowPunct/>
              <w:topLinePunct w:val="0"/>
              <w:autoSpaceDE w:val="0"/>
              <w:autoSpaceDN w:val="0"/>
              <w:bidi w:val="0"/>
              <w:adjustRightInd/>
              <w:snapToGrid/>
              <w:ind w:left="0" w:leftChars="0" w:right="0" w:rightChars="0" w:firstLine="420" w:firstLineChars="200"/>
              <w:textAlignment w:val="baseline"/>
              <w:rPr>
                <w:rFonts w:hint="eastAsia" w:ascii="宋体" w:hAnsi="宋体" w:eastAsia="宋体" w:cs="宋体"/>
                <w:b/>
                <w:bCs/>
                <w:kern w:val="2"/>
                <w:sz w:val="21"/>
                <w:szCs w:val="21"/>
                <w:highlight w:val="none"/>
                <w:lang w:val="en-US" w:eastAsia="zh-CN" w:bidi="ar-SA"/>
              </w:rPr>
            </w:pPr>
            <w:r>
              <w:rPr>
                <w:rFonts w:hint="eastAsia" w:ascii="宋体" w:hAnsi="宋体" w:eastAsia="宋体" w:cs="宋体"/>
                <w:i w:val="0"/>
                <w:iCs w:val="0"/>
                <w:caps w:val="0"/>
                <w:color w:val="auto"/>
                <w:spacing w:val="0"/>
                <w:sz w:val="21"/>
                <w:szCs w:val="21"/>
                <w:highlight w:val="none"/>
                <w:shd w:val="clear" w:color="auto" w:fill="FFFFFF"/>
              </w:rPr>
              <w:t>50吨以上</w:t>
            </w:r>
          </w:p>
        </w:tc>
        <w:tc>
          <w:tcPr>
            <w:tcW w:w="1311" w:type="dxa"/>
            <w:noWrap w:val="0"/>
            <w:vAlign w:val="center"/>
          </w:tcPr>
          <w:p w14:paraId="21740D52">
            <w:pPr>
              <w:keepNext w:val="0"/>
              <w:keepLines w:val="0"/>
              <w:pageBreakBefore w:val="0"/>
              <w:widowControl w:val="0"/>
              <w:shd w:val="clear" w:color="auto" w:fill="auto"/>
              <w:kinsoku/>
              <w:wordWrap/>
              <w:overflowPunct w:val="0"/>
              <w:topLinePunct w:val="0"/>
              <w:autoSpaceDE w:val="0"/>
              <w:autoSpaceDN w:val="0"/>
              <w:bidi w:val="0"/>
              <w:spacing w:line="300" w:lineRule="exac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p>
        </w:tc>
      </w:tr>
    </w:tbl>
    <w:p w14:paraId="2113DC83">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page"/>
      </w:r>
    </w:p>
    <w:tbl>
      <w:tblPr>
        <w:tblStyle w:val="8"/>
        <w:tblW w:w="509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44"/>
        <w:gridCol w:w="5893"/>
        <w:gridCol w:w="1376"/>
      </w:tblGrid>
      <w:tr w14:paraId="46BF0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8679" w:type="dxa"/>
            <w:gridSpan w:val="3"/>
            <w:noWrap w:val="0"/>
            <w:vAlign w:val="center"/>
          </w:tcPr>
          <w:p w14:paraId="5A9BF08B">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（十一）化学物质污染风险管控、电磁辐射和光污染防治类</w:t>
            </w:r>
          </w:p>
        </w:tc>
      </w:tr>
      <w:tr w14:paraId="2EC42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757" w:type="dxa"/>
            <w:noWrap w:val="0"/>
            <w:vAlign w:val="center"/>
          </w:tcPr>
          <w:p w14:paraId="229047A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922" w:type="dxa"/>
            <w:gridSpan w:val="2"/>
            <w:noWrap w:val="0"/>
            <w:vAlign w:val="center"/>
          </w:tcPr>
          <w:p w14:paraId="016A48E7">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r>
      <w:tr w14:paraId="0CCC3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1757" w:type="dxa"/>
            <w:noWrap w:val="0"/>
            <w:vAlign w:val="center"/>
          </w:tcPr>
          <w:p w14:paraId="10A93FA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6922" w:type="dxa"/>
            <w:gridSpan w:val="2"/>
            <w:noWrap w:val="0"/>
            <w:vAlign w:val="center"/>
          </w:tcPr>
          <w:p w14:paraId="679401EF">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未实行排污许可管理的企业事业单位，超过电磁辐射排放标准排放电磁辐射的</w:t>
            </w:r>
          </w:p>
        </w:tc>
      </w:tr>
      <w:tr w14:paraId="05101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8" w:hRule="atLeast"/>
          <w:jc w:val="center"/>
        </w:trPr>
        <w:tc>
          <w:tcPr>
            <w:tcW w:w="1757" w:type="dxa"/>
            <w:noWrap w:val="0"/>
            <w:vAlign w:val="center"/>
          </w:tcPr>
          <w:p w14:paraId="501ABC2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6922" w:type="dxa"/>
            <w:gridSpan w:val="2"/>
            <w:noWrap w:val="0"/>
            <w:vAlign w:val="center"/>
          </w:tcPr>
          <w:p w14:paraId="7F6CABF2">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《中华人民共和国生态环境法典》第六百五十九条 运行电磁辐射设施的企业事业单位应当优化布局，合理安排电磁辐射设施，采取有效措施，防止、减轻电磁辐射污染。</w:t>
            </w:r>
          </w:p>
          <w:p w14:paraId="42A2D2E8">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运行电磁辐射设施的企业事业单位，应当按照国家规定配套建设电磁辐射污染防治设施，并保证污染防治设施正常运行。</w:t>
            </w:r>
          </w:p>
        </w:tc>
      </w:tr>
      <w:tr w14:paraId="2AFA2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1757" w:type="dxa"/>
            <w:noWrap w:val="0"/>
            <w:vAlign w:val="center"/>
          </w:tcPr>
          <w:p w14:paraId="4870891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6922" w:type="dxa"/>
            <w:gridSpan w:val="2"/>
            <w:noWrap w:val="0"/>
            <w:vAlign w:val="center"/>
          </w:tcPr>
          <w:p w14:paraId="1583FBE4">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《中华人民共和国生态环境法典》第一千二百零八条</w:t>
            </w:r>
            <w:r>
              <w:rPr>
                <w:rFonts w:hint="eastAsia" w:ascii="宋体" w:hAnsi="宋体" w:eastAsia="宋体" w:cs="宋体"/>
                <w:color w:val="auto"/>
                <w:sz w:val="21"/>
                <w:szCs w:val="21"/>
                <w:highlight w:val="none"/>
                <w:lang w:val="en-US" w:eastAsia="zh-CN"/>
              </w:rPr>
              <w:t>第一项</w:t>
            </w:r>
            <w:r>
              <w:rPr>
                <w:rFonts w:hint="eastAsia" w:ascii="宋体" w:hAnsi="宋体" w:eastAsia="宋体" w:cs="宋体"/>
                <w:color w:val="auto"/>
                <w:sz w:val="21"/>
                <w:szCs w:val="21"/>
                <w:highlight w:val="none"/>
              </w:rPr>
              <w:t xml:space="preserve">  违反本法规定，未实行排污许可管理的企业事业单位，有下列情形之一的，由负有生态环境保护监督管理职责的部门、机构按照职责分工责令改正，处二万元以上二十万元以下的罚款；拒不改正的，可以责令限制生产、停产整治：</w:t>
            </w:r>
          </w:p>
          <w:p w14:paraId="72432313">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（一）超过电磁辐射排放标准排放电磁辐射；</w:t>
            </w:r>
          </w:p>
        </w:tc>
      </w:tr>
      <w:tr w14:paraId="12CE3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757" w:type="dxa"/>
            <w:noWrap w:val="0"/>
            <w:vAlign w:val="center"/>
          </w:tcPr>
          <w:p w14:paraId="1B978EC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612" w:type="dxa"/>
            <w:noWrap w:val="0"/>
            <w:vAlign w:val="center"/>
          </w:tcPr>
          <w:p w14:paraId="2121271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310" w:type="dxa"/>
            <w:noWrap w:val="0"/>
            <w:vAlign w:val="center"/>
          </w:tcPr>
          <w:p w14:paraId="75A0C0D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116A0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757" w:type="dxa"/>
            <w:vMerge w:val="restart"/>
            <w:noWrap w:val="0"/>
            <w:vAlign w:val="center"/>
          </w:tcPr>
          <w:p w14:paraId="5E644DC9">
            <w:pPr>
              <w:keepNext w:val="0"/>
              <w:keepLines w:val="0"/>
              <w:pageBreakBefore w:val="0"/>
              <w:widowControl w:val="0"/>
              <w:shd w:val="clear" w:color="auto" w:fill="auto"/>
              <w:kinsoku/>
              <w:wordWrap/>
              <w:topLinePunct w:val="0"/>
              <w:autoSpaceDE w:val="0"/>
              <w:autoSpaceDN w:val="0"/>
              <w:bidi w:val="0"/>
              <w:adjustRightInd/>
              <w:snapToGrid/>
              <w:spacing w:line="300" w:lineRule="exac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0"/>
                <w:sz w:val="21"/>
                <w:szCs w:val="21"/>
                <w:highlight w:val="none"/>
                <w:lang w:eastAsia="zh-CN"/>
              </w:rPr>
              <w:t>电磁辐射超标</w:t>
            </w:r>
            <w:r>
              <w:rPr>
                <w:rFonts w:hint="eastAsia" w:ascii="宋体" w:hAnsi="宋体" w:cs="宋体"/>
                <w:color w:val="auto"/>
                <w:spacing w:val="0"/>
                <w:sz w:val="21"/>
                <w:szCs w:val="21"/>
                <w:highlight w:val="none"/>
                <w:lang w:val="en-US" w:eastAsia="zh-CN"/>
              </w:rPr>
              <w:t>状况</w:t>
            </w:r>
          </w:p>
        </w:tc>
        <w:tc>
          <w:tcPr>
            <w:tcW w:w="5612" w:type="dxa"/>
            <w:noWrap w:val="0"/>
            <w:vAlign w:val="center"/>
          </w:tcPr>
          <w:p w14:paraId="1E96426C">
            <w:pPr>
              <w:pStyle w:val="11"/>
              <w:keepNext w:val="0"/>
              <w:keepLines w:val="0"/>
              <w:pageBreakBefore w:val="0"/>
              <w:widowControl w:val="0"/>
              <w:shd w:val="clear" w:color="auto" w:fill="auto"/>
              <w:kinsoku/>
              <w:wordWrap/>
              <w:overflowPunct/>
              <w:topLinePunct w:val="0"/>
              <w:autoSpaceDE w:val="0"/>
              <w:autoSpaceDN w:val="0"/>
              <w:bidi w:val="0"/>
              <w:adjustRightInd/>
              <w:snapToGrid/>
              <w:ind w:left="0" w:leftChars="0" w:right="0" w:rightChars="0" w:firstLine="420" w:firstLineChars="20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超标10%以下</w:t>
            </w:r>
          </w:p>
        </w:tc>
        <w:tc>
          <w:tcPr>
            <w:tcW w:w="1310" w:type="dxa"/>
            <w:noWrap w:val="0"/>
            <w:vAlign w:val="center"/>
          </w:tcPr>
          <w:p w14:paraId="76ED90CD">
            <w:pPr>
              <w:keepNext w:val="0"/>
              <w:keepLines w:val="0"/>
              <w:pageBreakBefore w:val="0"/>
              <w:widowControl w:val="0"/>
              <w:shd w:val="clear" w:color="auto" w:fill="auto"/>
              <w:kinsoku/>
              <w:wordWrap/>
              <w:overflowPunct w:val="0"/>
              <w:topLinePunct w:val="0"/>
              <w:autoSpaceDE w:val="0"/>
              <w:autoSpaceDN w:val="0"/>
              <w:bidi w:val="0"/>
              <w:spacing w:line="300" w:lineRule="exac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p>
        </w:tc>
      </w:tr>
      <w:tr w14:paraId="04034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757" w:type="dxa"/>
            <w:vMerge w:val="continue"/>
            <w:noWrap w:val="0"/>
            <w:vAlign w:val="center"/>
          </w:tcPr>
          <w:p w14:paraId="428DF376">
            <w:pPr>
              <w:keepNext w:val="0"/>
              <w:keepLines w:val="0"/>
              <w:pageBreakBefore w:val="0"/>
              <w:widowControl w:val="0"/>
              <w:shd w:val="clear" w:color="auto" w:fill="auto"/>
              <w:kinsoku/>
              <w:wordWrap/>
              <w:topLinePunct w:val="0"/>
              <w:autoSpaceDE w:val="0"/>
              <w:autoSpaceDN w:val="0"/>
              <w:bidi w:val="0"/>
              <w:adjustRightInd/>
              <w:snapToGrid/>
              <w:spacing w:line="300" w:lineRule="exact"/>
              <w:jc w:val="center"/>
              <w:textAlignment w:val="baseline"/>
              <w:rPr>
                <w:rFonts w:hint="eastAsia" w:ascii="宋体" w:hAnsi="宋体" w:eastAsia="宋体" w:cs="宋体"/>
                <w:color w:val="auto"/>
                <w:sz w:val="21"/>
                <w:szCs w:val="21"/>
                <w:highlight w:val="none"/>
              </w:rPr>
            </w:pPr>
          </w:p>
        </w:tc>
        <w:tc>
          <w:tcPr>
            <w:tcW w:w="5612" w:type="dxa"/>
            <w:noWrap w:val="0"/>
            <w:vAlign w:val="center"/>
          </w:tcPr>
          <w:p w14:paraId="265F4890">
            <w:pPr>
              <w:pStyle w:val="11"/>
              <w:keepNext w:val="0"/>
              <w:keepLines w:val="0"/>
              <w:pageBreakBefore w:val="0"/>
              <w:widowControl w:val="0"/>
              <w:shd w:val="clear" w:color="auto" w:fill="auto"/>
              <w:kinsoku/>
              <w:wordWrap/>
              <w:overflowPunct/>
              <w:topLinePunct w:val="0"/>
              <w:autoSpaceDE w:val="0"/>
              <w:autoSpaceDN w:val="0"/>
              <w:bidi w:val="0"/>
              <w:adjustRightInd/>
              <w:snapToGrid/>
              <w:ind w:left="0" w:leftChars="0" w:right="0" w:rightChars="0" w:firstLine="420" w:firstLineChars="20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超标10%以上50%以下</w:t>
            </w:r>
          </w:p>
        </w:tc>
        <w:tc>
          <w:tcPr>
            <w:tcW w:w="1310" w:type="dxa"/>
            <w:noWrap w:val="0"/>
            <w:vAlign w:val="center"/>
          </w:tcPr>
          <w:p w14:paraId="29FCF9DD">
            <w:pPr>
              <w:keepNext w:val="0"/>
              <w:keepLines w:val="0"/>
              <w:pageBreakBefore w:val="0"/>
              <w:widowControl w:val="0"/>
              <w:shd w:val="clear" w:color="auto" w:fill="auto"/>
              <w:kinsoku/>
              <w:wordWrap/>
              <w:overflowPunct w:val="0"/>
              <w:topLinePunct w:val="0"/>
              <w:autoSpaceDE w:val="0"/>
              <w:autoSpaceDN w:val="0"/>
              <w:bidi w:val="0"/>
              <w:spacing w:line="300" w:lineRule="exac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p>
        </w:tc>
      </w:tr>
      <w:tr w14:paraId="00B49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757" w:type="dxa"/>
            <w:vMerge w:val="continue"/>
            <w:noWrap w:val="0"/>
            <w:vAlign w:val="center"/>
          </w:tcPr>
          <w:p w14:paraId="378F86EE">
            <w:pPr>
              <w:keepNext w:val="0"/>
              <w:keepLines w:val="0"/>
              <w:pageBreakBefore w:val="0"/>
              <w:widowControl w:val="0"/>
              <w:shd w:val="clear" w:color="auto" w:fill="auto"/>
              <w:kinsoku/>
              <w:wordWrap/>
              <w:topLinePunct w:val="0"/>
              <w:autoSpaceDE w:val="0"/>
              <w:autoSpaceDN w:val="0"/>
              <w:bidi w:val="0"/>
              <w:adjustRightInd/>
              <w:snapToGrid/>
              <w:spacing w:line="300" w:lineRule="exact"/>
              <w:jc w:val="center"/>
              <w:textAlignment w:val="baseline"/>
              <w:rPr>
                <w:rFonts w:hint="eastAsia" w:ascii="宋体" w:hAnsi="宋体" w:eastAsia="宋体" w:cs="宋体"/>
                <w:color w:val="auto"/>
                <w:sz w:val="21"/>
                <w:szCs w:val="21"/>
                <w:highlight w:val="none"/>
              </w:rPr>
            </w:pPr>
          </w:p>
        </w:tc>
        <w:tc>
          <w:tcPr>
            <w:tcW w:w="5612" w:type="dxa"/>
            <w:noWrap w:val="0"/>
            <w:vAlign w:val="center"/>
          </w:tcPr>
          <w:p w14:paraId="13E4EF49">
            <w:pPr>
              <w:pStyle w:val="11"/>
              <w:keepNext w:val="0"/>
              <w:keepLines w:val="0"/>
              <w:pageBreakBefore w:val="0"/>
              <w:widowControl w:val="0"/>
              <w:shd w:val="clear" w:color="auto" w:fill="auto"/>
              <w:kinsoku/>
              <w:wordWrap/>
              <w:overflowPunct/>
              <w:topLinePunct w:val="0"/>
              <w:autoSpaceDE w:val="0"/>
              <w:autoSpaceDN w:val="0"/>
              <w:bidi w:val="0"/>
              <w:adjustRightInd/>
              <w:snapToGrid/>
              <w:ind w:left="0" w:leftChars="0" w:right="0" w:rightChars="0" w:firstLine="420" w:firstLineChars="20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超标50%以上100%以下</w:t>
            </w:r>
          </w:p>
        </w:tc>
        <w:tc>
          <w:tcPr>
            <w:tcW w:w="1310" w:type="dxa"/>
            <w:noWrap w:val="0"/>
            <w:vAlign w:val="center"/>
          </w:tcPr>
          <w:p w14:paraId="74E2B7EF">
            <w:pPr>
              <w:keepNext w:val="0"/>
              <w:keepLines w:val="0"/>
              <w:pageBreakBefore w:val="0"/>
              <w:widowControl w:val="0"/>
              <w:shd w:val="clear" w:color="auto" w:fill="auto"/>
              <w:kinsoku/>
              <w:wordWrap/>
              <w:overflowPunct w:val="0"/>
              <w:topLinePunct w:val="0"/>
              <w:autoSpaceDE w:val="0"/>
              <w:autoSpaceDN w:val="0"/>
              <w:bidi w:val="0"/>
              <w:spacing w:line="300" w:lineRule="exac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p>
        </w:tc>
      </w:tr>
      <w:tr w14:paraId="0D260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757" w:type="dxa"/>
            <w:vMerge w:val="continue"/>
            <w:noWrap w:val="0"/>
            <w:vAlign w:val="center"/>
          </w:tcPr>
          <w:p w14:paraId="3F9D33E8">
            <w:pPr>
              <w:keepNext w:val="0"/>
              <w:keepLines w:val="0"/>
              <w:pageBreakBefore w:val="0"/>
              <w:widowControl w:val="0"/>
              <w:shd w:val="clear" w:color="auto" w:fill="auto"/>
              <w:kinsoku/>
              <w:wordWrap/>
              <w:topLinePunct w:val="0"/>
              <w:autoSpaceDE w:val="0"/>
              <w:autoSpaceDN w:val="0"/>
              <w:bidi w:val="0"/>
              <w:adjustRightInd/>
              <w:snapToGrid/>
              <w:spacing w:line="300" w:lineRule="exact"/>
              <w:jc w:val="center"/>
              <w:textAlignment w:val="baseline"/>
              <w:rPr>
                <w:rFonts w:hint="eastAsia" w:ascii="宋体" w:hAnsi="宋体" w:eastAsia="宋体" w:cs="宋体"/>
                <w:color w:val="auto"/>
                <w:sz w:val="21"/>
                <w:szCs w:val="21"/>
                <w:highlight w:val="none"/>
              </w:rPr>
            </w:pPr>
          </w:p>
        </w:tc>
        <w:tc>
          <w:tcPr>
            <w:tcW w:w="5612" w:type="dxa"/>
            <w:noWrap w:val="0"/>
            <w:vAlign w:val="center"/>
          </w:tcPr>
          <w:p w14:paraId="6DE8E5D4">
            <w:pPr>
              <w:pStyle w:val="11"/>
              <w:keepNext w:val="0"/>
              <w:keepLines w:val="0"/>
              <w:pageBreakBefore w:val="0"/>
              <w:widowControl w:val="0"/>
              <w:shd w:val="clear" w:color="auto" w:fill="auto"/>
              <w:kinsoku/>
              <w:wordWrap/>
              <w:overflowPunct/>
              <w:topLinePunct w:val="0"/>
              <w:autoSpaceDE w:val="0"/>
              <w:autoSpaceDN w:val="0"/>
              <w:bidi w:val="0"/>
              <w:adjustRightInd/>
              <w:snapToGrid/>
              <w:ind w:left="0" w:leftChars="0" w:right="0" w:rightChars="0" w:firstLine="420" w:firstLineChars="20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超标100%以上200%以下</w:t>
            </w:r>
          </w:p>
        </w:tc>
        <w:tc>
          <w:tcPr>
            <w:tcW w:w="1310" w:type="dxa"/>
            <w:noWrap w:val="0"/>
            <w:vAlign w:val="center"/>
          </w:tcPr>
          <w:p w14:paraId="3E9F5C1B">
            <w:pPr>
              <w:keepNext w:val="0"/>
              <w:keepLines w:val="0"/>
              <w:pageBreakBefore w:val="0"/>
              <w:widowControl w:val="0"/>
              <w:shd w:val="clear" w:color="auto" w:fill="auto"/>
              <w:kinsoku/>
              <w:wordWrap/>
              <w:overflowPunct w:val="0"/>
              <w:topLinePunct w:val="0"/>
              <w:autoSpaceDE w:val="0"/>
              <w:autoSpaceDN w:val="0"/>
              <w:bidi w:val="0"/>
              <w:spacing w:line="300" w:lineRule="exac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p>
        </w:tc>
      </w:tr>
      <w:tr w14:paraId="256F9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757" w:type="dxa"/>
            <w:vMerge w:val="continue"/>
            <w:noWrap w:val="0"/>
            <w:vAlign w:val="center"/>
          </w:tcPr>
          <w:p w14:paraId="57736656">
            <w:pPr>
              <w:keepNext w:val="0"/>
              <w:keepLines w:val="0"/>
              <w:pageBreakBefore w:val="0"/>
              <w:widowControl w:val="0"/>
              <w:shd w:val="clear" w:color="auto" w:fill="auto"/>
              <w:kinsoku/>
              <w:wordWrap/>
              <w:topLinePunct w:val="0"/>
              <w:autoSpaceDE w:val="0"/>
              <w:autoSpaceDN w:val="0"/>
              <w:bidi w:val="0"/>
              <w:adjustRightInd/>
              <w:snapToGrid/>
              <w:spacing w:line="300" w:lineRule="exact"/>
              <w:jc w:val="center"/>
              <w:textAlignment w:val="baseline"/>
              <w:rPr>
                <w:rFonts w:hint="eastAsia" w:ascii="宋体" w:hAnsi="宋体" w:eastAsia="宋体" w:cs="宋体"/>
                <w:color w:val="auto"/>
                <w:sz w:val="21"/>
                <w:szCs w:val="21"/>
                <w:highlight w:val="none"/>
              </w:rPr>
            </w:pPr>
          </w:p>
        </w:tc>
        <w:tc>
          <w:tcPr>
            <w:tcW w:w="5612" w:type="dxa"/>
            <w:noWrap w:val="0"/>
            <w:vAlign w:val="center"/>
          </w:tcPr>
          <w:p w14:paraId="52F2DB35">
            <w:pPr>
              <w:pStyle w:val="11"/>
              <w:keepNext w:val="0"/>
              <w:keepLines w:val="0"/>
              <w:pageBreakBefore w:val="0"/>
              <w:widowControl w:val="0"/>
              <w:shd w:val="clear" w:color="auto" w:fill="auto"/>
              <w:kinsoku/>
              <w:wordWrap/>
              <w:overflowPunct/>
              <w:topLinePunct w:val="0"/>
              <w:autoSpaceDE w:val="0"/>
              <w:autoSpaceDN w:val="0"/>
              <w:bidi w:val="0"/>
              <w:adjustRightInd/>
              <w:snapToGrid/>
              <w:ind w:left="0" w:leftChars="0" w:right="0" w:rightChars="0" w:firstLine="420" w:firstLineChars="20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超标200%以上</w:t>
            </w:r>
          </w:p>
        </w:tc>
        <w:tc>
          <w:tcPr>
            <w:tcW w:w="1310" w:type="dxa"/>
            <w:noWrap w:val="0"/>
            <w:vAlign w:val="center"/>
          </w:tcPr>
          <w:p w14:paraId="6110F2D6">
            <w:pPr>
              <w:keepNext w:val="0"/>
              <w:keepLines w:val="0"/>
              <w:pageBreakBefore w:val="0"/>
              <w:widowControl w:val="0"/>
              <w:shd w:val="clear" w:color="auto" w:fill="auto"/>
              <w:kinsoku/>
              <w:wordWrap/>
              <w:overflowPunct w:val="0"/>
              <w:topLinePunct w:val="0"/>
              <w:autoSpaceDE w:val="0"/>
              <w:autoSpaceDN w:val="0"/>
              <w:bidi w:val="0"/>
              <w:spacing w:line="300" w:lineRule="exac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p>
        </w:tc>
      </w:tr>
      <w:tr w14:paraId="532EB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757" w:type="dxa"/>
            <w:vMerge w:val="restart"/>
            <w:noWrap w:val="0"/>
            <w:vAlign w:val="center"/>
          </w:tcPr>
          <w:p w14:paraId="1B01C051">
            <w:pPr>
              <w:keepNext w:val="0"/>
              <w:keepLines w:val="0"/>
              <w:pageBreakBefore w:val="0"/>
              <w:widowControl w:val="0"/>
              <w:shd w:val="clear" w:color="auto" w:fill="auto"/>
              <w:kinsoku/>
              <w:wordWrap/>
              <w:topLinePunct w:val="0"/>
              <w:autoSpaceDE w:val="0"/>
              <w:autoSpaceDN w:val="0"/>
              <w:bidi w:val="0"/>
              <w:adjustRightInd/>
              <w:snapToGrid/>
              <w:spacing w:line="300" w:lineRule="exact"/>
              <w:jc w:val="center"/>
              <w:textAlignment w:val="baseline"/>
              <w:rPr>
                <w:rFonts w:hint="eastAsia" w:ascii="宋体" w:hAnsi="宋体" w:eastAsia="宋体" w:cs="宋体"/>
                <w:color w:val="auto"/>
                <w:sz w:val="21"/>
                <w:szCs w:val="21"/>
                <w:highlight w:val="none"/>
              </w:rPr>
            </w:pPr>
            <w:r>
              <w:rPr>
                <w:rFonts w:hint="eastAsia" w:ascii="宋体" w:hAnsi="宋体" w:cs="宋体"/>
                <w:color w:val="auto"/>
                <w:spacing w:val="7"/>
                <w:sz w:val="21"/>
                <w:szCs w:val="21"/>
                <w:highlight w:val="none"/>
                <w:lang w:val="en-US" w:eastAsia="zh-CN"/>
              </w:rPr>
              <w:t>违法行为发生地</w:t>
            </w:r>
          </w:p>
        </w:tc>
        <w:tc>
          <w:tcPr>
            <w:tcW w:w="5612" w:type="dxa"/>
            <w:noWrap w:val="0"/>
            <w:vAlign w:val="center"/>
          </w:tcPr>
          <w:p w14:paraId="4E735A45">
            <w:pPr>
              <w:keepNext w:val="0"/>
              <w:keepLines w:val="0"/>
              <w:pageBreakBefore w:val="0"/>
              <w:widowControl w:val="0"/>
              <w:shd w:val="clear" w:color="auto" w:fill="auto"/>
              <w:kinsoku/>
              <w:wordWrap/>
              <w:overflowPunct/>
              <w:topLinePunct w:val="0"/>
              <w:autoSpaceDE w:val="0"/>
              <w:autoSpaceDN w:val="0"/>
              <w:bidi w:val="0"/>
              <w:adjustRightInd/>
              <w:snapToGrid/>
              <w:spacing w:line="290" w:lineRule="exact"/>
              <w:ind w:firstLine="420" w:firstLineChars="200"/>
              <w:jc w:val="both"/>
              <w:textAlignment w:val="baseline"/>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位于电磁辐射背景值较低、人口稀疏区域</w:t>
            </w:r>
          </w:p>
        </w:tc>
        <w:tc>
          <w:tcPr>
            <w:tcW w:w="1310" w:type="dxa"/>
            <w:noWrap w:val="0"/>
            <w:vAlign w:val="center"/>
          </w:tcPr>
          <w:p w14:paraId="7DEFDE00">
            <w:pPr>
              <w:keepNext w:val="0"/>
              <w:keepLines w:val="0"/>
              <w:pageBreakBefore w:val="0"/>
              <w:widowControl w:val="0"/>
              <w:shd w:val="clear" w:color="auto" w:fill="auto"/>
              <w:kinsoku/>
              <w:wordWrap/>
              <w:overflowPunct/>
              <w:topLinePunct w:val="0"/>
              <w:autoSpaceDE w:val="0"/>
              <w:autoSpaceDN w:val="0"/>
              <w:bidi w:val="0"/>
              <w:adjustRightInd/>
              <w:snapToGrid/>
              <w:spacing w:line="290" w:lineRule="exac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1</w:t>
            </w:r>
          </w:p>
        </w:tc>
      </w:tr>
      <w:tr w14:paraId="0C124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757" w:type="dxa"/>
            <w:vMerge w:val="continue"/>
            <w:noWrap w:val="0"/>
            <w:vAlign w:val="center"/>
          </w:tcPr>
          <w:p w14:paraId="2046F0BB">
            <w:pPr>
              <w:keepNext w:val="0"/>
              <w:keepLines w:val="0"/>
              <w:pageBreakBefore w:val="0"/>
              <w:widowControl w:val="0"/>
              <w:shd w:val="clear" w:color="auto" w:fill="auto"/>
              <w:kinsoku/>
              <w:wordWrap/>
              <w:topLinePunct w:val="0"/>
              <w:autoSpaceDE w:val="0"/>
              <w:autoSpaceDN w:val="0"/>
              <w:bidi w:val="0"/>
              <w:adjustRightInd/>
              <w:snapToGrid/>
              <w:spacing w:line="300" w:lineRule="exact"/>
              <w:jc w:val="center"/>
              <w:textAlignment w:val="baseline"/>
              <w:rPr>
                <w:rFonts w:hint="eastAsia" w:ascii="宋体" w:hAnsi="宋体" w:eastAsia="宋体" w:cs="宋体"/>
                <w:color w:val="auto"/>
                <w:sz w:val="21"/>
                <w:szCs w:val="21"/>
                <w:highlight w:val="none"/>
              </w:rPr>
            </w:pPr>
          </w:p>
        </w:tc>
        <w:tc>
          <w:tcPr>
            <w:tcW w:w="5612" w:type="dxa"/>
            <w:noWrap w:val="0"/>
            <w:vAlign w:val="center"/>
          </w:tcPr>
          <w:p w14:paraId="55FC85C4">
            <w:pPr>
              <w:keepNext w:val="0"/>
              <w:keepLines w:val="0"/>
              <w:pageBreakBefore w:val="0"/>
              <w:widowControl w:val="0"/>
              <w:shd w:val="clear" w:color="auto" w:fill="auto"/>
              <w:kinsoku/>
              <w:wordWrap/>
              <w:overflowPunct/>
              <w:topLinePunct w:val="0"/>
              <w:autoSpaceDE w:val="0"/>
              <w:autoSpaceDN w:val="0"/>
              <w:bidi w:val="0"/>
              <w:adjustRightInd/>
              <w:snapToGrid/>
              <w:spacing w:line="290" w:lineRule="exact"/>
              <w:ind w:firstLine="420" w:firstLineChars="200"/>
              <w:jc w:val="both"/>
              <w:textAlignment w:val="baseline"/>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位于一般工业区</w:t>
            </w:r>
          </w:p>
        </w:tc>
        <w:tc>
          <w:tcPr>
            <w:tcW w:w="1310" w:type="dxa"/>
            <w:noWrap w:val="0"/>
            <w:vAlign w:val="center"/>
          </w:tcPr>
          <w:p w14:paraId="42914898">
            <w:pPr>
              <w:keepNext w:val="0"/>
              <w:keepLines w:val="0"/>
              <w:pageBreakBefore w:val="0"/>
              <w:widowControl w:val="0"/>
              <w:shd w:val="clear" w:color="auto" w:fill="auto"/>
              <w:kinsoku/>
              <w:wordWrap/>
              <w:overflowPunct/>
              <w:topLinePunct w:val="0"/>
              <w:autoSpaceDE w:val="0"/>
              <w:autoSpaceDN w:val="0"/>
              <w:bidi w:val="0"/>
              <w:adjustRightInd/>
              <w:snapToGrid/>
              <w:spacing w:line="290" w:lineRule="exac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2</w:t>
            </w:r>
          </w:p>
        </w:tc>
      </w:tr>
      <w:tr w14:paraId="18D64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757" w:type="dxa"/>
            <w:vMerge w:val="continue"/>
            <w:noWrap w:val="0"/>
            <w:vAlign w:val="center"/>
          </w:tcPr>
          <w:p w14:paraId="2809F0D1">
            <w:pPr>
              <w:keepNext w:val="0"/>
              <w:keepLines w:val="0"/>
              <w:pageBreakBefore w:val="0"/>
              <w:widowControl w:val="0"/>
              <w:shd w:val="clear" w:color="auto" w:fill="auto"/>
              <w:kinsoku/>
              <w:wordWrap/>
              <w:topLinePunct w:val="0"/>
              <w:autoSpaceDE w:val="0"/>
              <w:autoSpaceDN w:val="0"/>
              <w:bidi w:val="0"/>
              <w:adjustRightInd/>
              <w:snapToGrid/>
              <w:spacing w:line="300" w:lineRule="exact"/>
              <w:jc w:val="center"/>
              <w:textAlignment w:val="baseline"/>
              <w:rPr>
                <w:rFonts w:hint="eastAsia" w:ascii="宋体" w:hAnsi="宋体" w:eastAsia="宋体" w:cs="宋体"/>
                <w:color w:val="auto"/>
                <w:sz w:val="21"/>
                <w:szCs w:val="21"/>
                <w:highlight w:val="none"/>
              </w:rPr>
            </w:pPr>
          </w:p>
        </w:tc>
        <w:tc>
          <w:tcPr>
            <w:tcW w:w="5612" w:type="dxa"/>
            <w:noWrap w:val="0"/>
            <w:vAlign w:val="center"/>
          </w:tcPr>
          <w:p w14:paraId="28C584DF">
            <w:pPr>
              <w:keepNext w:val="0"/>
              <w:keepLines w:val="0"/>
              <w:pageBreakBefore w:val="0"/>
              <w:widowControl w:val="0"/>
              <w:shd w:val="clear" w:color="auto" w:fill="auto"/>
              <w:kinsoku/>
              <w:wordWrap/>
              <w:overflowPunct/>
              <w:topLinePunct w:val="0"/>
              <w:autoSpaceDE w:val="0"/>
              <w:autoSpaceDN w:val="0"/>
              <w:bidi w:val="0"/>
              <w:adjustRightInd/>
              <w:snapToGrid/>
              <w:spacing w:line="290" w:lineRule="exact"/>
              <w:ind w:firstLine="420" w:firstLineChars="200"/>
              <w:jc w:val="both"/>
              <w:textAlignment w:val="baseline"/>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位于商业区</w:t>
            </w:r>
          </w:p>
        </w:tc>
        <w:tc>
          <w:tcPr>
            <w:tcW w:w="1310" w:type="dxa"/>
            <w:noWrap w:val="0"/>
            <w:vAlign w:val="center"/>
          </w:tcPr>
          <w:p w14:paraId="4D6579E2">
            <w:pPr>
              <w:keepNext w:val="0"/>
              <w:keepLines w:val="0"/>
              <w:pageBreakBefore w:val="0"/>
              <w:widowControl w:val="0"/>
              <w:shd w:val="clear" w:color="auto" w:fill="auto"/>
              <w:kinsoku/>
              <w:wordWrap/>
              <w:overflowPunct/>
              <w:topLinePunct w:val="0"/>
              <w:autoSpaceDE w:val="0"/>
              <w:autoSpaceDN w:val="0"/>
              <w:bidi w:val="0"/>
              <w:adjustRightInd/>
              <w:snapToGrid/>
              <w:spacing w:line="290" w:lineRule="exac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3</w:t>
            </w:r>
          </w:p>
        </w:tc>
      </w:tr>
      <w:tr w14:paraId="44477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757" w:type="dxa"/>
            <w:vMerge w:val="continue"/>
            <w:noWrap w:val="0"/>
            <w:vAlign w:val="center"/>
          </w:tcPr>
          <w:p w14:paraId="2B8F7C50">
            <w:pPr>
              <w:keepNext w:val="0"/>
              <w:keepLines w:val="0"/>
              <w:pageBreakBefore w:val="0"/>
              <w:widowControl w:val="0"/>
              <w:shd w:val="clear" w:color="auto" w:fill="auto"/>
              <w:kinsoku/>
              <w:wordWrap/>
              <w:topLinePunct w:val="0"/>
              <w:autoSpaceDE w:val="0"/>
              <w:autoSpaceDN w:val="0"/>
              <w:bidi w:val="0"/>
              <w:adjustRightInd/>
              <w:snapToGrid/>
              <w:spacing w:line="300" w:lineRule="exact"/>
              <w:jc w:val="center"/>
              <w:textAlignment w:val="baseline"/>
              <w:rPr>
                <w:rFonts w:hint="eastAsia" w:ascii="宋体" w:hAnsi="宋体" w:eastAsia="宋体" w:cs="宋体"/>
                <w:color w:val="auto"/>
                <w:sz w:val="21"/>
                <w:szCs w:val="21"/>
                <w:highlight w:val="none"/>
              </w:rPr>
            </w:pPr>
          </w:p>
        </w:tc>
        <w:tc>
          <w:tcPr>
            <w:tcW w:w="5612" w:type="dxa"/>
            <w:noWrap w:val="0"/>
            <w:vAlign w:val="center"/>
          </w:tcPr>
          <w:p w14:paraId="63C9A191">
            <w:pPr>
              <w:keepNext w:val="0"/>
              <w:keepLines w:val="0"/>
              <w:pageBreakBefore w:val="0"/>
              <w:widowControl w:val="0"/>
              <w:shd w:val="clear" w:color="auto" w:fill="auto"/>
              <w:kinsoku/>
              <w:wordWrap/>
              <w:overflowPunct/>
              <w:topLinePunct w:val="0"/>
              <w:autoSpaceDE w:val="0"/>
              <w:autoSpaceDN w:val="0"/>
              <w:bidi w:val="0"/>
              <w:adjustRightInd/>
              <w:snapToGrid/>
              <w:spacing w:line="290" w:lineRule="exact"/>
              <w:ind w:firstLine="420" w:firstLineChars="200"/>
              <w:jc w:val="both"/>
              <w:textAlignment w:val="baseline"/>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位于居民区、文教区、医疗卫生区等人口密集区域</w:t>
            </w:r>
          </w:p>
        </w:tc>
        <w:tc>
          <w:tcPr>
            <w:tcW w:w="1310" w:type="dxa"/>
            <w:noWrap w:val="0"/>
            <w:vAlign w:val="center"/>
          </w:tcPr>
          <w:p w14:paraId="3D1884D2">
            <w:pPr>
              <w:keepNext w:val="0"/>
              <w:keepLines w:val="0"/>
              <w:pageBreakBefore w:val="0"/>
              <w:widowControl w:val="0"/>
              <w:shd w:val="clear" w:color="auto" w:fill="auto"/>
              <w:kinsoku/>
              <w:wordWrap/>
              <w:overflowPunct/>
              <w:topLinePunct w:val="0"/>
              <w:autoSpaceDE w:val="0"/>
              <w:autoSpaceDN w:val="0"/>
              <w:bidi w:val="0"/>
              <w:adjustRightInd/>
              <w:snapToGrid/>
              <w:spacing w:line="290" w:lineRule="exac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4</w:t>
            </w:r>
          </w:p>
        </w:tc>
      </w:tr>
      <w:tr w14:paraId="31C6B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757" w:type="dxa"/>
            <w:vMerge w:val="continue"/>
            <w:noWrap w:val="0"/>
            <w:vAlign w:val="center"/>
          </w:tcPr>
          <w:p w14:paraId="3826575A">
            <w:pPr>
              <w:keepNext w:val="0"/>
              <w:keepLines w:val="0"/>
              <w:pageBreakBefore w:val="0"/>
              <w:widowControl w:val="0"/>
              <w:shd w:val="clear" w:color="auto" w:fill="auto"/>
              <w:kinsoku/>
              <w:wordWrap/>
              <w:topLinePunct w:val="0"/>
              <w:autoSpaceDE w:val="0"/>
              <w:autoSpaceDN w:val="0"/>
              <w:bidi w:val="0"/>
              <w:adjustRightInd/>
              <w:snapToGrid/>
              <w:spacing w:line="300" w:lineRule="exact"/>
              <w:jc w:val="center"/>
              <w:textAlignment w:val="baseline"/>
              <w:rPr>
                <w:rFonts w:hint="eastAsia" w:ascii="宋体" w:hAnsi="宋体" w:eastAsia="宋体" w:cs="宋体"/>
                <w:color w:val="auto"/>
                <w:sz w:val="21"/>
                <w:szCs w:val="21"/>
                <w:highlight w:val="none"/>
              </w:rPr>
            </w:pPr>
          </w:p>
        </w:tc>
        <w:tc>
          <w:tcPr>
            <w:tcW w:w="5612" w:type="dxa"/>
            <w:noWrap w:val="0"/>
            <w:vAlign w:val="center"/>
          </w:tcPr>
          <w:p w14:paraId="1CAD2C85">
            <w:pPr>
              <w:keepNext w:val="0"/>
              <w:keepLines w:val="0"/>
              <w:pageBreakBefore w:val="0"/>
              <w:widowControl w:val="0"/>
              <w:shd w:val="clear" w:color="auto" w:fill="auto"/>
              <w:kinsoku/>
              <w:wordWrap/>
              <w:overflowPunct/>
              <w:topLinePunct w:val="0"/>
              <w:autoSpaceDE w:val="0"/>
              <w:autoSpaceDN w:val="0"/>
              <w:bidi w:val="0"/>
              <w:adjustRightInd/>
              <w:snapToGrid/>
              <w:spacing w:line="290" w:lineRule="exact"/>
              <w:ind w:firstLine="420" w:firstLineChars="200"/>
              <w:jc w:val="both"/>
              <w:textAlignment w:val="baseline"/>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位于已划定的电磁环境保护区</w:t>
            </w:r>
          </w:p>
        </w:tc>
        <w:tc>
          <w:tcPr>
            <w:tcW w:w="1310" w:type="dxa"/>
            <w:noWrap w:val="0"/>
            <w:vAlign w:val="center"/>
          </w:tcPr>
          <w:p w14:paraId="2FD64B25">
            <w:pPr>
              <w:keepNext w:val="0"/>
              <w:keepLines w:val="0"/>
              <w:pageBreakBefore w:val="0"/>
              <w:widowControl w:val="0"/>
              <w:shd w:val="clear" w:color="auto" w:fill="auto"/>
              <w:kinsoku/>
              <w:wordWrap/>
              <w:overflowPunct/>
              <w:topLinePunct w:val="0"/>
              <w:autoSpaceDE w:val="0"/>
              <w:autoSpaceDN w:val="0"/>
              <w:bidi w:val="0"/>
              <w:adjustRightInd/>
              <w:snapToGrid/>
              <w:spacing w:line="290" w:lineRule="exac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5</w:t>
            </w:r>
          </w:p>
        </w:tc>
      </w:tr>
    </w:tbl>
    <w:p w14:paraId="6636F4E1">
      <w:pPr>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br w:type="page"/>
      </w:r>
    </w:p>
    <w:p w14:paraId="71C7D5D2">
      <w:pPr>
        <w:pStyle w:val="3"/>
        <w:keepNext/>
        <w:keepLines/>
        <w:pageBreakBefore w:val="0"/>
        <w:widowControl w:val="0"/>
        <w:kinsoku/>
        <w:wordWrap/>
        <w:overflowPunct/>
        <w:topLinePunct w:val="0"/>
        <w:autoSpaceDE/>
        <w:autoSpaceDN/>
        <w:bidi w:val="0"/>
        <w:adjustRightInd w:val="0"/>
        <w:snapToGrid w:val="0"/>
        <w:spacing w:after="0" w:afterLines="0" w:line="360" w:lineRule="auto"/>
        <w:ind w:firstLine="643" w:firstLineChars="200"/>
        <w:textAlignment w:val="auto"/>
        <w:rPr>
          <w:rFonts w:hint="eastAsia" w:ascii="楷体_GB2312" w:hAnsi="楷体_GB2312" w:eastAsia="楷体_GB2312" w:cs="楷体_GB2312"/>
          <w:highlight w:val="none"/>
          <w:lang w:val="en-US" w:eastAsia="zh-CN"/>
        </w:rPr>
      </w:pPr>
      <w:r>
        <w:rPr>
          <w:rFonts w:hint="eastAsia" w:ascii="楷体_GB2312" w:hAnsi="楷体_GB2312" w:eastAsia="楷体_GB2312" w:cs="楷体_GB2312"/>
          <w:color w:val="auto"/>
          <w:sz w:val="32"/>
          <w:szCs w:val="32"/>
          <w:highlight w:val="none"/>
          <w:lang w:val="en-US" w:eastAsia="zh-CN"/>
        </w:rPr>
        <w:t>（十二）绿色低碳发展管理类</w:t>
      </w:r>
    </w:p>
    <w:p w14:paraId="42E3944F">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p>
    <w:p w14:paraId="02622034">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1.纳入全国碳排放权交易市场的温室气体重点排放单位未报送排放统计核算数据、年度排放报告的；</w:t>
      </w:r>
    </w:p>
    <w:p w14:paraId="068524A5">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2.纳入全国碳排放权交易市场的温室气体重点排放单位未按照规定的期限足额清缴碳排放配额的；</w:t>
      </w:r>
    </w:p>
    <w:p w14:paraId="2A5545A8">
      <w:pPr>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br w:type="page"/>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8"/>
        <w:gridCol w:w="5802"/>
        <w:gridCol w:w="1338"/>
      </w:tblGrid>
      <w:tr w14:paraId="3E834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3"/>
            <w:noWrap w:val="0"/>
            <w:vAlign w:val="center"/>
          </w:tcPr>
          <w:p w14:paraId="5CF40AA9">
            <w:pPr>
              <w:jc w:val="center"/>
              <w:rPr>
                <w:rFonts w:hint="eastAsia" w:ascii="宋体" w:eastAsia="宋体" w:cs="宋体"/>
                <w:color w:val="auto"/>
                <w:szCs w:val="21"/>
                <w:highlight w:val="none"/>
                <w:lang w:eastAsia="zh-CN"/>
              </w:rPr>
            </w:pPr>
            <w:r>
              <w:rPr>
                <w:rFonts w:hint="eastAsia" w:ascii="宋体" w:cs="宋体"/>
                <w:color w:val="auto"/>
                <w:szCs w:val="21"/>
                <w:highlight w:val="none"/>
                <w:lang w:eastAsia="zh-CN"/>
              </w:rPr>
              <w:t>（十二）绿色低碳发展管理类</w:t>
            </w:r>
          </w:p>
        </w:tc>
      </w:tr>
      <w:tr w14:paraId="6EDAD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2" w:type="dxa"/>
            <w:noWrap w:val="0"/>
            <w:vAlign w:val="center"/>
          </w:tcPr>
          <w:p w14:paraId="1122A0F8">
            <w:pPr>
              <w:jc w:val="center"/>
              <w:rPr>
                <w:rFonts w:hint="eastAsia" w:ascii="宋体" w:cs="宋体"/>
                <w:color w:val="auto"/>
                <w:szCs w:val="21"/>
                <w:highlight w:val="none"/>
              </w:rPr>
            </w:pPr>
            <w:r>
              <w:rPr>
                <w:rFonts w:hint="eastAsia" w:ascii="宋体" w:cs="宋体"/>
                <w:color w:val="auto"/>
                <w:szCs w:val="21"/>
                <w:highlight w:val="none"/>
              </w:rPr>
              <w:t>序号</w:t>
            </w:r>
          </w:p>
        </w:tc>
        <w:tc>
          <w:tcPr>
            <w:tcW w:w="6800" w:type="dxa"/>
            <w:gridSpan w:val="2"/>
            <w:noWrap w:val="0"/>
            <w:vAlign w:val="center"/>
          </w:tcPr>
          <w:p w14:paraId="2AEBB9B7">
            <w:pPr>
              <w:jc w:val="center"/>
              <w:rPr>
                <w:rFonts w:hint="default" w:ascii="宋体" w:eastAsia="宋体" w:cs="宋体"/>
                <w:color w:val="auto"/>
                <w:szCs w:val="21"/>
                <w:highlight w:val="none"/>
                <w:lang w:val="en-US" w:eastAsia="zh-CN"/>
              </w:rPr>
            </w:pPr>
            <w:r>
              <w:rPr>
                <w:rFonts w:hint="eastAsia" w:ascii="宋体" w:cs="宋体"/>
                <w:color w:val="auto"/>
                <w:szCs w:val="21"/>
                <w:highlight w:val="none"/>
                <w:lang w:val="en-US" w:eastAsia="zh-CN"/>
              </w:rPr>
              <w:t>1</w:t>
            </w:r>
          </w:p>
        </w:tc>
      </w:tr>
      <w:tr w14:paraId="02956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2" w:type="dxa"/>
            <w:noWrap w:val="0"/>
            <w:vAlign w:val="center"/>
          </w:tcPr>
          <w:p w14:paraId="6A2B1095">
            <w:pPr>
              <w:jc w:val="center"/>
              <w:rPr>
                <w:rFonts w:hint="eastAsia" w:ascii="宋体" w:cs="宋体"/>
                <w:color w:val="auto"/>
                <w:szCs w:val="21"/>
                <w:highlight w:val="none"/>
              </w:rPr>
            </w:pPr>
            <w:r>
              <w:rPr>
                <w:rFonts w:hint="eastAsia" w:ascii="宋体" w:cs="宋体"/>
                <w:color w:val="auto"/>
                <w:szCs w:val="21"/>
                <w:highlight w:val="none"/>
              </w:rPr>
              <w:t>违法行为</w:t>
            </w:r>
          </w:p>
        </w:tc>
        <w:tc>
          <w:tcPr>
            <w:tcW w:w="6800" w:type="dxa"/>
            <w:gridSpan w:val="2"/>
            <w:noWrap w:val="0"/>
            <w:vAlign w:val="center"/>
          </w:tcPr>
          <w:p w14:paraId="1CA00A32">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cs="宋体"/>
                <w:color w:val="auto"/>
                <w:szCs w:val="21"/>
                <w:highlight w:val="none"/>
              </w:rPr>
            </w:pPr>
            <w:r>
              <w:rPr>
                <w:rFonts w:hint="eastAsia" w:ascii="宋体" w:cs="宋体"/>
                <w:color w:val="auto"/>
                <w:szCs w:val="21"/>
                <w:highlight w:val="none"/>
              </w:rPr>
              <w:t>纳入全国碳排放权交易市场的温室气体重点排放单位未报送排放统计核算数据、年度排放报告的</w:t>
            </w:r>
          </w:p>
        </w:tc>
      </w:tr>
      <w:tr w14:paraId="67339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2" w:type="dxa"/>
            <w:noWrap w:val="0"/>
            <w:vAlign w:val="center"/>
          </w:tcPr>
          <w:p w14:paraId="405D0DEF">
            <w:pPr>
              <w:jc w:val="center"/>
              <w:rPr>
                <w:rFonts w:hint="eastAsia" w:ascii="宋体" w:cs="宋体"/>
                <w:color w:val="auto"/>
                <w:szCs w:val="21"/>
                <w:highlight w:val="none"/>
              </w:rPr>
            </w:pPr>
            <w:r>
              <w:rPr>
                <w:rFonts w:hint="eastAsia" w:ascii="宋体" w:cs="宋体"/>
                <w:color w:val="auto"/>
                <w:szCs w:val="21"/>
                <w:highlight w:val="none"/>
              </w:rPr>
              <w:t>违反条款</w:t>
            </w:r>
          </w:p>
        </w:tc>
        <w:tc>
          <w:tcPr>
            <w:tcW w:w="6800" w:type="dxa"/>
            <w:gridSpan w:val="2"/>
            <w:noWrap w:val="0"/>
            <w:vAlign w:val="center"/>
          </w:tcPr>
          <w:p w14:paraId="2FA5D2BD">
            <w:pPr>
              <w:ind w:firstLine="420" w:firstLineChars="200"/>
              <w:rPr>
                <w:rFonts w:hint="eastAsia" w:ascii="宋体" w:cs="宋体"/>
                <w:color w:val="auto"/>
                <w:szCs w:val="21"/>
                <w:highlight w:val="none"/>
              </w:rPr>
            </w:pPr>
            <w:r>
              <w:rPr>
                <w:rFonts w:hint="eastAsia" w:ascii="宋体" w:cs="宋体"/>
                <w:strike w:val="0"/>
                <w:dstrike w:val="0"/>
                <w:color w:val="auto"/>
                <w:szCs w:val="21"/>
                <w:highlight w:val="none"/>
              </w:rPr>
              <w:t>《中华人民共和国生态环境法典》第一千零三十七条</w:t>
            </w:r>
            <w:r>
              <w:rPr>
                <w:rFonts w:hint="eastAsia" w:ascii="宋体" w:cs="宋体"/>
                <w:strike w:val="0"/>
                <w:dstrike w:val="0"/>
                <w:color w:val="auto"/>
                <w:szCs w:val="21"/>
                <w:highlight w:val="none"/>
                <w:lang w:val="en-US" w:eastAsia="zh-CN"/>
              </w:rPr>
              <w:t>第三款</w:t>
            </w:r>
            <w:r>
              <w:rPr>
                <w:rFonts w:hint="eastAsia" w:ascii="宋体" w:cs="宋体"/>
                <w:strike w:val="0"/>
                <w:dstrike w:val="0"/>
                <w:color w:val="auto"/>
                <w:szCs w:val="21"/>
                <w:highlight w:val="none"/>
              </w:rPr>
              <w:t xml:space="preserve">  温室气体重点排放单位应当采取有效措施控制温室气体排放，按照国家规定和国务院生态环境主管部门制定的技术规范，开展温室气体统计核算，编制温室气体年度排放报告，报省级人民政府生态环境主管部门核查后，按照规定的期限足额清缴碳排放配额。温室气体重点排放单位应当对排放统计核算数据、年度排放报告的真实性、准确性和完整性负责。</w:t>
            </w:r>
          </w:p>
        </w:tc>
      </w:tr>
      <w:tr w14:paraId="2B04B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2" w:type="dxa"/>
            <w:noWrap w:val="0"/>
            <w:vAlign w:val="center"/>
          </w:tcPr>
          <w:p w14:paraId="072C73C8">
            <w:pPr>
              <w:jc w:val="center"/>
              <w:rPr>
                <w:rFonts w:hint="eastAsia" w:ascii="宋体" w:cs="宋体"/>
                <w:color w:val="auto"/>
                <w:szCs w:val="21"/>
                <w:highlight w:val="none"/>
              </w:rPr>
            </w:pPr>
            <w:r>
              <w:rPr>
                <w:rFonts w:hint="eastAsia" w:ascii="宋体" w:cs="宋体"/>
                <w:color w:val="auto"/>
                <w:szCs w:val="21"/>
                <w:highlight w:val="none"/>
              </w:rPr>
              <w:t>处罚依据</w:t>
            </w:r>
          </w:p>
        </w:tc>
        <w:tc>
          <w:tcPr>
            <w:tcW w:w="6800" w:type="dxa"/>
            <w:gridSpan w:val="2"/>
            <w:noWrap w:val="0"/>
            <w:vAlign w:val="center"/>
          </w:tcPr>
          <w:p w14:paraId="45F66113">
            <w:pPr>
              <w:ind w:firstLine="420" w:firstLineChars="200"/>
              <w:rPr>
                <w:rFonts w:hint="eastAsia" w:ascii="宋体" w:cs="宋体"/>
                <w:color w:val="auto"/>
                <w:szCs w:val="21"/>
                <w:highlight w:val="none"/>
              </w:rPr>
            </w:pPr>
            <w:r>
              <w:rPr>
                <w:rFonts w:hint="eastAsia" w:ascii="宋体" w:cs="宋体"/>
                <w:color w:val="auto"/>
                <w:szCs w:val="21"/>
                <w:highlight w:val="none"/>
              </w:rPr>
              <w:t>《中华人民共和国生态环境法典》第一千二百二十六条</w:t>
            </w:r>
            <w:r>
              <w:rPr>
                <w:rFonts w:hint="eastAsia" w:ascii="宋体" w:cs="宋体"/>
                <w:color w:val="auto"/>
                <w:szCs w:val="21"/>
                <w:highlight w:val="none"/>
                <w:lang w:val="en-US" w:eastAsia="zh-CN"/>
              </w:rPr>
              <w:t>第一款</w:t>
            </w:r>
            <w:r>
              <w:rPr>
                <w:rFonts w:hint="eastAsia" w:ascii="宋体" w:cs="宋体"/>
                <w:color w:val="auto"/>
                <w:szCs w:val="21"/>
                <w:highlight w:val="none"/>
              </w:rPr>
              <w:t xml:space="preserve">  违反本法规定，纳入全国碳排放权交易市场的温室气体重点排放单位未报送排放统计核算数据、年度排放报告的，由生态环境主管部门责令改正，处五万元以上五十万元以下的罚款；拒不改正的，可以责令停产整治。</w:t>
            </w:r>
          </w:p>
        </w:tc>
      </w:tr>
      <w:tr w14:paraId="0A8A9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2" w:type="dxa"/>
            <w:noWrap w:val="0"/>
            <w:vAlign w:val="center"/>
          </w:tcPr>
          <w:p w14:paraId="62EF0F36">
            <w:pPr>
              <w:jc w:val="center"/>
              <w:rPr>
                <w:rFonts w:hint="eastAsia" w:ascii="宋体" w:cs="宋体"/>
                <w:color w:val="auto"/>
                <w:szCs w:val="21"/>
                <w:highlight w:val="none"/>
              </w:rPr>
            </w:pPr>
            <w:r>
              <w:rPr>
                <w:rFonts w:hint="eastAsia" w:ascii="宋体" w:cs="宋体"/>
                <w:color w:val="auto"/>
                <w:szCs w:val="21"/>
                <w:highlight w:val="none"/>
              </w:rPr>
              <w:t>裁量因素</w:t>
            </w:r>
          </w:p>
        </w:tc>
        <w:tc>
          <w:tcPr>
            <w:tcW w:w="5526" w:type="dxa"/>
            <w:noWrap w:val="0"/>
            <w:vAlign w:val="center"/>
          </w:tcPr>
          <w:p w14:paraId="6F1C536A">
            <w:pPr>
              <w:jc w:val="center"/>
              <w:rPr>
                <w:rFonts w:hint="eastAsia" w:ascii="宋体" w:cs="宋体"/>
                <w:color w:val="auto"/>
                <w:szCs w:val="21"/>
                <w:highlight w:val="none"/>
              </w:rPr>
            </w:pPr>
            <w:r>
              <w:rPr>
                <w:rFonts w:hint="eastAsia" w:ascii="宋体" w:cs="宋体"/>
                <w:color w:val="auto"/>
                <w:szCs w:val="21"/>
                <w:highlight w:val="none"/>
              </w:rPr>
              <w:t>裁量因子</w:t>
            </w:r>
          </w:p>
        </w:tc>
        <w:tc>
          <w:tcPr>
            <w:tcW w:w="1274" w:type="dxa"/>
            <w:noWrap w:val="0"/>
            <w:vAlign w:val="center"/>
          </w:tcPr>
          <w:p w14:paraId="43E51340">
            <w:pPr>
              <w:jc w:val="center"/>
              <w:rPr>
                <w:rFonts w:hint="eastAsia" w:ascii="宋体" w:cs="宋体"/>
                <w:color w:val="auto"/>
                <w:szCs w:val="21"/>
                <w:highlight w:val="none"/>
              </w:rPr>
            </w:pPr>
            <w:r>
              <w:rPr>
                <w:rFonts w:hint="eastAsia" w:ascii="宋体" w:cs="宋体"/>
                <w:color w:val="auto"/>
                <w:szCs w:val="21"/>
                <w:highlight w:val="none"/>
              </w:rPr>
              <w:t>裁量等级</w:t>
            </w:r>
          </w:p>
        </w:tc>
      </w:tr>
      <w:tr w14:paraId="1D42A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2" w:type="dxa"/>
            <w:vMerge w:val="restart"/>
            <w:noWrap w:val="0"/>
            <w:vAlign w:val="center"/>
          </w:tcPr>
          <w:p w14:paraId="2444A50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违法事实</w:t>
            </w:r>
          </w:p>
        </w:tc>
        <w:tc>
          <w:tcPr>
            <w:tcW w:w="5526" w:type="dxa"/>
            <w:noWrap w:val="0"/>
            <w:vAlign w:val="center"/>
          </w:tcPr>
          <w:p w14:paraId="60302DB3">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both"/>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未报送排放统计核算数据或年度排放报告</w:t>
            </w:r>
          </w:p>
        </w:tc>
        <w:tc>
          <w:tcPr>
            <w:tcW w:w="1274" w:type="dxa"/>
            <w:noWrap w:val="0"/>
            <w:vAlign w:val="center"/>
          </w:tcPr>
          <w:p w14:paraId="5B82853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sz w:val="21"/>
                <w:szCs w:val="21"/>
                <w:highlight w:val="none"/>
                <w:lang w:val="en-US" w:eastAsia="zh-CN"/>
              </w:rPr>
            </w:pPr>
            <w:r>
              <w:rPr>
                <w:rFonts w:hint="eastAsia" w:ascii="宋体" w:hAnsi="宋体" w:cs="宋体"/>
                <w:b w:val="0"/>
                <w:bCs w:val="0"/>
                <w:sz w:val="21"/>
                <w:szCs w:val="21"/>
                <w:highlight w:val="none"/>
                <w:lang w:val="en-US" w:eastAsia="zh-CN"/>
              </w:rPr>
              <w:t>1</w:t>
            </w:r>
          </w:p>
        </w:tc>
      </w:tr>
      <w:tr w14:paraId="552C5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2" w:type="dxa"/>
            <w:vMerge w:val="continue"/>
            <w:noWrap w:val="0"/>
            <w:vAlign w:val="center"/>
          </w:tcPr>
          <w:p w14:paraId="72C0FB66">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center"/>
              <w:textAlignment w:val="auto"/>
              <w:rPr>
                <w:rFonts w:hint="eastAsia" w:ascii="宋体" w:hAnsi="宋体" w:eastAsia="宋体" w:cs="宋体"/>
                <w:b w:val="0"/>
                <w:bCs w:val="0"/>
                <w:sz w:val="21"/>
                <w:szCs w:val="21"/>
                <w:highlight w:val="none"/>
                <w:lang w:val="en-US" w:eastAsia="zh-CN"/>
              </w:rPr>
            </w:pPr>
          </w:p>
        </w:tc>
        <w:tc>
          <w:tcPr>
            <w:tcW w:w="5526" w:type="dxa"/>
            <w:noWrap w:val="0"/>
            <w:vAlign w:val="center"/>
          </w:tcPr>
          <w:p w14:paraId="22A8F551">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both"/>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未报送排放统计核算数据和年度排放报告</w:t>
            </w:r>
          </w:p>
        </w:tc>
        <w:tc>
          <w:tcPr>
            <w:tcW w:w="1274" w:type="dxa"/>
            <w:noWrap w:val="0"/>
            <w:vAlign w:val="center"/>
          </w:tcPr>
          <w:p w14:paraId="6599FA5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5</w:t>
            </w:r>
          </w:p>
        </w:tc>
      </w:tr>
      <w:tr w14:paraId="40337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2" w:type="dxa"/>
            <w:vMerge w:val="restart"/>
            <w:noWrap w:val="0"/>
            <w:vAlign w:val="center"/>
          </w:tcPr>
          <w:p w14:paraId="2969FD2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年度温室气体排放量</w:t>
            </w:r>
          </w:p>
        </w:tc>
        <w:tc>
          <w:tcPr>
            <w:tcW w:w="5526" w:type="dxa"/>
            <w:noWrap w:val="0"/>
            <w:vAlign w:val="center"/>
          </w:tcPr>
          <w:p w14:paraId="6940B1CB">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both"/>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不足5万吨二氧化碳当量</w:t>
            </w:r>
          </w:p>
        </w:tc>
        <w:tc>
          <w:tcPr>
            <w:tcW w:w="1274" w:type="dxa"/>
            <w:noWrap w:val="0"/>
            <w:vAlign w:val="center"/>
          </w:tcPr>
          <w:p w14:paraId="14B25E4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eastAsia="宋体" w:cs="宋体"/>
                <w:b w:val="0"/>
                <w:bCs w:val="0"/>
                <w:sz w:val="21"/>
                <w:szCs w:val="21"/>
                <w:highlight w:val="none"/>
                <w:lang w:val="en-US" w:eastAsia="zh-CN"/>
              </w:rPr>
            </w:pPr>
            <w:r>
              <w:rPr>
                <w:rFonts w:hint="eastAsia" w:ascii="宋体" w:hAnsi="宋体" w:cs="宋体"/>
                <w:b w:val="0"/>
                <w:bCs w:val="0"/>
                <w:sz w:val="21"/>
                <w:szCs w:val="21"/>
                <w:highlight w:val="none"/>
                <w:lang w:val="en-US" w:eastAsia="zh-CN"/>
              </w:rPr>
              <w:t>1</w:t>
            </w:r>
          </w:p>
        </w:tc>
      </w:tr>
      <w:tr w14:paraId="36D61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2" w:type="dxa"/>
            <w:vMerge w:val="continue"/>
            <w:noWrap w:val="0"/>
            <w:vAlign w:val="center"/>
          </w:tcPr>
          <w:p w14:paraId="3E071CB9">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center"/>
              <w:textAlignment w:val="auto"/>
              <w:rPr>
                <w:rFonts w:hint="eastAsia" w:ascii="宋体" w:hAnsi="宋体" w:eastAsia="宋体" w:cs="宋体"/>
                <w:b w:val="0"/>
                <w:bCs w:val="0"/>
                <w:sz w:val="21"/>
                <w:szCs w:val="21"/>
                <w:highlight w:val="none"/>
                <w:lang w:val="en-US" w:eastAsia="zh-CN"/>
              </w:rPr>
            </w:pPr>
          </w:p>
        </w:tc>
        <w:tc>
          <w:tcPr>
            <w:tcW w:w="5526" w:type="dxa"/>
            <w:noWrap w:val="0"/>
            <w:vAlign w:val="center"/>
          </w:tcPr>
          <w:p w14:paraId="2529DC6A">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both"/>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5万吨以上不足15万吨二氧化碳当量</w:t>
            </w:r>
          </w:p>
        </w:tc>
        <w:tc>
          <w:tcPr>
            <w:tcW w:w="1274" w:type="dxa"/>
            <w:noWrap w:val="0"/>
            <w:vAlign w:val="center"/>
          </w:tcPr>
          <w:p w14:paraId="79D3A93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eastAsia="宋体" w:cs="宋体"/>
                <w:b w:val="0"/>
                <w:bCs w:val="0"/>
                <w:sz w:val="21"/>
                <w:szCs w:val="21"/>
                <w:highlight w:val="none"/>
                <w:lang w:val="en-US" w:eastAsia="zh-CN"/>
              </w:rPr>
            </w:pPr>
            <w:r>
              <w:rPr>
                <w:rFonts w:hint="eastAsia" w:ascii="宋体" w:hAnsi="宋体" w:cs="宋体"/>
                <w:b w:val="0"/>
                <w:bCs w:val="0"/>
                <w:sz w:val="21"/>
                <w:szCs w:val="21"/>
                <w:highlight w:val="none"/>
                <w:lang w:val="en-US" w:eastAsia="zh-CN"/>
              </w:rPr>
              <w:t>3</w:t>
            </w:r>
          </w:p>
        </w:tc>
      </w:tr>
      <w:tr w14:paraId="7390D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2" w:type="dxa"/>
            <w:vMerge w:val="continue"/>
            <w:noWrap w:val="0"/>
            <w:vAlign w:val="center"/>
          </w:tcPr>
          <w:p w14:paraId="3818CE1D">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center"/>
              <w:textAlignment w:val="auto"/>
              <w:rPr>
                <w:rFonts w:hint="eastAsia" w:ascii="宋体" w:hAnsi="宋体" w:eastAsia="宋体" w:cs="宋体"/>
                <w:b w:val="0"/>
                <w:bCs w:val="0"/>
                <w:sz w:val="21"/>
                <w:szCs w:val="21"/>
                <w:highlight w:val="none"/>
                <w:lang w:val="en-US" w:eastAsia="zh-CN"/>
              </w:rPr>
            </w:pPr>
          </w:p>
        </w:tc>
        <w:tc>
          <w:tcPr>
            <w:tcW w:w="5526" w:type="dxa"/>
            <w:noWrap w:val="0"/>
            <w:vAlign w:val="center"/>
          </w:tcPr>
          <w:p w14:paraId="332F62E1">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both"/>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15万吨以上二氧化碳当量</w:t>
            </w:r>
          </w:p>
        </w:tc>
        <w:tc>
          <w:tcPr>
            <w:tcW w:w="1274" w:type="dxa"/>
            <w:noWrap w:val="0"/>
            <w:vAlign w:val="center"/>
          </w:tcPr>
          <w:p w14:paraId="412439D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eastAsia="宋体" w:cs="宋体"/>
                <w:b w:val="0"/>
                <w:bCs w:val="0"/>
                <w:sz w:val="21"/>
                <w:szCs w:val="21"/>
                <w:highlight w:val="none"/>
                <w:lang w:val="en-US" w:eastAsia="zh-CN"/>
              </w:rPr>
            </w:pPr>
            <w:r>
              <w:rPr>
                <w:rFonts w:hint="eastAsia" w:ascii="宋体" w:hAnsi="宋体" w:cs="宋体"/>
                <w:b w:val="0"/>
                <w:bCs w:val="0"/>
                <w:sz w:val="21"/>
                <w:szCs w:val="21"/>
                <w:highlight w:val="none"/>
                <w:lang w:val="en-US" w:eastAsia="zh-CN"/>
              </w:rPr>
              <w:t>5</w:t>
            </w:r>
          </w:p>
        </w:tc>
      </w:tr>
    </w:tbl>
    <w:p w14:paraId="6DC222AE">
      <w:pPr>
        <w:rPr>
          <w:highlight w:val="none"/>
        </w:rPr>
      </w:pPr>
      <w:r>
        <w:rPr>
          <w:highlight w:val="none"/>
        </w:rPr>
        <w:br w:type="page"/>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7"/>
        <w:gridCol w:w="5804"/>
        <w:gridCol w:w="1337"/>
      </w:tblGrid>
      <w:tr w14:paraId="20460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3"/>
            <w:noWrap w:val="0"/>
            <w:vAlign w:val="center"/>
          </w:tcPr>
          <w:p w14:paraId="149FF906">
            <w:pPr>
              <w:jc w:val="center"/>
              <w:rPr>
                <w:rFonts w:hint="eastAsia" w:ascii="宋体" w:eastAsia="宋体" w:cs="宋体"/>
                <w:color w:val="auto"/>
                <w:szCs w:val="21"/>
                <w:highlight w:val="none"/>
                <w:lang w:eastAsia="zh-CN"/>
              </w:rPr>
            </w:pPr>
            <w:r>
              <w:rPr>
                <w:rFonts w:hint="eastAsia" w:ascii="宋体" w:cs="宋体"/>
                <w:color w:val="auto"/>
                <w:szCs w:val="21"/>
                <w:highlight w:val="none"/>
                <w:lang w:eastAsia="zh-CN"/>
              </w:rPr>
              <w:t>（十二）绿色低碳发展管理类</w:t>
            </w:r>
          </w:p>
        </w:tc>
      </w:tr>
      <w:tr w14:paraId="37182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1" w:type="dxa"/>
            <w:noWrap w:val="0"/>
            <w:vAlign w:val="center"/>
          </w:tcPr>
          <w:p w14:paraId="2795181E">
            <w:pPr>
              <w:jc w:val="center"/>
              <w:rPr>
                <w:rFonts w:hint="eastAsia" w:ascii="宋体" w:cs="宋体"/>
                <w:color w:val="auto"/>
                <w:szCs w:val="21"/>
                <w:highlight w:val="none"/>
              </w:rPr>
            </w:pPr>
            <w:r>
              <w:rPr>
                <w:rFonts w:hint="eastAsia" w:ascii="宋体" w:cs="宋体"/>
                <w:color w:val="auto"/>
                <w:szCs w:val="21"/>
                <w:highlight w:val="none"/>
              </w:rPr>
              <w:t>序号</w:t>
            </w:r>
          </w:p>
        </w:tc>
        <w:tc>
          <w:tcPr>
            <w:tcW w:w="6801" w:type="dxa"/>
            <w:gridSpan w:val="2"/>
            <w:noWrap w:val="0"/>
            <w:vAlign w:val="center"/>
          </w:tcPr>
          <w:p w14:paraId="5158BB1D">
            <w:pPr>
              <w:jc w:val="center"/>
              <w:rPr>
                <w:rFonts w:hint="default" w:ascii="宋体" w:eastAsia="宋体" w:cs="宋体"/>
                <w:color w:val="auto"/>
                <w:szCs w:val="21"/>
                <w:highlight w:val="none"/>
                <w:lang w:val="en-US" w:eastAsia="zh-CN"/>
              </w:rPr>
            </w:pPr>
            <w:r>
              <w:rPr>
                <w:rFonts w:hint="eastAsia" w:ascii="宋体" w:cs="宋体"/>
                <w:color w:val="auto"/>
                <w:szCs w:val="21"/>
                <w:highlight w:val="none"/>
                <w:lang w:val="en-US" w:eastAsia="zh-CN"/>
              </w:rPr>
              <w:t>2</w:t>
            </w:r>
          </w:p>
        </w:tc>
      </w:tr>
      <w:tr w14:paraId="35084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1" w:type="dxa"/>
            <w:noWrap w:val="0"/>
            <w:vAlign w:val="center"/>
          </w:tcPr>
          <w:p w14:paraId="7C92F4BE">
            <w:pPr>
              <w:jc w:val="center"/>
              <w:rPr>
                <w:rFonts w:hint="eastAsia" w:ascii="宋体" w:cs="宋体"/>
                <w:color w:val="auto"/>
                <w:szCs w:val="21"/>
                <w:highlight w:val="none"/>
              </w:rPr>
            </w:pPr>
            <w:r>
              <w:rPr>
                <w:rFonts w:hint="eastAsia" w:ascii="宋体" w:cs="宋体"/>
                <w:color w:val="auto"/>
                <w:szCs w:val="21"/>
                <w:highlight w:val="none"/>
              </w:rPr>
              <w:t>违法行为</w:t>
            </w:r>
          </w:p>
        </w:tc>
        <w:tc>
          <w:tcPr>
            <w:tcW w:w="6801" w:type="dxa"/>
            <w:gridSpan w:val="2"/>
            <w:noWrap w:val="0"/>
            <w:vAlign w:val="center"/>
          </w:tcPr>
          <w:p w14:paraId="7C912BBE">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cs="宋体"/>
                <w:color w:val="auto"/>
                <w:szCs w:val="21"/>
                <w:highlight w:val="none"/>
              </w:rPr>
            </w:pPr>
            <w:r>
              <w:rPr>
                <w:rFonts w:hint="eastAsia" w:ascii="宋体" w:cs="宋体"/>
                <w:color w:val="auto"/>
                <w:szCs w:val="21"/>
                <w:highlight w:val="none"/>
              </w:rPr>
              <w:t>纳入全国碳排放权交易市场的温室气体重点排放单位未按照规定的期限足额清缴碳排放配额的</w:t>
            </w:r>
          </w:p>
        </w:tc>
      </w:tr>
      <w:tr w14:paraId="4C00A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1" w:type="dxa"/>
            <w:noWrap w:val="0"/>
            <w:vAlign w:val="center"/>
          </w:tcPr>
          <w:p w14:paraId="7809DFC6">
            <w:pPr>
              <w:jc w:val="center"/>
              <w:rPr>
                <w:rFonts w:hint="eastAsia" w:ascii="宋体" w:cs="宋体"/>
                <w:color w:val="auto"/>
                <w:szCs w:val="21"/>
                <w:highlight w:val="none"/>
              </w:rPr>
            </w:pPr>
            <w:r>
              <w:rPr>
                <w:rFonts w:hint="eastAsia" w:ascii="宋体" w:cs="宋体"/>
                <w:color w:val="auto"/>
                <w:szCs w:val="21"/>
                <w:highlight w:val="none"/>
              </w:rPr>
              <w:t>违反条款</w:t>
            </w:r>
          </w:p>
        </w:tc>
        <w:tc>
          <w:tcPr>
            <w:tcW w:w="6801" w:type="dxa"/>
            <w:gridSpan w:val="2"/>
            <w:noWrap w:val="0"/>
            <w:vAlign w:val="center"/>
          </w:tcPr>
          <w:p w14:paraId="68EC3311">
            <w:pPr>
              <w:ind w:firstLine="420" w:firstLineChars="200"/>
              <w:rPr>
                <w:rFonts w:hint="eastAsia" w:ascii="宋体" w:cs="宋体"/>
                <w:color w:val="auto"/>
                <w:szCs w:val="21"/>
                <w:highlight w:val="none"/>
              </w:rPr>
            </w:pPr>
            <w:r>
              <w:rPr>
                <w:rFonts w:hint="eastAsia" w:ascii="宋体" w:cs="宋体"/>
                <w:strike w:val="0"/>
                <w:dstrike w:val="0"/>
                <w:color w:val="auto"/>
                <w:szCs w:val="21"/>
                <w:highlight w:val="none"/>
              </w:rPr>
              <w:t>《中华人民共和国生态环境法典》第一千零三十七条</w:t>
            </w:r>
            <w:r>
              <w:rPr>
                <w:rFonts w:hint="eastAsia" w:ascii="宋体" w:cs="宋体"/>
                <w:strike w:val="0"/>
                <w:dstrike w:val="0"/>
                <w:color w:val="auto"/>
                <w:szCs w:val="21"/>
                <w:highlight w:val="none"/>
                <w:lang w:val="en-US" w:eastAsia="zh-CN"/>
              </w:rPr>
              <w:t>第三款</w:t>
            </w:r>
            <w:r>
              <w:rPr>
                <w:rFonts w:hint="eastAsia" w:ascii="宋体" w:cs="宋体"/>
                <w:strike w:val="0"/>
                <w:dstrike w:val="0"/>
                <w:color w:val="auto"/>
                <w:szCs w:val="21"/>
                <w:highlight w:val="none"/>
              </w:rPr>
              <w:t xml:space="preserve">  温室气体重点排放单位应当采取有效措施控制温室气体排放，按照国家规定和国务院生态环境主管部门制定的技术规范，开展温室气体统计核算，编制温室气体年度排放报告，报省级人民政府生态环境主管部门核查后，按照规定的期限足额清缴碳排放配额。温室气体重点排放单位应当对排放统计核算数据、年度排放报告的真实性、准确性和完整性负责。</w:t>
            </w:r>
          </w:p>
        </w:tc>
      </w:tr>
      <w:tr w14:paraId="3E407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1" w:type="dxa"/>
            <w:noWrap w:val="0"/>
            <w:vAlign w:val="center"/>
          </w:tcPr>
          <w:p w14:paraId="19EB0DCA">
            <w:pPr>
              <w:jc w:val="center"/>
              <w:rPr>
                <w:rFonts w:hint="eastAsia" w:ascii="宋体" w:cs="宋体"/>
                <w:color w:val="auto"/>
                <w:szCs w:val="21"/>
                <w:highlight w:val="none"/>
              </w:rPr>
            </w:pPr>
            <w:r>
              <w:rPr>
                <w:rFonts w:hint="eastAsia" w:ascii="宋体" w:cs="宋体"/>
                <w:color w:val="auto"/>
                <w:szCs w:val="21"/>
                <w:highlight w:val="none"/>
              </w:rPr>
              <w:t>处罚依据</w:t>
            </w:r>
          </w:p>
        </w:tc>
        <w:tc>
          <w:tcPr>
            <w:tcW w:w="6801" w:type="dxa"/>
            <w:gridSpan w:val="2"/>
            <w:noWrap w:val="0"/>
            <w:vAlign w:val="center"/>
          </w:tcPr>
          <w:p w14:paraId="2B764B09">
            <w:pPr>
              <w:ind w:firstLine="420" w:firstLineChars="200"/>
              <w:rPr>
                <w:rFonts w:hint="eastAsia" w:ascii="宋体" w:cs="宋体"/>
                <w:color w:val="auto"/>
                <w:szCs w:val="21"/>
                <w:highlight w:val="none"/>
              </w:rPr>
            </w:pPr>
            <w:r>
              <w:rPr>
                <w:rFonts w:hint="eastAsia" w:ascii="宋体" w:cs="宋体"/>
                <w:color w:val="auto"/>
                <w:szCs w:val="21"/>
                <w:highlight w:val="none"/>
              </w:rPr>
              <w:t>《中华人民共和国生态环境法典》第一千二百二十六条第二款  违反本法规定，纳入全国碳排放权交易市场的温室气体重点排放单位未按照规定的期限足额清缴碳排放配额的，由生态环境主管部门责令限期改正，处一百万元以上五百万元以下的罚款；限期内未完成清缴的，处未清缴的碳排放配额清缴时限前一个月市场交易平均成交价格五倍以上十倍以下的罚款，可以责令停产整治。</w:t>
            </w:r>
          </w:p>
        </w:tc>
      </w:tr>
      <w:tr w14:paraId="5ADA2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1" w:type="dxa"/>
            <w:noWrap w:val="0"/>
            <w:vAlign w:val="center"/>
          </w:tcPr>
          <w:p w14:paraId="7D69128E">
            <w:pPr>
              <w:jc w:val="center"/>
              <w:rPr>
                <w:rFonts w:hint="eastAsia" w:ascii="宋体" w:cs="宋体"/>
                <w:color w:val="auto"/>
                <w:szCs w:val="21"/>
                <w:highlight w:val="none"/>
              </w:rPr>
            </w:pPr>
            <w:r>
              <w:rPr>
                <w:rFonts w:hint="eastAsia" w:ascii="宋体" w:cs="宋体"/>
                <w:color w:val="auto"/>
                <w:szCs w:val="21"/>
                <w:highlight w:val="none"/>
              </w:rPr>
              <w:t>裁量因素</w:t>
            </w:r>
          </w:p>
        </w:tc>
        <w:tc>
          <w:tcPr>
            <w:tcW w:w="5528" w:type="dxa"/>
            <w:noWrap w:val="0"/>
            <w:vAlign w:val="center"/>
          </w:tcPr>
          <w:p w14:paraId="6CE608E1">
            <w:pPr>
              <w:jc w:val="center"/>
              <w:rPr>
                <w:rFonts w:hint="eastAsia" w:ascii="宋体" w:cs="宋体"/>
                <w:color w:val="auto"/>
                <w:szCs w:val="21"/>
                <w:highlight w:val="none"/>
              </w:rPr>
            </w:pPr>
            <w:r>
              <w:rPr>
                <w:rFonts w:hint="eastAsia" w:ascii="宋体" w:cs="宋体"/>
                <w:color w:val="auto"/>
                <w:szCs w:val="21"/>
                <w:highlight w:val="none"/>
              </w:rPr>
              <w:t>裁量因子</w:t>
            </w:r>
          </w:p>
        </w:tc>
        <w:tc>
          <w:tcPr>
            <w:tcW w:w="1273" w:type="dxa"/>
            <w:noWrap w:val="0"/>
            <w:vAlign w:val="center"/>
          </w:tcPr>
          <w:p w14:paraId="271024C5">
            <w:pPr>
              <w:jc w:val="center"/>
              <w:rPr>
                <w:rFonts w:hint="eastAsia" w:ascii="宋体" w:cs="宋体"/>
                <w:color w:val="auto"/>
                <w:szCs w:val="21"/>
                <w:highlight w:val="none"/>
              </w:rPr>
            </w:pPr>
            <w:r>
              <w:rPr>
                <w:rFonts w:hint="eastAsia" w:ascii="宋体" w:cs="宋体"/>
                <w:color w:val="auto"/>
                <w:szCs w:val="21"/>
                <w:highlight w:val="none"/>
              </w:rPr>
              <w:t>裁量等级</w:t>
            </w:r>
          </w:p>
        </w:tc>
      </w:tr>
      <w:tr w14:paraId="49E9D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1" w:type="dxa"/>
            <w:vMerge w:val="restart"/>
            <w:noWrap w:val="0"/>
            <w:vAlign w:val="center"/>
          </w:tcPr>
          <w:p w14:paraId="6F7A733E">
            <w:pPr>
              <w:keepNext w:val="0"/>
              <w:keepLines w:val="0"/>
              <w:pageBreakBefore w:val="0"/>
              <w:widowControl w:val="0"/>
              <w:shd w:val="clear" w:color="auto" w:fill="auto"/>
              <w:kinsoku/>
              <w:wordWrap/>
              <w:topLinePunct w:val="0"/>
              <w:autoSpaceDE w:val="0"/>
              <w:autoSpaceDN w:val="0"/>
              <w:bidi w:val="0"/>
              <w:adjustRightInd/>
              <w:snapToGrid/>
              <w:spacing w:line="300" w:lineRule="exac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0"/>
                <w:sz w:val="21"/>
                <w:szCs w:val="21"/>
                <w:highlight w:val="none"/>
                <w:lang w:eastAsia="zh-CN"/>
              </w:rPr>
              <w:t>未清缴碳排放额占比法事实</w:t>
            </w:r>
          </w:p>
        </w:tc>
        <w:tc>
          <w:tcPr>
            <w:tcW w:w="5528" w:type="dxa"/>
            <w:noWrap w:val="0"/>
            <w:vAlign w:val="center"/>
          </w:tcPr>
          <w:p w14:paraId="458B5182">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294" w:lineRule="exact"/>
              <w:ind w:left="0" w:leftChars="0" w:right="0" w:rightChars="0" w:firstLine="420" w:firstLineChars="200"/>
              <w:textAlignment w:val="baseline"/>
              <w:rPr>
                <w:rFonts w:hint="eastAsia" w:ascii="宋体" w:hAnsi="宋体" w:eastAsia="宋体" w:cs="宋体"/>
                <w:b/>
                <w:bCs/>
                <w:sz w:val="21"/>
                <w:szCs w:val="21"/>
                <w:highlight w:val="none"/>
                <w:lang w:val="en-US" w:eastAsia="zh-CN"/>
              </w:rPr>
            </w:pPr>
            <w:r>
              <w:rPr>
                <w:rFonts w:hint="eastAsia" w:ascii="宋体" w:hAnsi="宋体" w:eastAsia="宋体" w:cs="宋体"/>
                <w:color w:val="auto"/>
                <w:sz w:val="21"/>
                <w:szCs w:val="21"/>
                <w:highlight w:val="none"/>
                <w:lang w:eastAsia="zh-CN"/>
              </w:rPr>
              <w:t>不足10%</w:t>
            </w:r>
          </w:p>
        </w:tc>
        <w:tc>
          <w:tcPr>
            <w:tcW w:w="1273" w:type="dxa"/>
            <w:noWrap w:val="0"/>
            <w:vAlign w:val="center"/>
          </w:tcPr>
          <w:p w14:paraId="18BE0BCC">
            <w:pPr>
              <w:keepNext w:val="0"/>
              <w:keepLines w:val="0"/>
              <w:pageBreakBefore w:val="0"/>
              <w:widowControl w:val="0"/>
              <w:shd w:val="clear" w:color="auto" w:fill="auto"/>
              <w:kinsoku/>
              <w:wordWrap/>
              <w:overflowPunct w:val="0"/>
              <w:topLinePunct w:val="0"/>
              <w:autoSpaceDE w:val="0"/>
              <w:autoSpaceDN w:val="0"/>
              <w:bidi w:val="0"/>
              <w:spacing w:line="300" w:lineRule="exac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p>
        </w:tc>
      </w:tr>
      <w:tr w14:paraId="5E385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1" w:type="dxa"/>
            <w:vMerge w:val="continue"/>
            <w:noWrap w:val="0"/>
            <w:vAlign w:val="center"/>
          </w:tcPr>
          <w:p w14:paraId="34336F56">
            <w:pPr>
              <w:keepNext w:val="0"/>
              <w:keepLines w:val="0"/>
              <w:pageBreakBefore w:val="0"/>
              <w:widowControl w:val="0"/>
              <w:shd w:val="clear" w:color="auto" w:fill="auto"/>
              <w:kinsoku/>
              <w:wordWrap/>
              <w:topLinePunct w:val="0"/>
              <w:autoSpaceDE w:val="0"/>
              <w:autoSpaceDN w:val="0"/>
              <w:bidi w:val="0"/>
              <w:adjustRightInd/>
              <w:snapToGrid/>
              <w:spacing w:line="300" w:lineRule="exact"/>
              <w:jc w:val="center"/>
              <w:textAlignment w:val="baseline"/>
              <w:rPr>
                <w:rFonts w:hint="eastAsia" w:ascii="宋体" w:hAnsi="宋体" w:eastAsia="宋体" w:cs="宋体"/>
                <w:color w:val="auto"/>
                <w:sz w:val="21"/>
                <w:szCs w:val="21"/>
                <w:highlight w:val="none"/>
              </w:rPr>
            </w:pPr>
          </w:p>
        </w:tc>
        <w:tc>
          <w:tcPr>
            <w:tcW w:w="5528" w:type="dxa"/>
            <w:noWrap w:val="0"/>
            <w:vAlign w:val="center"/>
          </w:tcPr>
          <w:p w14:paraId="58D65D8D">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294" w:lineRule="exact"/>
              <w:ind w:left="0" w:leftChars="0" w:right="0" w:rightChars="0" w:firstLine="420" w:firstLineChars="200"/>
              <w:textAlignment w:val="baseline"/>
              <w:rPr>
                <w:rFonts w:hint="eastAsia" w:ascii="宋体" w:hAnsi="宋体" w:eastAsia="宋体" w:cs="宋体"/>
                <w:b/>
                <w:bCs/>
                <w:sz w:val="21"/>
                <w:szCs w:val="21"/>
                <w:highlight w:val="none"/>
                <w:lang w:val="en-US" w:eastAsia="zh-CN"/>
              </w:rPr>
            </w:pPr>
            <w:r>
              <w:rPr>
                <w:rFonts w:hint="eastAsia" w:ascii="宋体" w:hAnsi="宋体" w:eastAsia="宋体" w:cs="宋体"/>
                <w:color w:val="auto"/>
                <w:sz w:val="21"/>
                <w:szCs w:val="21"/>
                <w:highlight w:val="none"/>
                <w:lang w:eastAsia="zh-CN"/>
              </w:rPr>
              <w:t>10%以上不足30%</w:t>
            </w:r>
          </w:p>
        </w:tc>
        <w:tc>
          <w:tcPr>
            <w:tcW w:w="1273" w:type="dxa"/>
            <w:noWrap w:val="0"/>
            <w:vAlign w:val="center"/>
          </w:tcPr>
          <w:p w14:paraId="768DB8D8">
            <w:pPr>
              <w:keepNext w:val="0"/>
              <w:keepLines w:val="0"/>
              <w:pageBreakBefore w:val="0"/>
              <w:widowControl w:val="0"/>
              <w:shd w:val="clear" w:color="auto" w:fill="auto"/>
              <w:kinsoku/>
              <w:wordWrap/>
              <w:overflowPunct w:val="0"/>
              <w:topLinePunct w:val="0"/>
              <w:autoSpaceDE w:val="0"/>
              <w:autoSpaceDN w:val="0"/>
              <w:bidi w:val="0"/>
              <w:spacing w:line="300" w:lineRule="exac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p>
        </w:tc>
      </w:tr>
      <w:tr w14:paraId="06CFB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1" w:type="dxa"/>
            <w:vMerge w:val="continue"/>
            <w:noWrap w:val="0"/>
            <w:vAlign w:val="center"/>
          </w:tcPr>
          <w:p w14:paraId="66AC53BC">
            <w:pPr>
              <w:keepNext w:val="0"/>
              <w:keepLines w:val="0"/>
              <w:pageBreakBefore w:val="0"/>
              <w:widowControl w:val="0"/>
              <w:shd w:val="clear" w:color="auto" w:fill="auto"/>
              <w:kinsoku/>
              <w:wordWrap/>
              <w:topLinePunct w:val="0"/>
              <w:autoSpaceDE w:val="0"/>
              <w:autoSpaceDN w:val="0"/>
              <w:bidi w:val="0"/>
              <w:adjustRightInd/>
              <w:snapToGrid/>
              <w:spacing w:line="300" w:lineRule="exact"/>
              <w:jc w:val="center"/>
              <w:textAlignment w:val="baseline"/>
              <w:rPr>
                <w:rFonts w:hint="eastAsia" w:ascii="宋体" w:hAnsi="宋体" w:eastAsia="宋体" w:cs="宋体"/>
                <w:color w:val="auto"/>
                <w:sz w:val="21"/>
                <w:szCs w:val="21"/>
                <w:highlight w:val="none"/>
              </w:rPr>
            </w:pPr>
          </w:p>
        </w:tc>
        <w:tc>
          <w:tcPr>
            <w:tcW w:w="5528" w:type="dxa"/>
            <w:noWrap w:val="0"/>
            <w:vAlign w:val="center"/>
          </w:tcPr>
          <w:p w14:paraId="152A2C59">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294" w:lineRule="exact"/>
              <w:ind w:left="0" w:leftChars="0" w:right="0" w:rightChars="0" w:firstLine="420" w:firstLineChars="200"/>
              <w:textAlignment w:val="baseline"/>
              <w:rPr>
                <w:rFonts w:hint="eastAsia" w:ascii="宋体" w:hAnsi="宋体" w:eastAsia="宋体" w:cs="宋体"/>
                <w:b/>
                <w:bCs/>
                <w:sz w:val="21"/>
                <w:szCs w:val="21"/>
                <w:highlight w:val="none"/>
                <w:lang w:val="en-US" w:eastAsia="zh-CN"/>
              </w:rPr>
            </w:pPr>
            <w:r>
              <w:rPr>
                <w:rFonts w:hint="eastAsia" w:ascii="宋体" w:hAnsi="宋体" w:eastAsia="宋体" w:cs="宋体"/>
                <w:sz w:val="21"/>
                <w:szCs w:val="21"/>
                <w:highlight w:val="none"/>
              </w:rPr>
              <w:t>30%以上不足50%</w:t>
            </w:r>
          </w:p>
        </w:tc>
        <w:tc>
          <w:tcPr>
            <w:tcW w:w="1273" w:type="dxa"/>
            <w:noWrap w:val="0"/>
            <w:vAlign w:val="center"/>
          </w:tcPr>
          <w:p w14:paraId="7D513121">
            <w:pPr>
              <w:keepNext w:val="0"/>
              <w:keepLines w:val="0"/>
              <w:pageBreakBefore w:val="0"/>
              <w:widowControl w:val="0"/>
              <w:shd w:val="clear" w:color="auto" w:fill="auto"/>
              <w:kinsoku/>
              <w:wordWrap/>
              <w:overflowPunct w:val="0"/>
              <w:topLinePunct w:val="0"/>
              <w:autoSpaceDE w:val="0"/>
              <w:autoSpaceDN w:val="0"/>
              <w:bidi w:val="0"/>
              <w:spacing w:line="300" w:lineRule="exac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p>
        </w:tc>
      </w:tr>
      <w:tr w14:paraId="755A0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1" w:type="dxa"/>
            <w:vMerge w:val="continue"/>
            <w:noWrap w:val="0"/>
            <w:vAlign w:val="center"/>
          </w:tcPr>
          <w:p w14:paraId="5C4B60BA">
            <w:pPr>
              <w:keepNext w:val="0"/>
              <w:keepLines w:val="0"/>
              <w:pageBreakBefore w:val="0"/>
              <w:widowControl w:val="0"/>
              <w:shd w:val="clear" w:color="auto" w:fill="auto"/>
              <w:kinsoku/>
              <w:wordWrap/>
              <w:topLinePunct w:val="0"/>
              <w:autoSpaceDE w:val="0"/>
              <w:autoSpaceDN w:val="0"/>
              <w:bidi w:val="0"/>
              <w:adjustRightInd/>
              <w:snapToGrid/>
              <w:spacing w:line="300" w:lineRule="exact"/>
              <w:jc w:val="center"/>
              <w:textAlignment w:val="baseline"/>
              <w:rPr>
                <w:rFonts w:hint="eastAsia" w:ascii="宋体" w:hAnsi="宋体" w:eastAsia="宋体" w:cs="宋体"/>
                <w:color w:val="auto"/>
                <w:sz w:val="21"/>
                <w:szCs w:val="21"/>
                <w:highlight w:val="none"/>
              </w:rPr>
            </w:pPr>
          </w:p>
        </w:tc>
        <w:tc>
          <w:tcPr>
            <w:tcW w:w="5528" w:type="dxa"/>
            <w:noWrap w:val="0"/>
            <w:vAlign w:val="center"/>
          </w:tcPr>
          <w:p w14:paraId="2C898AFD">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294" w:lineRule="exact"/>
              <w:ind w:left="0" w:leftChars="0" w:right="0" w:rightChars="0" w:firstLine="420" w:firstLineChars="20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50%以上不足70%</w:t>
            </w:r>
          </w:p>
        </w:tc>
        <w:tc>
          <w:tcPr>
            <w:tcW w:w="1273" w:type="dxa"/>
            <w:noWrap w:val="0"/>
            <w:vAlign w:val="center"/>
          </w:tcPr>
          <w:p w14:paraId="15347F25">
            <w:pPr>
              <w:keepNext w:val="0"/>
              <w:keepLines w:val="0"/>
              <w:pageBreakBefore w:val="0"/>
              <w:widowControl w:val="0"/>
              <w:shd w:val="clear" w:color="auto" w:fill="auto"/>
              <w:kinsoku/>
              <w:wordWrap/>
              <w:overflowPunct w:val="0"/>
              <w:topLinePunct w:val="0"/>
              <w:autoSpaceDE w:val="0"/>
              <w:autoSpaceDN w:val="0"/>
              <w:bidi w:val="0"/>
              <w:spacing w:line="300" w:lineRule="exact"/>
              <w:jc w:val="center"/>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r>
      <w:tr w14:paraId="7D644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1" w:type="dxa"/>
            <w:vMerge w:val="continue"/>
            <w:noWrap w:val="0"/>
            <w:vAlign w:val="center"/>
          </w:tcPr>
          <w:p w14:paraId="195EC6C9">
            <w:pPr>
              <w:keepNext w:val="0"/>
              <w:keepLines w:val="0"/>
              <w:pageBreakBefore w:val="0"/>
              <w:widowControl w:val="0"/>
              <w:shd w:val="clear" w:color="auto" w:fill="auto"/>
              <w:kinsoku/>
              <w:wordWrap/>
              <w:topLinePunct w:val="0"/>
              <w:autoSpaceDE w:val="0"/>
              <w:autoSpaceDN w:val="0"/>
              <w:bidi w:val="0"/>
              <w:adjustRightInd/>
              <w:snapToGrid/>
              <w:spacing w:line="300" w:lineRule="exact"/>
              <w:jc w:val="center"/>
              <w:textAlignment w:val="baseline"/>
              <w:rPr>
                <w:rFonts w:hint="eastAsia" w:ascii="宋体" w:hAnsi="宋体" w:eastAsia="宋体" w:cs="宋体"/>
                <w:color w:val="auto"/>
                <w:sz w:val="21"/>
                <w:szCs w:val="21"/>
                <w:highlight w:val="none"/>
              </w:rPr>
            </w:pPr>
          </w:p>
        </w:tc>
        <w:tc>
          <w:tcPr>
            <w:tcW w:w="5528" w:type="dxa"/>
            <w:noWrap w:val="0"/>
            <w:vAlign w:val="center"/>
          </w:tcPr>
          <w:p w14:paraId="0D591767">
            <w:pPr>
              <w:pStyle w:val="11"/>
              <w:keepNext w:val="0"/>
              <w:keepLines w:val="0"/>
              <w:pageBreakBefore w:val="0"/>
              <w:widowControl w:val="0"/>
              <w:shd w:val="clear" w:color="auto" w:fill="auto"/>
              <w:kinsoku/>
              <w:wordWrap/>
              <w:overflowPunct/>
              <w:topLinePunct w:val="0"/>
              <w:autoSpaceDE w:val="0"/>
              <w:autoSpaceDN w:val="0"/>
              <w:bidi w:val="0"/>
              <w:adjustRightInd w:val="0"/>
              <w:snapToGrid w:val="0"/>
              <w:spacing w:line="294" w:lineRule="exact"/>
              <w:ind w:left="0" w:leftChars="0" w:right="0" w:rightChars="0" w:firstLine="420" w:firstLineChars="20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70%以上</w:t>
            </w:r>
          </w:p>
        </w:tc>
        <w:tc>
          <w:tcPr>
            <w:tcW w:w="1273" w:type="dxa"/>
            <w:noWrap w:val="0"/>
            <w:vAlign w:val="center"/>
          </w:tcPr>
          <w:p w14:paraId="0636F5C7">
            <w:pPr>
              <w:keepNext w:val="0"/>
              <w:keepLines w:val="0"/>
              <w:pageBreakBefore w:val="0"/>
              <w:widowControl w:val="0"/>
              <w:shd w:val="clear" w:color="auto" w:fill="auto"/>
              <w:kinsoku/>
              <w:wordWrap/>
              <w:overflowPunct w:val="0"/>
              <w:topLinePunct w:val="0"/>
              <w:autoSpaceDE w:val="0"/>
              <w:autoSpaceDN w:val="0"/>
              <w:bidi w:val="0"/>
              <w:spacing w:line="300" w:lineRule="exact"/>
              <w:jc w:val="center"/>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r>
    </w:tbl>
    <w:p w14:paraId="46DB7921">
      <w:pPr>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br w:type="page"/>
      </w:r>
    </w:p>
    <w:p w14:paraId="57C76F4F">
      <w:pPr>
        <w:pStyle w:val="3"/>
        <w:keepNext/>
        <w:keepLines/>
        <w:pageBreakBefore w:val="0"/>
        <w:widowControl w:val="0"/>
        <w:kinsoku/>
        <w:wordWrap/>
        <w:overflowPunct/>
        <w:topLinePunct w:val="0"/>
        <w:autoSpaceDE/>
        <w:autoSpaceDN/>
        <w:bidi w:val="0"/>
        <w:adjustRightInd w:val="0"/>
        <w:snapToGrid w:val="0"/>
        <w:spacing w:after="0" w:afterLines="0" w:line="360" w:lineRule="auto"/>
        <w:textAlignment w:val="auto"/>
        <w:rPr>
          <w:rFonts w:hint="eastAsia" w:ascii="仿宋_GB2312" w:hAnsi="仿宋_GB2312" w:eastAsia="仿宋_GB2312" w:cs="仿宋_GB2312"/>
          <w:sz w:val="28"/>
          <w:szCs w:val="28"/>
          <w:highlight w:val="none"/>
        </w:rPr>
      </w:pPr>
      <w:r>
        <w:rPr>
          <w:rFonts w:hint="eastAsia" w:ascii="楷体_GB2312" w:hAnsi="楷体_GB2312" w:eastAsia="楷体_GB2312" w:cs="楷体_GB2312"/>
          <w:color w:val="auto"/>
          <w:sz w:val="28"/>
          <w:szCs w:val="28"/>
          <w:highlight w:val="none"/>
          <w:lang w:val="en-US" w:eastAsia="zh-CN"/>
        </w:rPr>
        <w:t>（十三）其他类</w:t>
      </w:r>
    </w:p>
    <w:p w14:paraId="3C43CDC1">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p>
    <w:p w14:paraId="361AB295">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1.</w:t>
      </w:r>
      <w:r>
        <w:rPr>
          <w:rFonts w:hint="eastAsia" w:ascii="宋体" w:hAnsi="Times New Roman" w:cs="Times New Roman"/>
          <w:color w:val="auto"/>
          <w:kern w:val="0"/>
          <w:sz w:val="24"/>
        </w:rPr>
        <w:t>从事机动车船排放检验、土壤污染调查和评估、污染防治设施维护或者运营、固体废物或者危险废物鉴别等活动的生态环境技术服务机构，在生态环境服务活动中弄虚作假、出具虚假报告的</w:t>
      </w:r>
      <w:r>
        <w:rPr>
          <w:rFonts w:hint="eastAsia" w:ascii="宋体" w:hAnsi="Times New Roman" w:cs="Times New Roman"/>
          <w:color w:val="auto"/>
          <w:kern w:val="0"/>
          <w:sz w:val="24"/>
          <w:lang w:eastAsia="zh-CN"/>
        </w:rPr>
        <w:t>；</w:t>
      </w:r>
    </w:p>
    <w:p w14:paraId="2FB99B25">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2.从事畜禽规模养殖未及时收集、贮存、清运、处理或者利用养殖过程中产生的畜禽粪污、尸体等废弃物的；</w:t>
      </w:r>
    </w:p>
    <w:p w14:paraId="15D8D010">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3.向农田灌溉渠道排放未综合利用的畜禽养殖粪污，致使其下游最近的灌溉取水点的水质不符合农田灌溉用水水质标准的；</w:t>
      </w:r>
    </w:p>
    <w:p w14:paraId="4FA42B60">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4.排放污染物的企业事业单位未建立污染防治责任制度，拒不改正的；</w:t>
      </w:r>
    </w:p>
    <w:p w14:paraId="1411D9E5">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5.未按照生态环境准入清单的规定进行生产建设活动的；</w:t>
      </w:r>
    </w:p>
    <w:p w14:paraId="742A2EEF">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6.企业事业单位和其他生产经营者未制定环境污染、生态破坏事故或者突发生态环境事件的应急预案，情节严重的；</w:t>
      </w:r>
    </w:p>
    <w:p w14:paraId="606C74CC">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7.企业事业单位和其他生产经营者应急预案未报备案，情节严重的；</w:t>
      </w:r>
    </w:p>
    <w:p w14:paraId="351E0D61">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8.企业事业单位和其他生产经营者未配备应急设备、器材，情节严重的；</w:t>
      </w:r>
    </w:p>
    <w:p w14:paraId="6AE49D73">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9.对造成环境污染、生态破坏事故的；</w:t>
      </w:r>
    </w:p>
    <w:p w14:paraId="6FD0F365">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10.因发生事故或者其他突发性事件，造成或者可能造成环境污染、生态破坏事件，未及时通报或者报告的；</w:t>
      </w:r>
    </w:p>
    <w:p w14:paraId="474BF8C5">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11.因发生事故或者其他突发性事件，造成或者可能造成环境污染、生态破坏事件，未立即采取有效措施或者逃逸的；</w:t>
      </w:r>
    </w:p>
    <w:p w14:paraId="7DF4DDBA">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12.因发生事故或者其他突发性事件，造成或者可能造成环境污染、生态破坏事件，未采取必要应对措施，造成生态灾害危害扩大的；</w:t>
      </w:r>
    </w:p>
    <w:p w14:paraId="1297C3A6">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13.采取视频监控措施未按照有关标准、规范覆盖主要生产工序、治理工序、排放口、采样点、监控站房内的；采取用电、用能、用水等过程监控措施未按照有关标准、规范覆盖生产过程中产生和治理污染物环节的</w:t>
      </w:r>
    </w:p>
    <w:p w14:paraId="6DE92171">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14.设备产生的污染物排放自动监测数据每季度有效传输率低于国家或者本省有关规定的；设备超期未验收、验收后未备案或者未重新验收、未重新备案的；设备发生故障后未在规定期限内报告的；设备发生故障后未按照规定采取手工监测的</w:t>
      </w:r>
    </w:p>
    <w:p w14:paraId="6F2106E8">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15.排污单位或者运行维护单位不如实标记设备、数据等异常情况的；排污单位未按照规定对自动监控信息管理平台分类推送的异常情况警告信息予以核实、处理或者反馈的</w:t>
      </w:r>
    </w:p>
    <w:p w14:paraId="2FEEA9CA">
      <w:pPr>
        <w:widowControl w:val="0"/>
        <w:adjustRightInd w:val="0"/>
        <w:snapToGrid w:val="0"/>
        <w:spacing w:line="360" w:lineRule="auto"/>
        <w:ind w:firstLine="480" w:firstLineChars="200"/>
        <w:jc w:val="both"/>
        <w:rPr>
          <w:rFonts w:hint="eastAsia" w:ascii="宋体" w:hAnsi="Times New Roman" w:cs="Times New Roman"/>
          <w:color w:val="auto"/>
          <w:kern w:val="0"/>
          <w:sz w:val="24"/>
          <w:lang w:val="en-US" w:eastAsia="zh-CN"/>
        </w:rPr>
      </w:pPr>
      <w:r>
        <w:rPr>
          <w:rFonts w:hint="eastAsia" w:ascii="宋体" w:hAnsi="Times New Roman" w:cs="Times New Roman"/>
          <w:color w:val="auto"/>
          <w:kern w:val="0"/>
          <w:sz w:val="24"/>
          <w:lang w:val="en-US" w:eastAsia="zh-CN"/>
        </w:rPr>
        <w:t>16.排污单位未将验收备案、比对监测、校准维护、设施故障以及处理记录等自动监控管理台账资料上传至自动监控信息管理平台的</w:t>
      </w:r>
    </w:p>
    <w:p w14:paraId="4BC01F2A">
      <w:pPr>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br w:type="page"/>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11"/>
        <w:gridCol w:w="5786"/>
        <w:gridCol w:w="1351"/>
      </w:tblGrid>
      <w:tr w14:paraId="26EED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522" w:type="dxa"/>
            <w:gridSpan w:val="3"/>
            <w:noWrap w:val="0"/>
            <w:vAlign w:val="center"/>
          </w:tcPr>
          <w:p w14:paraId="0F478739">
            <w:pPr>
              <w:jc w:val="center"/>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eastAsia="zh-CN"/>
              </w:rPr>
              <w:t>（十三）其他类</w:t>
            </w:r>
          </w:p>
        </w:tc>
      </w:tr>
      <w:tr w14:paraId="2C27A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5" w:type="dxa"/>
            <w:noWrap w:val="0"/>
            <w:vAlign w:val="center"/>
          </w:tcPr>
          <w:p w14:paraId="0682886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797" w:type="dxa"/>
            <w:gridSpan w:val="2"/>
            <w:noWrap w:val="0"/>
            <w:vAlign w:val="center"/>
          </w:tcPr>
          <w:p w14:paraId="3233ABBF">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r>
      <w:tr w14:paraId="02E9A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5" w:type="dxa"/>
            <w:noWrap w:val="0"/>
            <w:vAlign w:val="center"/>
          </w:tcPr>
          <w:p w14:paraId="6F68AD7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6797" w:type="dxa"/>
            <w:gridSpan w:val="2"/>
            <w:noWrap w:val="0"/>
            <w:vAlign w:val="center"/>
          </w:tcPr>
          <w:p w14:paraId="5FE3DB75">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从事机动车船排放检验、土壤污染调查和评估、污染防治设施维护或者运营、固体废物或者危险废物鉴别等活动的生态环境技术服务机构，在生态环境服务活动中弄虚作假、出具虚假报告的</w:t>
            </w:r>
          </w:p>
        </w:tc>
      </w:tr>
      <w:tr w14:paraId="199FE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5" w:type="dxa"/>
            <w:noWrap w:val="0"/>
            <w:vAlign w:val="center"/>
          </w:tcPr>
          <w:p w14:paraId="56F2402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6797" w:type="dxa"/>
            <w:gridSpan w:val="2"/>
            <w:noWrap w:val="0"/>
            <w:vAlign w:val="center"/>
          </w:tcPr>
          <w:p w14:paraId="6AF8EE89">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《中华人民共和国生态环境法典》第二百二十五条第一款 机动车、非道路移动机械排放检验机构应当依法通过计量认证，使用经依法检定合格的机动车、非道路移动机械排放检验设备，按照国务院生态环境主管部门制定的规范，对机动车、非道路移动机械进行排放检验，并与生态环境主管部门联网，实现检验数据实时共享。机动车、非道路移动机械排放检验机构及其负责人应当对检验数据的真实性、准确性和完整性负责。</w:t>
            </w:r>
          </w:p>
          <w:p w14:paraId="4E50A079">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《中华人民共和国生态环境法典》第四百三十八条 从事土壤污染状况调查和土壤污染风险评估、风险管控、修复、风险管控效果评估、修复效果评估、后期管理等活动的单位，应当具备相应的专业能力。</w:t>
            </w:r>
          </w:p>
          <w:p w14:paraId="4B13E203">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接受委托从事前款活动的单位应当对其出具的调查报告、风险评估报告、风险管控效果评估报告、修复效果评估报告的真实性、准确性和完整性负责，并按照约定对风险管控、修复、后期管理等活动结果负责。</w:t>
            </w:r>
          </w:p>
        </w:tc>
      </w:tr>
      <w:tr w14:paraId="36B7B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5" w:type="dxa"/>
            <w:noWrap w:val="0"/>
            <w:vAlign w:val="center"/>
          </w:tcPr>
          <w:p w14:paraId="32244E4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6797" w:type="dxa"/>
            <w:gridSpan w:val="2"/>
            <w:noWrap w:val="0"/>
            <w:vAlign w:val="center"/>
          </w:tcPr>
          <w:p w14:paraId="7F5C87B3">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《中华人民共和国生态环境法典》第一千二百三十条</w:t>
            </w:r>
            <w:r>
              <w:rPr>
                <w:rFonts w:hint="eastAsia" w:ascii="宋体" w:hAnsi="宋体" w:eastAsia="宋体" w:cs="宋体"/>
                <w:color w:val="auto"/>
                <w:sz w:val="21"/>
                <w:szCs w:val="21"/>
                <w:highlight w:val="none"/>
                <w:lang w:val="en-US" w:eastAsia="zh-CN"/>
              </w:rPr>
              <w:t>第二款、第三款</w:t>
            </w:r>
            <w:r>
              <w:rPr>
                <w:rFonts w:hint="eastAsia" w:ascii="宋体" w:hAnsi="宋体" w:eastAsia="宋体" w:cs="宋体"/>
                <w:color w:val="auto"/>
                <w:sz w:val="21"/>
                <w:szCs w:val="21"/>
                <w:highlight w:val="none"/>
              </w:rPr>
              <w:t>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违反本法规定，前款所列机构在生态环境服务活动中弄虚作假、出具虚假报告的，由负有生态环境保护监督管理职责的部门、机构按照职责分工没收违法所得，并处十万元以上五十万元以下的罚款</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w:t>
            </w:r>
          </w:p>
          <w:p w14:paraId="2233719D">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有前款规定情形的，由负有生态环境保护监督管理职责的部门、机构按照职责分工对直接负责的主管人员和其他直接责任人员处一万元以上五万元以下的罚款，五年内禁止从事前款规定的业务</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w:t>
            </w:r>
          </w:p>
        </w:tc>
      </w:tr>
      <w:tr w14:paraId="3CE15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5" w:type="dxa"/>
            <w:noWrap w:val="0"/>
            <w:vAlign w:val="center"/>
          </w:tcPr>
          <w:p w14:paraId="3C8549A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511" w:type="dxa"/>
            <w:noWrap w:val="0"/>
            <w:vAlign w:val="center"/>
          </w:tcPr>
          <w:p w14:paraId="4B68197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286" w:type="dxa"/>
            <w:noWrap w:val="0"/>
            <w:vAlign w:val="center"/>
          </w:tcPr>
          <w:p w14:paraId="4CCB7FC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14B56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1725" w:type="dxa"/>
            <w:vMerge w:val="restart"/>
            <w:noWrap w:val="0"/>
            <w:vAlign w:val="center"/>
          </w:tcPr>
          <w:p w14:paraId="2661F05C">
            <w:pPr>
              <w:jc w:val="center"/>
              <w:rPr>
                <w:rFonts w:hint="eastAsia" w:ascii="宋体" w:hAnsi="宋体" w:eastAsia="宋体" w:cs="宋体"/>
                <w:b w:val="0"/>
                <w:bCs w:val="0"/>
                <w:color w:val="auto"/>
                <w:sz w:val="21"/>
                <w:szCs w:val="21"/>
                <w:highlight w:val="none"/>
                <w:lang w:eastAsia="zh-CN"/>
              </w:rPr>
            </w:pPr>
            <w:r>
              <w:rPr>
                <w:rFonts w:hint="eastAsia" w:ascii="宋体" w:hAnsi="宋体" w:eastAsia="宋体" w:cs="宋体"/>
                <w:color w:val="auto"/>
                <w:sz w:val="21"/>
                <w:szCs w:val="21"/>
                <w:highlight w:val="none"/>
                <w:lang w:val="en-US" w:eastAsia="zh-CN"/>
              </w:rPr>
              <w:t>报告数量</w:t>
            </w:r>
          </w:p>
        </w:tc>
        <w:tc>
          <w:tcPr>
            <w:tcW w:w="5511" w:type="dxa"/>
            <w:noWrap w:val="0"/>
            <w:vAlign w:val="center"/>
          </w:tcPr>
          <w:p w14:paraId="644D0701">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color w:val="auto"/>
                <w:sz w:val="21"/>
                <w:szCs w:val="21"/>
                <w:highlight w:val="none"/>
              </w:rPr>
              <w:t>1份</w:t>
            </w:r>
          </w:p>
        </w:tc>
        <w:tc>
          <w:tcPr>
            <w:tcW w:w="1286" w:type="dxa"/>
            <w:noWrap w:val="0"/>
            <w:vAlign w:val="center"/>
          </w:tcPr>
          <w:p w14:paraId="40B1BFD0">
            <w:pPr>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r>
      <w:tr w14:paraId="6E160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5" w:type="dxa"/>
            <w:vMerge w:val="continue"/>
            <w:noWrap w:val="0"/>
            <w:vAlign w:val="center"/>
          </w:tcPr>
          <w:p w14:paraId="47B30A98">
            <w:pPr>
              <w:jc w:val="center"/>
              <w:rPr>
                <w:rFonts w:hint="eastAsia" w:ascii="宋体" w:hAnsi="宋体" w:eastAsia="宋体" w:cs="宋体"/>
                <w:b w:val="0"/>
                <w:bCs w:val="0"/>
                <w:color w:val="auto"/>
                <w:sz w:val="21"/>
                <w:szCs w:val="21"/>
                <w:highlight w:val="none"/>
                <w:lang w:eastAsia="zh-CN"/>
              </w:rPr>
            </w:pPr>
          </w:p>
        </w:tc>
        <w:tc>
          <w:tcPr>
            <w:tcW w:w="5511" w:type="dxa"/>
            <w:noWrap w:val="0"/>
            <w:vAlign w:val="center"/>
          </w:tcPr>
          <w:p w14:paraId="0E5519AD">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color w:val="auto"/>
                <w:sz w:val="21"/>
                <w:szCs w:val="21"/>
                <w:highlight w:val="none"/>
              </w:rPr>
              <w:t>2份以上不足5份</w:t>
            </w:r>
          </w:p>
        </w:tc>
        <w:tc>
          <w:tcPr>
            <w:tcW w:w="1286" w:type="dxa"/>
            <w:noWrap w:val="0"/>
            <w:vAlign w:val="center"/>
          </w:tcPr>
          <w:p w14:paraId="0C4781F7">
            <w:pPr>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r>
      <w:tr w14:paraId="5CC13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5" w:type="dxa"/>
            <w:vMerge w:val="continue"/>
            <w:noWrap w:val="0"/>
            <w:vAlign w:val="center"/>
          </w:tcPr>
          <w:p w14:paraId="767D6096">
            <w:pPr>
              <w:jc w:val="center"/>
              <w:rPr>
                <w:rFonts w:hint="eastAsia" w:ascii="宋体" w:hAnsi="宋体" w:eastAsia="宋体" w:cs="宋体"/>
                <w:b w:val="0"/>
                <w:bCs w:val="0"/>
                <w:color w:val="auto"/>
                <w:sz w:val="21"/>
                <w:szCs w:val="21"/>
                <w:highlight w:val="none"/>
                <w:lang w:eastAsia="zh-CN"/>
              </w:rPr>
            </w:pPr>
          </w:p>
        </w:tc>
        <w:tc>
          <w:tcPr>
            <w:tcW w:w="5511" w:type="dxa"/>
            <w:noWrap w:val="0"/>
            <w:vAlign w:val="center"/>
          </w:tcPr>
          <w:p w14:paraId="44F8FA16">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color w:val="auto"/>
                <w:sz w:val="21"/>
                <w:szCs w:val="21"/>
                <w:highlight w:val="none"/>
              </w:rPr>
              <w:t>5份以上不足</w:t>
            </w: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份</w:t>
            </w:r>
          </w:p>
        </w:tc>
        <w:tc>
          <w:tcPr>
            <w:tcW w:w="1286" w:type="dxa"/>
            <w:noWrap w:val="0"/>
            <w:vAlign w:val="center"/>
          </w:tcPr>
          <w:p w14:paraId="77587E5F">
            <w:pPr>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r>
      <w:tr w14:paraId="24BA6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5" w:type="dxa"/>
            <w:vMerge w:val="continue"/>
            <w:noWrap w:val="0"/>
            <w:vAlign w:val="center"/>
          </w:tcPr>
          <w:p w14:paraId="6DFBE54D">
            <w:pPr>
              <w:jc w:val="center"/>
              <w:rPr>
                <w:rFonts w:hint="eastAsia" w:ascii="宋体" w:hAnsi="宋体" w:eastAsia="宋体" w:cs="宋体"/>
                <w:b w:val="0"/>
                <w:bCs w:val="0"/>
                <w:color w:val="auto"/>
                <w:sz w:val="21"/>
                <w:szCs w:val="21"/>
                <w:highlight w:val="none"/>
                <w:lang w:eastAsia="zh-CN"/>
              </w:rPr>
            </w:pPr>
          </w:p>
        </w:tc>
        <w:tc>
          <w:tcPr>
            <w:tcW w:w="5511" w:type="dxa"/>
            <w:noWrap w:val="0"/>
            <w:vAlign w:val="center"/>
          </w:tcPr>
          <w:p w14:paraId="59A921ED">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份以上</w:t>
            </w:r>
          </w:p>
        </w:tc>
        <w:tc>
          <w:tcPr>
            <w:tcW w:w="1286" w:type="dxa"/>
            <w:noWrap w:val="0"/>
            <w:vAlign w:val="center"/>
          </w:tcPr>
          <w:p w14:paraId="0CFC9CED">
            <w:pPr>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r>
      <w:tr w14:paraId="492CA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5" w:type="dxa"/>
            <w:vMerge w:val="restart"/>
            <w:noWrap w:val="0"/>
            <w:vAlign w:val="center"/>
          </w:tcPr>
          <w:p w14:paraId="013AF1CE">
            <w:pPr>
              <w:keepNext w:val="0"/>
              <w:keepLines w:val="0"/>
              <w:widowControl/>
              <w:suppressLineNumbers w:val="0"/>
              <w:jc w:val="center"/>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000000"/>
                <w:kern w:val="0"/>
                <w:sz w:val="21"/>
                <w:szCs w:val="21"/>
                <w:highlight w:val="none"/>
                <w:lang w:val="en-US" w:eastAsia="zh-CN" w:bidi="ar"/>
              </w:rPr>
              <w:t>服务对象数量</w:t>
            </w:r>
          </w:p>
        </w:tc>
        <w:tc>
          <w:tcPr>
            <w:tcW w:w="5511" w:type="dxa"/>
            <w:noWrap w:val="0"/>
            <w:vAlign w:val="center"/>
          </w:tcPr>
          <w:p w14:paraId="0C445E86">
            <w:pPr>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1家（个）</w:t>
            </w:r>
          </w:p>
        </w:tc>
        <w:tc>
          <w:tcPr>
            <w:tcW w:w="1286" w:type="dxa"/>
            <w:noWrap w:val="0"/>
            <w:vAlign w:val="center"/>
          </w:tcPr>
          <w:p w14:paraId="74DA3907">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r>
      <w:tr w14:paraId="6CD8D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5" w:type="dxa"/>
            <w:vMerge w:val="continue"/>
            <w:noWrap w:val="0"/>
            <w:vAlign w:val="center"/>
          </w:tcPr>
          <w:p w14:paraId="36436B43">
            <w:pPr>
              <w:jc w:val="center"/>
              <w:rPr>
                <w:rFonts w:hint="eastAsia" w:ascii="宋体" w:hAnsi="宋体" w:eastAsia="宋体" w:cs="宋体"/>
                <w:b w:val="0"/>
                <w:bCs w:val="0"/>
                <w:color w:val="auto"/>
                <w:sz w:val="21"/>
                <w:szCs w:val="21"/>
                <w:highlight w:val="none"/>
                <w:lang w:eastAsia="zh-CN"/>
              </w:rPr>
            </w:pPr>
          </w:p>
        </w:tc>
        <w:tc>
          <w:tcPr>
            <w:tcW w:w="5511" w:type="dxa"/>
            <w:noWrap w:val="0"/>
            <w:vAlign w:val="center"/>
          </w:tcPr>
          <w:p w14:paraId="2D458FCC">
            <w:pPr>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2家（个）</w:t>
            </w:r>
          </w:p>
        </w:tc>
        <w:tc>
          <w:tcPr>
            <w:tcW w:w="1286" w:type="dxa"/>
            <w:noWrap w:val="0"/>
            <w:vAlign w:val="center"/>
          </w:tcPr>
          <w:p w14:paraId="31450FA3">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r>
      <w:tr w14:paraId="10D78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5" w:type="dxa"/>
            <w:vMerge w:val="continue"/>
            <w:noWrap w:val="0"/>
            <w:vAlign w:val="center"/>
          </w:tcPr>
          <w:p w14:paraId="100432D2">
            <w:pPr>
              <w:jc w:val="center"/>
              <w:rPr>
                <w:rFonts w:hint="eastAsia" w:ascii="宋体" w:hAnsi="宋体" w:eastAsia="宋体" w:cs="宋体"/>
                <w:b w:val="0"/>
                <w:bCs w:val="0"/>
                <w:color w:val="auto"/>
                <w:sz w:val="21"/>
                <w:szCs w:val="21"/>
                <w:highlight w:val="none"/>
                <w:lang w:eastAsia="zh-CN"/>
              </w:rPr>
            </w:pPr>
          </w:p>
        </w:tc>
        <w:tc>
          <w:tcPr>
            <w:tcW w:w="5511" w:type="dxa"/>
            <w:noWrap w:val="0"/>
            <w:vAlign w:val="center"/>
          </w:tcPr>
          <w:p w14:paraId="54A41E3F">
            <w:pPr>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3家（个）以上，不足5家（个）</w:t>
            </w:r>
          </w:p>
        </w:tc>
        <w:tc>
          <w:tcPr>
            <w:tcW w:w="1286" w:type="dxa"/>
            <w:noWrap w:val="0"/>
            <w:vAlign w:val="center"/>
          </w:tcPr>
          <w:p w14:paraId="35B35C29">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r>
      <w:tr w14:paraId="074B5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5" w:type="dxa"/>
            <w:vMerge w:val="continue"/>
            <w:noWrap w:val="0"/>
            <w:vAlign w:val="center"/>
          </w:tcPr>
          <w:p w14:paraId="6B7DEA98">
            <w:pPr>
              <w:jc w:val="center"/>
              <w:rPr>
                <w:rFonts w:hint="eastAsia" w:ascii="宋体" w:hAnsi="宋体" w:eastAsia="宋体" w:cs="宋体"/>
                <w:b w:val="0"/>
                <w:bCs w:val="0"/>
                <w:color w:val="auto"/>
                <w:sz w:val="21"/>
                <w:szCs w:val="21"/>
                <w:highlight w:val="none"/>
                <w:lang w:eastAsia="zh-CN"/>
              </w:rPr>
            </w:pPr>
          </w:p>
        </w:tc>
        <w:tc>
          <w:tcPr>
            <w:tcW w:w="5511" w:type="dxa"/>
            <w:noWrap w:val="0"/>
            <w:vAlign w:val="center"/>
          </w:tcPr>
          <w:p w14:paraId="1AB4A267">
            <w:pPr>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5家（个）以上</w:t>
            </w:r>
          </w:p>
        </w:tc>
        <w:tc>
          <w:tcPr>
            <w:tcW w:w="1286" w:type="dxa"/>
            <w:noWrap w:val="0"/>
            <w:vAlign w:val="center"/>
          </w:tcPr>
          <w:p w14:paraId="67947126">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r>
      <w:tr w14:paraId="0BCD3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5" w:type="dxa"/>
            <w:noWrap w:val="0"/>
            <w:vAlign w:val="center"/>
          </w:tcPr>
          <w:p w14:paraId="05E5A696">
            <w:pPr>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备注</w:t>
            </w:r>
          </w:p>
        </w:tc>
        <w:tc>
          <w:tcPr>
            <w:tcW w:w="6797" w:type="dxa"/>
            <w:gridSpan w:val="2"/>
            <w:noWrap w:val="0"/>
            <w:vAlign w:val="center"/>
          </w:tcPr>
          <w:p w14:paraId="669070AD">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拟对单位、直接负责的主管人员和其他直接责任人员实施罚款处罚的，应当分别套用计算公式确定罚款数额。</w:t>
            </w:r>
          </w:p>
        </w:tc>
      </w:tr>
    </w:tbl>
    <w:p w14:paraId="7F494791">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p w14:paraId="604AF434">
      <w:pPr>
        <w:rPr>
          <w:rFonts w:hint="eastAsia" w:ascii="宋体" w:hAnsi="宋体" w:eastAsia="宋体" w:cs="宋体"/>
          <w:sz w:val="21"/>
          <w:szCs w:val="21"/>
          <w:highlight w:val="none"/>
        </w:rPr>
      </w:pPr>
    </w:p>
    <w:tbl>
      <w:tblPr>
        <w:tblStyle w:val="8"/>
        <w:tblW w:w="507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21"/>
        <w:gridCol w:w="5916"/>
        <w:gridCol w:w="1352"/>
      </w:tblGrid>
      <w:tr w14:paraId="0B491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8657" w:type="dxa"/>
            <w:gridSpan w:val="3"/>
            <w:noWrap w:val="0"/>
            <w:vAlign w:val="top"/>
          </w:tcPr>
          <w:p w14:paraId="0CE6BF33">
            <w:pPr>
              <w:jc w:val="center"/>
              <w:rPr>
                <w:rFonts w:hint="eastAsia" w:ascii="宋体" w:hAnsi="宋体" w:eastAsia="宋体" w:cs="宋体"/>
                <w:strike w:val="0"/>
                <w:dstrike w:val="0"/>
                <w:color w:val="auto"/>
                <w:sz w:val="21"/>
                <w:szCs w:val="21"/>
                <w:highlight w:val="none"/>
                <w:lang w:eastAsia="zh-CN"/>
              </w:rPr>
            </w:pPr>
            <w:r>
              <w:rPr>
                <w:rFonts w:hint="eastAsia" w:ascii="宋体" w:hAnsi="宋体" w:eastAsia="宋体" w:cs="宋体"/>
                <w:bCs/>
                <w:strike w:val="0"/>
                <w:dstrike w:val="0"/>
                <w:color w:val="auto"/>
                <w:sz w:val="21"/>
                <w:szCs w:val="21"/>
                <w:highlight w:val="none"/>
                <w:lang w:eastAsia="zh-CN"/>
              </w:rPr>
              <w:t>（十三）其他类</w:t>
            </w:r>
          </w:p>
        </w:tc>
      </w:tr>
      <w:tr w14:paraId="6DAA6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734" w:type="dxa"/>
            <w:noWrap w:val="0"/>
            <w:vAlign w:val="center"/>
          </w:tcPr>
          <w:p w14:paraId="1284C7E6">
            <w:pPr>
              <w:jc w:val="center"/>
              <w:rPr>
                <w:rFonts w:hint="eastAsia" w:ascii="宋体" w:hAnsi="宋体" w:eastAsia="宋体" w:cs="宋体"/>
                <w:strike w:val="0"/>
                <w:dstrike w:val="0"/>
                <w:color w:val="auto"/>
                <w:sz w:val="21"/>
                <w:szCs w:val="21"/>
                <w:highlight w:val="none"/>
              </w:rPr>
            </w:pPr>
            <w:r>
              <w:rPr>
                <w:rFonts w:hint="eastAsia" w:ascii="宋体" w:hAnsi="宋体" w:eastAsia="宋体" w:cs="宋体"/>
                <w:strike w:val="0"/>
                <w:dstrike w:val="0"/>
                <w:color w:val="auto"/>
                <w:sz w:val="21"/>
                <w:szCs w:val="21"/>
                <w:highlight w:val="none"/>
              </w:rPr>
              <w:t>序号</w:t>
            </w:r>
          </w:p>
        </w:tc>
        <w:tc>
          <w:tcPr>
            <w:tcW w:w="6923" w:type="dxa"/>
            <w:gridSpan w:val="2"/>
            <w:noWrap w:val="0"/>
            <w:vAlign w:val="top"/>
          </w:tcPr>
          <w:p w14:paraId="7B1B04A9">
            <w:pPr>
              <w:jc w:val="center"/>
              <w:rPr>
                <w:rFonts w:hint="eastAsia" w:ascii="宋体" w:hAnsi="宋体" w:eastAsia="宋体" w:cs="宋体"/>
                <w:strike w:val="0"/>
                <w:dstrike w:val="0"/>
                <w:color w:val="auto"/>
                <w:sz w:val="21"/>
                <w:szCs w:val="21"/>
                <w:highlight w:val="none"/>
                <w:lang w:val="en-US" w:eastAsia="zh-CN"/>
              </w:rPr>
            </w:pPr>
            <w:r>
              <w:rPr>
                <w:rFonts w:hint="eastAsia" w:ascii="宋体" w:hAnsi="宋体" w:eastAsia="宋体" w:cs="宋体"/>
                <w:strike w:val="0"/>
                <w:dstrike w:val="0"/>
                <w:color w:val="auto"/>
                <w:sz w:val="21"/>
                <w:szCs w:val="21"/>
                <w:highlight w:val="none"/>
                <w:lang w:val="en-US" w:eastAsia="zh-CN"/>
              </w:rPr>
              <w:t>2</w:t>
            </w:r>
          </w:p>
        </w:tc>
      </w:tr>
      <w:tr w14:paraId="420B7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atLeast"/>
          <w:jc w:val="center"/>
        </w:trPr>
        <w:tc>
          <w:tcPr>
            <w:tcW w:w="1734" w:type="dxa"/>
            <w:noWrap w:val="0"/>
            <w:vAlign w:val="center"/>
          </w:tcPr>
          <w:p w14:paraId="462D170D">
            <w:pPr>
              <w:jc w:val="center"/>
              <w:rPr>
                <w:rFonts w:hint="eastAsia" w:ascii="宋体" w:hAnsi="宋体" w:eastAsia="宋体" w:cs="宋体"/>
                <w:strike w:val="0"/>
                <w:dstrike w:val="0"/>
                <w:color w:val="auto"/>
                <w:sz w:val="21"/>
                <w:szCs w:val="21"/>
                <w:highlight w:val="none"/>
              </w:rPr>
            </w:pPr>
            <w:r>
              <w:rPr>
                <w:rFonts w:hint="eastAsia" w:ascii="宋体" w:hAnsi="宋体" w:eastAsia="宋体" w:cs="宋体"/>
                <w:strike w:val="0"/>
                <w:dstrike w:val="0"/>
                <w:color w:val="auto"/>
                <w:sz w:val="21"/>
                <w:szCs w:val="21"/>
                <w:highlight w:val="none"/>
              </w:rPr>
              <w:t>违法行为</w:t>
            </w:r>
          </w:p>
        </w:tc>
        <w:tc>
          <w:tcPr>
            <w:tcW w:w="6923" w:type="dxa"/>
            <w:gridSpan w:val="2"/>
            <w:noWrap w:val="0"/>
            <w:vAlign w:val="center"/>
          </w:tcPr>
          <w:p w14:paraId="2AFB7D04">
            <w:pPr>
              <w:adjustRightInd w:val="0"/>
              <w:ind w:firstLine="420" w:firstLineChars="200"/>
              <w:jc w:val="both"/>
              <w:rPr>
                <w:rFonts w:hint="eastAsia" w:ascii="宋体" w:hAnsi="宋体" w:eastAsia="宋体" w:cs="宋体"/>
                <w:strike w:val="0"/>
                <w:dstrike w:val="0"/>
                <w:color w:val="auto"/>
                <w:sz w:val="21"/>
                <w:szCs w:val="21"/>
                <w:highlight w:val="none"/>
              </w:rPr>
            </w:pPr>
            <w:r>
              <w:rPr>
                <w:rFonts w:hint="eastAsia" w:ascii="宋体" w:hAnsi="宋体" w:eastAsia="宋体" w:cs="宋体"/>
                <w:strike w:val="0"/>
                <w:dstrike w:val="0"/>
                <w:color w:val="auto"/>
                <w:sz w:val="21"/>
                <w:szCs w:val="21"/>
                <w:highlight w:val="none"/>
              </w:rPr>
              <w:t>从事畜禽规模养殖未及时收集、贮存、清运、处理或者利用养殖过程中产生的畜禽粪污、尸体等废弃物的</w:t>
            </w:r>
          </w:p>
        </w:tc>
      </w:tr>
      <w:tr w14:paraId="548F0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2" w:hRule="atLeast"/>
          <w:jc w:val="center"/>
        </w:trPr>
        <w:tc>
          <w:tcPr>
            <w:tcW w:w="1734" w:type="dxa"/>
            <w:noWrap w:val="0"/>
            <w:vAlign w:val="center"/>
          </w:tcPr>
          <w:p w14:paraId="659D106F">
            <w:pPr>
              <w:jc w:val="center"/>
              <w:rPr>
                <w:rFonts w:hint="eastAsia" w:ascii="宋体" w:hAnsi="宋体" w:eastAsia="宋体" w:cs="宋体"/>
                <w:strike w:val="0"/>
                <w:dstrike w:val="0"/>
                <w:color w:val="auto"/>
                <w:sz w:val="21"/>
                <w:szCs w:val="21"/>
                <w:highlight w:val="none"/>
              </w:rPr>
            </w:pPr>
            <w:r>
              <w:rPr>
                <w:rFonts w:hint="eastAsia" w:ascii="宋体" w:hAnsi="宋体" w:eastAsia="宋体" w:cs="宋体"/>
                <w:strike w:val="0"/>
                <w:dstrike w:val="0"/>
                <w:color w:val="auto"/>
                <w:sz w:val="21"/>
                <w:szCs w:val="21"/>
                <w:highlight w:val="none"/>
              </w:rPr>
              <w:t>违反条款</w:t>
            </w:r>
          </w:p>
        </w:tc>
        <w:tc>
          <w:tcPr>
            <w:tcW w:w="6923" w:type="dxa"/>
            <w:gridSpan w:val="2"/>
            <w:noWrap w:val="0"/>
            <w:vAlign w:val="center"/>
          </w:tcPr>
          <w:p w14:paraId="727C97EA">
            <w:pPr>
              <w:ind w:firstLine="420" w:firstLineChars="200"/>
              <w:jc w:val="both"/>
              <w:rPr>
                <w:rFonts w:hint="eastAsia" w:ascii="宋体" w:hAnsi="宋体" w:eastAsia="宋体" w:cs="宋体"/>
                <w:strike w:val="0"/>
                <w:dstrike w:val="0"/>
                <w:color w:val="auto"/>
                <w:sz w:val="21"/>
                <w:szCs w:val="21"/>
                <w:highlight w:val="none"/>
              </w:rPr>
            </w:pPr>
            <w:r>
              <w:rPr>
                <w:rFonts w:hint="eastAsia" w:ascii="宋体" w:hAnsi="宋体" w:eastAsia="宋体" w:cs="宋体"/>
                <w:strike w:val="0"/>
                <w:dstrike w:val="0"/>
                <w:color w:val="auto"/>
                <w:sz w:val="21"/>
                <w:szCs w:val="21"/>
                <w:highlight w:val="none"/>
              </w:rPr>
              <w:t>《中华人民共和国生态环境法典》第一百七十一条第三款　畜禽养殖场、定点屠宰企业等的选址、建设和管理应当符合法律法规规定。畜禽养殖场应当提高精准饲喂水平，加强畜禽粪污综合管理。从事畜禽养殖和屠宰的单位和个人应当采取有效措施，及时对畜禽粪污、尸体等废弃物进行收集、贮存、清运、无害化处理和资源化利用，防止污染环境。</w:t>
            </w:r>
          </w:p>
        </w:tc>
      </w:tr>
      <w:tr w14:paraId="1D5A5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0" w:hRule="atLeast"/>
          <w:jc w:val="center"/>
        </w:trPr>
        <w:tc>
          <w:tcPr>
            <w:tcW w:w="1734" w:type="dxa"/>
            <w:noWrap w:val="0"/>
            <w:vAlign w:val="center"/>
          </w:tcPr>
          <w:p w14:paraId="5D5FC777">
            <w:pPr>
              <w:jc w:val="center"/>
              <w:rPr>
                <w:rFonts w:hint="eastAsia" w:ascii="宋体" w:hAnsi="宋体" w:eastAsia="宋体" w:cs="宋体"/>
                <w:strike w:val="0"/>
                <w:dstrike w:val="0"/>
                <w:color w:val="auto"/>
                <w:sz w:val="21"/>
                <w:szCs w:val="21"/>
                <w:highlight w:val="none"/>
              </w:rPr>
            </w:pPr>
            <w:r>
              <w:rPr>
                <w:rFonts w:hint="eastAsia" w:ascii="宋体" w:hAnsi="宋体" w:eastAsia="宋体" w:cs="宋体"/>
                <w:strike w:val="0"/>
                <w:dstrike w:val="0"/>
                <w:color w:val="auto"/>
                <w:sz w:val="21"/>
                <w:szCs w:val="21"/>
                <w:highlight w:val="none"/>
              </w:rPr>
              <w:t>处罚依据</w:t>
            </w:r>
          </w:p>
        </w:tc>
        <w:tc>
          <w:tcPr>
            <w:tcW w:w="6923" w:type="dxa"/>
            <w:gridSpan w:val="2"/>
            <w:noWrap w:val="0"/>
            <w:vAlign w:val="center"/>
          </w:tcPr>
          <w:p w14:paraId="6CF1C467">
            <w:pPr>
              <w:ind w:firstLine="420" w:firstLineChars="200"/>
              <w:jc w:val="both"/>
              <w:rPr>
                <w:rFonts w:hint="eastAsia" w:ascii="宋体" w:hAnsi="宋体" w:eastAsia="宋体" w:cs="宋体"/>
                <w:strike w:val="0"/>
                <w:dstrike w:val="0"/>
                <w:color w:val="auto"/>
                <w:sz w:val="21"/>
                <w:szCs w:val="21"/>
                <w:highlight w:val="none"/>
              </w:rPr>
            </w:pPr>
            <w:r>
              <w:rPr>
                <w:rFonts w:hint="eastAsia" w:ascii="宋体" w:hAnsi="宋体" w:eastAsia="宋体" w:cs="宋体"/>
                <w:strike w:val="0"/>
                <w:dstrike w:val="0"/>
                <w:color w:val="auto"/>
                <w:sz w:val="21"/>
                <w:szCs w:val="21"/>
                <w:highlight w:val="none"/>
              </w:rPr>
              <w:t>《中华人民共和国生态环境法典》第一千二百三十一条</w:t>
            </w:r>
            <w:r>
              <w:rPr>
                <w:rFonts w:hint="eastAsia" w:ascii="宋体" w:hAnsi="宋体" w:eastAsia="宋体" w:cs="宋体"/>
                <w:strike w:val="0"/>
                <w:dstrike w:val="0"/>
                <w:color w:val="auto"/>
                <w:sz w:val="21"/>
                <w:szCs w:val="21"/>
                <w:highlight w:val="none"/>
                <w:lang w:val="en-US" w:eastAsia="zh-CN"/>
              </w:rPr>
              <w:t>第一项</w:t>
            </w:r>
            <w:r>
              <w:rPr>
                <w:rFonts w:hint="eastAsia" w:ascii="宋体" w:hAnsi="宋体" w:eastAsia="宋体" w:cs="宋体"/>
                <w:strike w:val="0"/>
                <w:dstrike w:val="0"/>
                <w:color w:val="auto"/>
                <w:sz w:val="21"/>
                <w:szCs w:val="21"/>
                <w:highlight w:val="none"/>
              </w:rPr>
              <w:t>　违反本法规定，有下列情形之一的，由生态环境主管部门、环境卫生主管部门按照职责分工责令改正，可以处十万元以下的罚款</w:t>
            </w:r>
            <w:r>
              <w:rPr>
                <w:rFonts w:hint="eastAsia" w:ascii="宋体" w:hAnsi="宋体" w:cs="宋体"/>
                <w:color w:val="auto"/>
                <w:sz w:val="21"/>
                <w:szCs w:val="21"/>
                <w:highlight w:val="none"/>
                <w:lang w:val="en-US" w:eastAsia="zh-CN"/>
              </w:rPr>
              <w:t>；……</w:t>
            </w:r>
            <w:r>
              <w:rPr>
                <w:rFonts w:hint="eastAsia" w:ascii="宋体" w:hAnsi="宋体" w:eastAsia="宋体" w:cs="宋体"/>
                <w:strike w:val="0"/>
                <w:dstrike w:val="0"/>
                <w:color w:val="auto"/>
                <w:sz w:val="21"/>
                <w:szCs w:val="21"/>
                <w:highlight w:val="none"/>
              </w:rPr>
              <w:t>：</w:t>
            </w:r>
          </w:p>
          <w:p w14:paraId="2A164BC7">
            <w:pPr>
              <w:ind w:firstLine="420" w:firstLineChars="200"/>
              <w:jc w:val="both"/>
              <w:rPr>
                <w:rFonts w:hint="eastAsia" w:ascii="宋体" w:hAnsi="宋体" w:eastAsia="宋体" w:cs="宋体"/>
                <w:strike w:val="0"/>
                <w:dstrike w:val="0"/>
                <w:color w:val="auto"/>
                <w:sz w:val="21"/>
                <w:szCs w:val="21"/>
                <w:highlight w:val="none"/>
              </w:rPr>
            </w:pPr>
            <w:r>
              <w:rPr>
                <w:rFonts w:hint="eastAsia" w:ascii="宋体" w:hAnsi="宋体" w:eastAsia="宋体" w:cs="宋体"/>
                <w:strike w:val="0"/>
                <w:dstrike w:val="0"/>
                <w:color w:val="auto"/>
                <w:sz w:val="21"/>
                <w:szCs w:val="21"/>
                <w:highlight w:val="none"/>
              </w:rPr>
              <w:t>（一）从事畜禽规模养殖未及时收集、贮存、清运、处理或者利用养殖过程中产生的畜禽粪污、尸体等废弃物；</w:t>
            </w:r>
          </w:p>
        </w:tc>
      </w:tr>
      <w:tr w14:paraId="0D991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734" w:type="dxa"/>
            <w:noWrap w:val="0"/>
            <w:vAlign w:val="center"/>
          </w:tcPr>
          <w:p w14:paraId="6962368D">
            <w:pPr>
              <w:jc w:val="center"/>
              <w:rPr>
                <w:rFonts w:hint="eastAsia" w:ascii="宋体" w:hAnsi="宋体" w:eastAsia="宋体" w:cs="宋体"/>
                <w:strike w:val="0"/>
                <w:dstrike w:val="0"/>
                <w:color w:val="auto"/>
                <w:sz w:val="21"/>
                <w:szCs w:val="21"/>
                <w:highlight w:val="none"/>
              </w:rPr>
            </w:pPr>
            <w:r>
              <w:rPr>
                <w:rFonts w:hint="eastAsia" w:ascii="宋体" w:hAnsi="宋体" w:eastAsia="宋体" w:cs="宋体"/>
                <w:strike w:val="0"/>
                <w:dstrike w:val="0"/>
                <w:color w:val="auto"/>
                <w:sz w:val="21"/>
                <w:szCs w:val="21"/>
                <w:highlight w:val="none"/>
              </w:rPr>
              <w:t>裁量因素</w:t>
            </w:r>
          </w:p>
        </w:tc>
        <w:tc>
          <w:tcPr>
            <w:tcW w:w="5635" w:type="dxa"/>
            <w:noWrap w:val="0"/>
            <w:vAlign w:val="top"/>
          </w:tcPr>
          <w:p w14:paraId="388CCC9B">
            <w:pPr>
              <w:jc w:val="center"/>
              <w:rPr>
                <w:rFonts w:hint="eastAsia" w:ascii="宋体" w:hAnsi="宋体" w:eastAsia="宋体" w:cs="宋体"/>
                <w:strike w:val="0"/>
                <w:dstrike w:val="0"/>
                <w:color w:val="auto"/>
                <w:sz w:val="21"/>
                <w:szCs w:val="21"/>
                <w:highlight w:val="none"/>
              </w:rPr>
            </w:pPr>
            <w:r>
              <w:rPr>
                <w:rFonts w:hint="eastAsia" w:ascii="宋体" w:hAnsi="宋体" w:eastAsia="宋体" w:cs="宋体"/>
                <w:strike w:val="0"/>
                <w:dstrike w:val="0"/>
                <w:color w:val="auto"/>
                <w:sz w:val="21"/>
                <w:szCs w:val="21"/>
                <w:highlight w:val="none"/>
              </w:rPr>
              <w:t>裁量因子</w:t>
            </w:r>
          </w:p>
        </w:tc>
        <w:tc>
          <w:tcPr>
            <w:tcW w:w="1288" w:type="dxa"/>
            <w:noWrap w:val="0"/>
            <w:vAlign w:val="top"/>
          </w:tcPr>
          <w:p w14:paraId="46D6A884">
            <w:pPr>
              <w:jc w:val="center"/>
              <w:rPr>
                <w:rFonts w:hint="eastAsia" w:ascii="宋体" w:hAnsi="宋体" w:eastAsia="宋体" w:cs="宋体"/>
                <w:strike w:val="0"/>
                <w:dstrike w:val="0"/>
                <w:color w:val="auto"/>
                <w:sz w:val="21"/>
                <w:szCs w:val="21"/>
                <w:highlight w:val="none"/>
              </w:rPr>
            </w:pPr>
            <w:r>
              <w:rPr>
                <w:rFonts w:hint="eastAsia" w:ascii="宋体" w:hAnsi="宋体" w:eastAsia="宋体" w:cs="宋体"/>
                <w:strike w:val="0"/>
                <w:dstrike w:val="0"/>
                <w:color w:val="auto"/>
                <w:sz w:val="21"/>
                <w:szCs w:val="21"/>
                <w:highlight w:val="none"/>
              </w:rPr>
              <w:t>裁量等级</w:t>
            </w:r>
          </w:p>
        </w:tc>
      </w:tr>
      <w:tr w14:paraId="0F9D2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atLeast"/>
          <w:jc w:val="center"/>
        </w:trPr>
        <w:tc>
          <w:tcPr>
            <w:tcW w:w="1734" w:type="dxa"/>
            <w:vMerge w:val="restart"/>
            <w:noWrap w:val="0"/>
            <w:vAlign w:val="center"/>
          </w:tcPr>
          <w:p w14:paraId="0431F9FE">
            <w:pPr>
              <w:jc w:val="center"/>
              <w:rPr>
                <w:rFonts w:hint="eastAsia" w:ascii="宋体" w:hAnsi="宋体" w:eastAsia="宋体" w:cs="宋体"/>
                <w:strike w:val="0"/>
                <w:dstrike w:val="0"/>
                <w:color w:val="auto"/>
                <w:sz w:val="21"/>
                <w:szCs w:val="21"/>
                <w:highlight w:val="none"/>
              </w:rPr>
            </w:pPr>
            <w:r>
              <w:rPr>
                <w:rFonts w:hint="eastAsia" w:ascii="宋体" w:hAnsi="宋体" w:eastAsia="宋体" w:cs="宋体"/>
                <w:strike w:val="0"/>
                <w:dstrike w:val="0"/>
                <w:color w:val="auto"/>
                <w:sz w:val="21"/>
                <w:szCs w:val="21"/>
                <w:highlight w:val="none"/>
              </w:rPr>
              <w:t>养殖规模</w:t>
            </w:r>
          </w:p>
        </w:tc>
        <w:tc>
          <w:tcPr>
            <w:tcW w:w="5635" w:type="dxa"/>
            <w:noWrap w:val="0"/>
            <w:vAlign w:val="center"/>
          </w:tcPr>
          <w:p w14:paraId="34C70E9B">
            <w:pPr>
              <w:adjustRightInd w:val="0"/>
              <w:ind w:firstLine="420" w:firstLineChars="200"/>
              <w:jc w:val="both"/>
              <w:rPr>
                <w:rFonts w:hint="eastAsia" w:ascii="宋体" w:hAnsi="宋体" w:eastAsia="宋体" w:cs="宋体"/>
                <w:strike w:val="0"/>
                <w:dstrike w:val="0"/>
                <w:color w:val="auto"/>
                <w:sz w:val="21"/>
                <w:szCs w:val="21"/>
                <w:highlight w:val="none"/>
              </w:rPr>
            </w:pPr>
            <w:r>
              <w:rPr>
                <w:rFonts w:hint="eastAsia" w:ascii="宋体" w:hAnsi="宋体" w:eastAsia="宋体" w:cs="宋体"/>
                <w:strike w:val="0"/>
                <w:dstrike w:val="0"/>
                <w:color w:val="auto"/>
                <w:sz w:val="21"/>
                <w:szCs w:val="21"/>
                <w:highlight w:val="none"/>
              </w:rPr>
              <w:t>年出栏生猪不足1000头（其他畜禽种类折合生猪的养殖规模）</w:t>
            </w:r>
          </w:p>
        </w:tc>
        <w:tc>
          <w:tcPr>
            <w:tcW w:w="1288" w:type="dxa"/>
            <w:noWrap w:val="0"/>
            <w:vAlign w:val="center"/>
          </w:tcPr>
          <w:p w14:paraId="11D1E77C">
            <w:pPr>
              <w:jc w:val="center"/>
              <w:rPr>
                <w:rFonts w:hint="eastAsia" w:ascii="宋体" w:hAnsi="宋体" w:eastAsia="宋体" w:cs="宋体"/>
                <w:strike w:val="0"/>
                <w:dstrike w:val="0"/>
                <w:color w:val="auto"/>
                <w:sz w:val="21"/>
                <w:szCs w:val="21"/>
                <w:highlight w:val="none"/>
              </w:rPr>
            </w:pPr>
            <w:r>
              <w:rPr>
                <w:rFonts w:hint="eastAsia" w:ascii="宋体" w:hAnsi="宋体" w:eastAsia="宋体" w:cs="宋体"/>
                <w:strike w:val="0"/>
                <w:dstrike w:val="0"/>
                <w:color w:val="auto"/>
                <w:sz w:val="21"/>
                <w:szCs w:val="21"/>
                <w:highlight w:val="none"/>
              </w:rPr>
              <w:t>1</w:t>
            </w:r>
          </w:p>
        </w:tc>
      </w:tr>
      <w:tr w14:paraId="29FB7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atLeast"/>
          <w:jc w:val="center"/>
        </w:trPr>
        <w:tc>
          <w:tcPr>
            <w:tcW w:w="1734" w:type="dxa"/>
            <w:vMerge w:val="continue"/>
            <w:noWrap w:val="0"/>
            <w:vAlign w:val="center"/>
          </w:tcPr>
          <w:p w14:paraId="140F1CA9">
            <w:pPr>
              <w:jc w:val="center"/>
              <w:rPr>
                <w:rFonts w:hint="eastAsia" w:ascii="宋体" w:hAnsi="宋体" w:eastAsia="宋体" w:cs="宋体"/>
                <w:strike w:val="0"/>
                <w:dstrike w:val="0"/>
                <w:color w:val="auto"/>
                <w:sz w:val="21"/>
                <w:szCs w:val="21"/>
                <w:highlight w:val="none"/>
              </w:rPr>
            </w:pPr>
          </w:p>
        </w:tc>
        <w:tc>
          <w:tcPr>
            <w:tcW w:w="5635" w:type="dxa"/>
            <w:noWrap w:val="0"/>
            <w:vAlign w:val="center"/>
          </w:tcPr>
          <w:p w14:paraId="777E9688">
            <w:pPr>
              <w:adjustRightInd w:val="0"/>
              <w:ind w:firstLine="420" w:firstLineChars="200"/>
              <w:jc w:val="both"/>
              <w:rPr>
                <w:rFonts w:hint="eastAsia" w:ascii="宋体" w:hAnsi="宋体" w:eastAsia="宋体" w:cs="宋体"/>
                <w:strike w:val="0"/>
                <w:dstrike w:val="0"/>
                <w:color w:val="auto"/>
                <w:sz w:val="21"/>
                <w:szCs w:val="21"/>
                <w:highlight w:val="none"/>
              </w:rPr>
            </w:pPr>
            <w:r>
              <w:rPr>
                <w:rFonts w:hint="eastAsia" w:ascii="宋体" w:hAnsi="宋体" w:eastAsia="宋体" w:cs="宋体"/>
                <w:strike w:val="0"/>
                <w:dstrike w:val="0"/>
                <w:color w:val="auto"/>
                <w:sz w:val="21"/>
                <w:szCs w:val="21"/>
                <w:highlight w:val="none"/>
              </w:rPr>
              <w:t>年出栏生猪1000-2000头（其他畜禽种类折合生猪的养殖规模）</w:t>
            </w:r>
          </w:p>
        </w:tc>
        <w:tc>
          <w:tcPr>
            <w:tcW w:w="1288" w:type="dxa"/>
            <w:noWrap w:val="0"/>
            <w:vAlign w:val="center"/>
          </w:tcPr>
          <w:p w14:paraId="5009F4C5">
            <w:pPr>
              <w:jc w:val="center"/>
              <w:rPr>
                <w:rFonts w:hint="eastAsia" w:ascii="宋体" w:hAnsi="宋体" w:eastAsia="宋体" w:cs="宋体"/>
                <w:strike w:val="0"/>
                <w:dstrike w:val="0"/>
                <w:color w:val="auto"/>
                <w:sz w:val="21"/>
                <w:szCs w:val="21"/>
                <w:highlight w:val="none"/>
              </w:rPr>
            </w:pPr>
            <w:r>
              <w:rPr>
                <w:rFonts w:hint="eastAsia" w:ascii="宋体" w:hAnsi="宋体" w:eastAsia="宋体" w:cs="宋体"/>
                <w:strike w:val="0"/>
                <w:dstrike w:val="0"/>
                <w:color w:val="auto"/>
                <w:sz w:val="21"/>
                <w:szCs w:val="21"/>
                <w:highlight w:val="none"/>
              </w:rPr>
              <w:t>3</w:t>
            </w:r>
          </w:p>
        </w:tc>
      </w:tr>
      <w:tr w14:paraId="3FFC6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atLeast"/>
          <w:jc w:val="center"/>
        </w:trPr>
        <w:tc>
          <w:tcPr>
            <w:tcW w:w="1734" w:type="dxa"/>
            <w:vMerge w:val="continue"/>
            <w:noWrap w:val="0"/>
            <w:vAlign w:val="center"/>
          </w:tcPr>
          <w:p w14:paraId="349B9F71">
            <w:pPr>
              <w:jc w:val="center"/>
              <w:rPr>
                <w:rFonts w:hint="eastAsia" w:ascii="宋体" w:hAnsi="宋体" w:eastAsia="宋体" w:cs="宋体"/>
                <w:strike w:val="0"/>
                <w:dstrike w:val="0"/>
                <w:color w:val="auto"/>
                <w:sz w:val="21"/>
                <w:szCs w:val="21"/>
                <w:highlight w:val="none"/>
              </w:rPr>
            </w:pPr>
          </w:p>
        </w:tc>
        <w:tc>
          <w:tcPr>
            <w:tcW w:w="5635" w:type="dxa"/>
            <w:noWrap w:val="0"/>
            <w:vAlign w:val="center"/>
          </w:tcPr>
          <w:p w14:paraId="4825D0F2">
            <w:pPr>
              <w:adjustRightInd w:val="0"/>
              <w:ind w:firstLine="420" w:firstLineChars="200"/>
              <w:jc w:val="both"/>
              <w:rPr>
                <w:rFonts w:hint="eastAsia" w:ascii="宋体" w:hAnsi="宋体" w:eastAsia="宋体" w:cs="宋体"/>
                <w:strike w:val="0"/>
                <w:dstrike w:val="0"/>
                <w:color w:val="auto"/>
                <w:sz w:val="21"/>
                <w:szCs w:val="21"/>
                <w:highlight w:val="none"/>
              </w:rPr>
            </w:pPr>
            <w:r>
              <w:rPr>
                <w:rFonts w:hint="eastAsia" w:ascii="宋体" w:hAnsi="宋体" w:eastAsia="宋体" w:cs="宋体"/>
                <w:strike w:val="0"/>
                <w:dstrike w:val="0"/>
                <w:color w:val="auto"/>
                <w:sz w:val="21"/>
                <w:szCs w:val="21"/>
                <w:highlight w:val="none"/>
              </w:rPr>
              <w:t>年出栏生猪2000头以上（其他畜禽种类折合生猪的养殖规模）</w:t>
            </w:r>
          </w:p>
        </w:tc>
        <w:tc>
          <w:tcPr>
            <w:tcW w:w="1288" w:type="dxa"/>
            <w:noWrap w:val="0"/>
            <w:vAlign w:val="center"/>
          </w:tcPr>
          <w:p w14:paraId="5FFBB09E">
            <w:pPr>
              <w:jc w:val="center"/>
              <w:rPr>
                <w:rFonts w:hint="eastAsia" w:ascii="宋体" w:hAnsi="宋体" w:eastAsia="宋体" w:cs="宋体"/>
                <w:strike w:val="0"/>
                <w:dstrike w:val="0"/>
                <w:color w:val="auto"/>
                <w:sz w:val="21"/>
                <w:szCs w:val="21"/>
                <w:highlight w:val="none"/>
              </w:rPr>
            </w:pPr>
            <w:r>
              <w:rPr>
                <w:rFonts w:hint="eastAsia" w:ascii="宋体" w:hAnsi="宋体" w:eastAsia="宋体" w:cs="宋体"/>
                <w:strike w:val="0"/>
                <w:dstrike w:val="0"/>
                <w:color w:val="auto"/>
                <w:sz w:val="21"/>
                <w:szCs w:val="21"/>
                <w:highlight w:val="none"/>
              </w:rPr>
              <w:t>5</w:t>
            </w:r>
          </w:p>
        </w:tc>
      </w:tr>
    </w:tbl>
    <w:p w14:paraId="1C3A969E">
      <w:pPr>
        <w:rPr>
          <w:rFonts w:hint="eastAsia" w:ascii="宋体" w:hAnsi="宋体" w:eastAsia="宋体" w:cs="宋体"/>
          <w:sz w:val="21"/>
          <w:szCs w:val="21"/>
          <w:highlight w:val="none"/>
        </w:rPr>
      </w:pPr>
    </w:p>
    <w:p w14:paraId="57033E5C">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507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21"/>
        <w:gridCol w:w="5916"/>
        <w:gridCol w:w="1352"/>
      </w:tblGrid>
      <w:tr w14:paraId="1EF29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8657" w:type="dxa"/>
            <w:gridSpan w:val="3"/>
            <w:noWrap w:val="0"/>
            <w:vAlign w:val="top"/>
          </w:tcPr>
          <w:p w14:paraId="4D69C150">
            <w:pPr>
              <w:jc w:val="center"/>
              <w:rPr>
                <w:rFonts w:hint="eastAsia" w:ascii="宋体" w:hAnsi="宋体" w:eastAsia="宋体" w:cs="宋体"/>
                <w:color w:val="auto"/>
                <w:sz w:val="21"/>
                <w:szCs w:val="21"/>
                <w:highlight w:val="none"/>
                <w:lang w:eastAsia="zh-CN"/>
              </w:rPr>
            </w:pPr>
            <w:r>
              <w:rPr>
                <w:rFonts w:hint="eastAsia" w:ascii="宋体" w:hAnsi="宋体" w:eastAsia="宋体" w:cs="宋体"/>
                <w:bCs/>
                <w:color w:val="auto"/>
                <w:sz w:val="21"/>
                <w:szCs w:val="21"/>
                <w:highlight w:val="none"/>
                <w:lang w:eastAsia="zh-CN"/>
              </w:rPr>
              <w:t>（十三）其他类</w:t>
            </w:r>
          </w:p>
        </w:tc>
      </w:tr>
      <w:tr w14:paraId="26F06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734" w:type="dxa"/>
            <w:noWrap w:val="0"/>
            <w:vAlign w:val="center"/>
          </w:tcPr>
          <w:p w14:paraId="6DFB5C6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923" w:type="dxa"/>
            <w:gridSpan w:val="2"/>
            <w:noWrap w:val="0"/>
            <w:vAlign w:val="top"/>
          </w:tcPr>
          <w:p w14:paraId="6919020D">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r>
      <w:tr w14:paraId="298D9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atLeast"/>
          <w:jc w:val="center"/>
        </w:trPr>
        <w:tc>
          <w:tcPr>
            <w:tcW w:w="1734" w:type="dxa"/>
            <w:noWrap w:val="0"/>
            <w:vAlign w:val="center"/>
          </w:tcPr>
          <w:p w14:paraId="6375C76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6923" w:type="dxa"/>
            <w:gridSpan w:val="2"/>
            <w:noWrap w:val="0"/>
            <w:vAlign w:val="center"/>
          </w:tcPr>
          <w:p w14:paraId="73DC1760">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向农田灌溉渠道排放未综合利用的畜禽养殖粪污，致使其下游最近的灌溉取水点的水质不符合农田灌溉用水水质标准的</w:t>
            </w:r>
          </w:p>
        </w:tc>
      </w:tr>
      <w:tr w14:paraId="5F125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2" w:hRule="atLeast"/>
          <w:jc w:val="center"/>
        </w:trPr>
        <w:tc>
          <w:tcPr>
            <w:tcW w:w="1734" w:type="dxa"/>
            <w:noWrap w:val="0"/>
            <w:vAlign w:val="center"/>
          </w:tcPr>
          <w:p w14:paraId="3332ECE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6923" w:type="dxa"/>
            <w:gridSpan w:val="2"/>
            <w:noWrap w:val="0"/>
            <w:vAlign w:val="center"/>
          </w:tcPr>
          <w:p w14:paraId="532F0DEA">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《中华人民共和国生态环境法典》第三百一十一条第二款 禁止向农田灌溉渠道排放工业废水或者医疗污水。向农田灌溉渠道排放城镇污水以及未综合利用的畜禽养殖粪污、水产养殖尾水、农产品加工废水的，应当保证其下游最近的灌溉取水点的水质符合农田灌溉用水水质标准。</w:t>
            </w:r>
          </w:p>
        </w:tc>
      </w:tr>
      <w:tr w14:paraId="7BFCF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0" w:hRule="atLeast"/>
          <w:jc w:val="center"/>
        </w:trPr>
        <w:tc>
          <w:tcPr>
            <w:tcW w:w="1734" w:type="dxa"/>
            <w:noWrap w:val="0"/>
            <w:vAlign w:val="center"/>
          </w:tcPr>
          <w:p w14:paraId="73E4538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6923" w:type="dxa"/>
            <w:gridSpan w:val="2"/>
            <w:noWrap w:val="0"/>
            <w:vAlign w:val="center"/>
          </w:tcPr>
          <w:p w14:paraId="5E125362">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《中华人民共和国生态环境法典》第一千二百三十一条第一款第三项 违反本法规定，有下列情形之一的，由生态环境主管部门、环境卫生主管部门按照职责分工责令改正，可以处十万元以下的罚款</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w:t>
            </w:r>
          </w:p>
          <w:p w14:paraId="3B874F4F">
            <w:pPr>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（三）向农田灌溉渠道排放未综合利用的畜禽养殖粪污，致使其下游最近的灌溉取水点的水质不符合农田灌溉用水水质标准。</w:t>
            </w:r>
          </w:p>
        </w:tc>
      </w:tr>
      <w:tr w14:paraId="08621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734" w:type="dxa"/>
            <w:noWrap w:val="0"/>
            <w:vAlign w:val="center"/>
          </w:tcPr>
          <w:p w14:paraId="022A9A9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635" w:type="dxa"/>
            <w:noWrap w:val="0"/>
            <w:vAlign w:val="top"/>
          </w:tcPr>
          <w:p w14:paraId="791E91C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288" w:type="dxa"/>
            <w:noWrap w:val="0"/>
            <w:vAlign w:val="top"/>
          </w:tcPr>
          <w:p w14:paraId="36A4743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30812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734" w:type="dxa"/>
            <w:vMerge w:val="restart"/>
            <w:noWrap w:val="0"/>
            <w:vAlign w:val="center"/>
          </w:tcPr>
          <w:p w14:paraId="41ED495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养殖规模</w:t>
            </w:r>
          </w:p>
        </w:tc>
        <w:tc>
          <w:tcPr>
            <w:tcW w:w="5635" w:type="dxa"/>
            <w:noWrap w:val="0"/>
            <w:vAlign w:val="center"/>
          </w:tcPr>
          <w:p w14:paraId="3F81F150">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1项指标（不含重金属）不符合农田灌溉水质标准</w:t>
            </w:r>
          </w:p>
        </w:tc>
        <w:tc>
          <w:tcPr>
            <w:tcW w:w="1288" w:type="dxa"/>
            <w:noWrap w:val="0"/>
            <w:vAlign w:val="center"/>
          </w:tcPr>
          <w:p w14:paraId="190CC0A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64DFB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734" w:type="dxa"/>
            <w:vMerge w:val="continue"/>
            <w:noWrap w:val="0"/>
            <w:vAlign w:val="center"/>
          </w:tcPr>
          <w:p w14:paraId="33D6D64D">
            <w:pPr>
              <w:jc w:val="center"/>
              <w:rPr>
                <w:rFonts w:hint="eastAsia" w:ascii="宋体" w:hAnsi="宋体" w:eastAsia="宋体" w:cs="宋体"/>
                <w:color w:val="auto"/>
                <w:sz w:val="21"/>
                <w:szCs w:val="21"/>
                <w:highlight w:val="none"/>
              </w:rPr>
            </w:pPr>
          </w:p>
        </w:tc>
        <w:tc>
          <w:tcPr>
            <w:tcW w:w="5635" w:type="dxa"/>
            <w:noWrap w:val="0"/>
            <w:vAlign w:val="center"/>
          </w:tcPr>
          <w:p w14:paraId="18C5A7F8">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项指标（不含重金属）不符合农田灌溉水质标准</w:t>
            </w:r>
          </w:p>
        </w:tc>
        <w:tc>
          <w:tcPr>
            <w:tcW w:w="1288" w:type="dxa"/>
            <w:noWrap w:val="0"/>
            <w:vAlign w:val="center"/>
          </w:tcPr>
          <w:p w14:paraId="4483ED7F">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w:t>
            </w:r>
          </w:p>
        </w:tc>
      </w:tr>
      <w:tr w14:paraId="1D77A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734" w:type="dxa"/>
            <w:vMerge w:val="continue"/>
            <w:noWrap w:val="0"/>
            <w:vAlign w:val="center"/>
          </w:tcPr>
          <w:p w14:paraId="002501F7">
            <w:pPr>
              <w:jc w:val="center"/>
              <w:rPr>
                <w:rFonts w:hint="eastAsia" w:ascii="宋体" w:hAnsi="宋体" w:eastAsia="宋体" w:cs="宋体"/>
                <w:color w:val="auto"/>
                <w:sz w:val="21"/>
                <w:szCs w:val="21"/>
                <w:highlight w:val="none"/>
              </w:rPr>
            </w:pPr>
          </w:p>
        </w:tc>
        <w:tc>
          <w:tcPr>
            <w:tcW w:w="5635" w:type="dxa"/>
            <w:noWrap w:val="0"/>
            <w:vAlign w:val="center"/>
          </w:tcPr>
          <w:p w14:paraId="6B83E024">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项指标（不含重金属）不符合农田灌溉水质标准</w:t>
            </w:r>
          </w:p>
        </w:tc>
        <w:tc>
          <w:tcPr>
            <w:tcW w:w="1288" w:type="dxa"/>
            <w:noWrap w:val="0"/>
            <w:vAlign w:val="center"/>
          </w:tcPr>
          <w:p w14:paraId="2C9C45E0">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3</w:t>
            </w:r>
          </w:p>
        </w:tc>
      </w:tr>
      <w:tr w14:paraId="561E0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734" w:type="dxa"/>
            <w:vMerge w:val="continue"/>
            <w:noWrap w:val="0"/>
            <w:vAlign w:val="center"/>
          </w:tcPr>
          <w:p w14:paraId="48ACF8D6">
            <w:pPr>
              <w:jc w:val="center"/>
              <w:rPr>
                <w:rFonts w:hint="eastAsia" w:ascii="宋体" w:hAnsi="宋体" w:eastAsia="宋体" w:cs="宋体"/>
                <w:color w:val="auto"/>
                <w:sz w:val="21"/>
                <w:szCs w:val="21"/>
                <w:highlight w:val="none"/>
              </w:rPr>
            </w:pPr>
          </w:p>
        </w:tc>
        <w:tc>
          <w:tcPr>
            <w:tcW w:w="5635" w:type="dxa"/>
            <w:noWrap w:val="0"/>
            <w:vAlign w:val="center"/>
          </w:tcPr>
          <w:p w14:paraId="4B632938">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项指标（不含重金属）不符合农田灌溉水质标准</w:t>
            </w:r>
          </w:p>
        </w:tc>
        <w:tc>
          <w:tcPr>
            <w:tcW w:w="1288" w:type="dxa"/>
            <w:noWrap w:val="0"/>
            <w:vAlign w:val="center"/>
          </w:tcPr>
          <w:p w14:paraId="5E7FD3EF">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r>
      <w:tr w14:paraId="782FD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atLeast"/>
          <w:jc w:val="center"/>
        </w:trPr>
        <w:tc>
          <w:tcPr>
            <w:tcW w:w="1734" w:type="dxa"/>
            <w:vMerge w:val="continue"/>
            <w:noWrap w:val="0"/>
            <w:vAlign w:val="center"/>
          </w:tcPr>
          <w:p w14:paraId="3426B0A5">
            <w:pPr>
              <w:jc w:val="center"/>
              <w:rPr>
                <w:rFonts w:hint="eastAsia" w:ascii="宋体" w:hAnsi="宋体" w:eastAsia="宋体" w:cs="宋体"/>
                <w:color w:val="auto"/>
                <w:sz w:val="21"/>
                <w:szCs w:val="21"/>
                <w:highlight w:val="none"/>
              </w:rPr>
            </w:pPr>
          </w:p>
        </w:tc>
        <w:tc>
          <w:tcPr>
            <w:tcW w:w="5635" w:type="dxa"/>
            <w:noWrap w:val="0"/>
            <w:vAlign w:val="center"/>
          </w:tcPr>
          <w:p w14:paraId="13430E8D">
            <w:pPr>
              <w:adjustRightInd w:val="0"/>
              <w:ind w:firstLine="420" w:firstLineChars="200"/>
              <w:jc w:val="both"/>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lang w:val="en-US" w:eastAsia="zh-CN"/>
              </w:rPr>
              <w:t>5项及以上指标或1项以上重金属不符合农田灌溉水质标准</w:t>
            </w:r>
          </w:p>
        </w:tc>
        <w:tc>
          <w:tcPr>
            <w:tcW w:w="1288" w:type="dxa"/>
            <w:noWrap w:val="0"/>
            <w:vAlign w:val="center"/>
          </w:tcPr>
          <w:p w14:paraId="254BE74D">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r>
      <w:tr w14:paraId="226FE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734" w:type="dxa"/>
            <w:vMerge w:val="restart"/>
            <w:noWrap w:val="0"/>
            <w:vAlign w:val="center"/>
          </w:tcPr>
          <w:p w14:paraId="577A916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超标状况</w:t>
            </w:r>
          </w:p>
        </w:tc>
        <w:tc>
          <w:tcPr>
            <w:tcW w:w="5635" w:type="dxa"/>
            <w:noWrap w:val="0"/>
            <w:vAlign w:val="center"/>
          </w:tcPr>
          <w:p w14:paraId="2DBF395B">
            <w:pPr>
              <w:keepNext w:val="0"/>
              <w:keepLines w:val="0"/>
              <w:pageBreakBefore w:val="0"/>
              <w:widowControl w:val="0"/>
              <w:kinsoku/>
              <w:wordWrap/>
              <w:overflowPunct/>
              <w:topLinePunct w:val="0"/>
              <w:autoSpaceDE/>
              <w:autoSpaceDN/>
              <w:bidi w:val="0"/>
              <w:adjustRightInd w:val="0"/>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超标不足 1 倍/8.5&lt;pH 值≤9.5 或 4.5≤pH 值&lt;5.5</w:t>
            </w:r>
          </w:p>
        </w:tc>
        <w:tc>
          <w:tcPr>
            <w:tcW w:w="1288" w:type="dxa"/>
            <w:noWrap w:val="0"/>
            <w:vAlign w:val="center"/>
          </w:tcPr>
          <w:p w14:paraId="444418D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1BB54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atLeast"/>
          <w:jc w:val="center"/>
        </w:trPr>
        <w:tc>
          <w:tcPr>
            <w:tcW w:w="1734" w:type="dxa"/>
            <w:vMerge w:val="continue"/>
            <w:noWrap w:val="0"/>
            <w:vAlign w:val="top"/>
          </w:tcPr>
          <w:p w14:paraId="589B763E">
            <w:pPr>
              <w:rPr>
                <w:rFonts w:hint="eastAsia" w:ascii="宋体" w:hAnsi="宋体" w:eastAsia="宋体" w:cs="宋体"/>
                <w:color w:val="auto"/>
                <w:sz w:val="21"/>
                <w:szCs w:val="21"/>
                <w:highlight w:val="none"/>
              </w:rPr>
            </w:pPr>
          </w:p>
        </w:tc>
        <w:tc>
          <w:tcPr>
            <w:tcW w:w="5635" w:type="dxa"/>
            <w:noWrap w:val="0"/>
            <w:vAlign w:val="center"/>
          </w:tcPr>
          <w:p w14:paraId="5C7187AF">
            <w:pPr>
              <w:keepNext w:val="0"/>
              <w:keepLines w:val="0"/>
              <w:pageBreakBefore w:val="0"/>
              <w:widowControl w:val="0"/>
              <w:kinsoku/>
              <w:wordWrap/>
              <w:overflowPunct/>
              <w:topLinePunct w:val="0"/>
              <w:autoSpaceDE/>
              <w:autoSpaceDN/>
              <w:bidi w:val="0"/>
              <w:adjustRightInd w:val="0"/>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超标 1 倍以上不足 3 倍/9.5&lt;pH 值≤10.5 或 3.5≤pH 值&lt;4.5</w:t>
            </w:r>
          </w:p>
        </w:tc>
        <w:tc>
          <w:tcPr>
            <w:tcW w:w="1288" w:type="dxa"/>
            <w:noWrap w:val="0"/>
            <w:vAlign w:val="center"/>
          </w:tcPr>
          <w:p w14:paraId="1F654E3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7A5B6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734" w:type="dxa"/>
            <w:vMerge w:val="continue"/>
            <w:noWrap w:val="0"/>
            <w:vAlign w:val="top"/>
          </w:tcPr>
          <w:p w14:paraId="3789E168">
            <w:pPr>
              <w:rPr>
                <w:rFonts w:hint="eastAsia" w:ascii="宋体" w:hAnsi="宋体" w:eastAsia="宋体" w:cs="宋体"/>
                <w:color w:val="auto"/>
                <w:sz w:val="21"/>
                <w:szCs w:val="21"/>
                <w:highlight w:val="none"/>
              </w:rPr>
            </w:pPr>
          </w:p>
        </w:tc>
        <w:tc>
          <w:tcPr>
            <w:tcW w:w="5635" w:type="dxa"/>
            <w:noWrap w:val="0"/>
            <w:vAlign w:val="top"/>
          </w:tcPr>
          <w:p w14:paraId="7693A2F5">
            <w:pPr>
              <w:keepNext w:val="0"/>
              <w:keepLines w:val="0"/>
              <w:pageBreakBefore w:val="0"/>
              <w:widowControl w:val="0"/>
              <w:kinsoku/>
              <w:wordWrap/>
              <w:overflowPunct/>
              <w:topLinePunct w:val="0"/>
              <w:autoSpaceDE/>
              <w:autoSpaceDN/>
              <w:bidi w:val="0"/>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超标 3 倍以上/pH 值＞10.5 或 pH 值&lt;3.5</w:t>
            </w:r>
          </w:p>
        </w:tc>
        <w:tc>
          <w:tcPr>
            <w:tcW w:w="1288" w:type="dxa"/>
            <w:noWrap w:val="0"/>
            <w:vAlign w:val="center"/>
          </w:tcPr>
          <w:p w14:paraId="07853AF0">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r>
      <w:tr w14:paraId="07608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1734" w:type="dxa"/>
            <w:noWrap w:val="0"/>
            <w:vAlign w:val="top"/>
          </w:tcPr>
          <w:p w14:paraId="49C7581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备注</w:t>
            </w:r>
          </w:p>
        </w:tc>
        <w:tc>
          <w:tcPr>
            <w:tcW w:w="6923" w:type="dxa"/>
            <w:gridSpan w:val="2"/>
            <w:noWrap w:val="0"/>
            <w:vAlign w:val="top"/>
          </w:tcPr>
          <w:p w14:paraId="30F04EE7">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本表因素选取以下游最近灌溉取水点水质监测情况为准</w:t>
            </w:r>
          </w:p>
        </w:tc>
      </w:tr>
    </w:tbl>
    <w:p w14:paraId="1A04543B">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507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28"/>
        <w:gridCol w:w="5896"/>
        <w:gridCol w:w="1364"/>
      </w:tblGrid>
      <w:tr w14:paraId="0AADA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8655" w:type="dxa"/>
            <w:gridSpan w:val="3"/>
            <w:noWrap w:val="0"/>
            <w:vAlign w:val="top"/>
          </w:tcPr>
          <w:p w14:paraId="231CA362">
            <w:pPr>
              <w:jc w:val="center"/>
              <w:rPr>
                <w:rFonts w:hint="eastAsia" w:ascii="宋体" w:hAnsi="宋体" w:eastAsia="宋体" w:cs="宋体"/>
                <w:color w:val="auto"/>
                <w:sz w:val="21"/>
                <w:szCs w:val="21"/>
                <w:highlight w:val="none"/>
                <w:lang w:eastAsia="zh-CN"/>
              </w:rPr>
            </w:pPr>
            <w:r>
              <w:rPr>
                <w:rFonts w:hint="eastAsia" w:ascii="宋体" w:hAnsi="宋体" w:eastAsia="宋体" w:cs="宋体"/>
                <w:bCs/>
                <w:color w:val="auto"/>
                <w:sz w:val="21"/>
                <w:szCs w:val="21"/>
                <w:highlight w:val="none"/>
                <w:lang w:eastAsia="zh-CN"/>
              </w:rPr>
              <w:t>（十三）其他类</w:t>
            </w:r>
          </w:p>
        </w:tc>
      </w:tr>
      <w:tr w14:paraId="44AF6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741" w:type="dxa"/>
            <w:noWrap w:val="0"/>
            <w:vAlign w:val="center"/>
          </w:tcPr>
          <w:p w14:paraId="10D77AD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914" w:type="dxa"/>
            <w:gridSpan w:val="2"/>
            <w:noWrap w:val="0"/>
            <w:vAlign w:val="top"/>
          </w:tcPr>
          <w:p w14:paraId="5EBDC8DC">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r>
      <w:tr w14:paraId="18E21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atLeast"/>
          <w:jc w:val="center"/>
        </w:trPr>
        <w:tc>
          <w:tcPr>
            <w:tcW w:w="1741" w:type="dxa"/>
            <w:noWrap w:val="0"/>
            <w:vAlign w:val="center"/>
          </w:tcPr>
          <w:p w14:paraId="0FD0780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6914" w:type="dxa"/>
            <w:gridSpan w:val="2"/>
            <w:noWrap w:val="0"/>
            <w:vAlign w:val="center"/>
          </w:tcPr>
          <w:p w14:paraId="70A6E2D3">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排放污染物的企业事业单位未建立污染防治责任制度，拒不改正的</w:t>
            </w:r>
          </w:p>
        </w:tc>
      </w:tr>
      <w:tr w14:paraId="3C21C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2" w:hRule="atLeast"/>
          <w:jc w:val="center"/>
        </w:trPr>
        <w:tc>
          <w:tcPr>
            <w:tcW w:w="1741" w:type="dxa"/>
            <w:noWrap w:val="0"/>
            <w:vAlign w:val="center"/>
          </w:tcPr>
          <w:p w14:paraId="510167B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6914" w:type="dxa"/>
            <w:gridSpan w:val="2"/>
            <w:noWrap w:val="0"/>
            <w:vAlign w:val="center"/>
          </w:tcPr>
          <w:p w14:paraId="6F42E7B1">
            <w:pPr>
              <w:ind w:firstLine="420" w:firstLineChars="200"/>
              <w:jc w:val="both"/>
              <w:rPr>
                <w:rFonts w:hint="eastAsia" w:ascii="宋体" w:hAnsi="宋体" w:eastAsia="宋体" w:cs="宋体"/>
                <w:strike w:val="0"/>
                <w:color w:val="auto"/>
                <w:sz w:val="21"/>
                <w:szCs w:val="21"/>
                <w:highlight w:val="none"/>
              </w:rPr>
            </w:pPr>
            <w:r>
              <w:rPr>
                <w:rFonts w:hint="eastAsia" w:ascii="宋体" w:hAnsi="宋体" w:eastAsia="宋体" w:cs="宋体"/>
                <w:strike w:val="0"/>
                <w:dstrike w:val="0"/>
                <w:color w:val="auto"/>
                <w:sz w:val="21"/>
                <w:szCs w:val="21"/>
                <w:highlight w:val="none"/>
              </w:rPr>
              <w:t>《中华人民共和国生态环境法典》第一百五十二条　排放污染物的企业事业单位，应当建立污染防治责任制度，明确单位负责人和相关人员的责任。</w:t>
            </w:r>
          </w:p>
        </w:tc>
      </w:tr>
      <w:tr w14:paraId="1B34F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jc w:val="center"/>
        </w:trPr>
        <w:tc>
          <w:tcPr>
            <w:tcW w:w="1741" w:type="dxa"/>
            <w:noWrap w:val="0"/>
            <w:vAlign w:val="center"/>
          </w:tcPr>
          <w:p w14:paraId="33AFD4C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6914" w:type="dxa"/>
            <w:gridSpan w:val="2"/>
            <w:noWrap w:val="0"/>
            <w:vAlign w:val="center"/>
          </w:tcPr>
          <w:p w14:paraId="3692142D">
            <w:pPr>
              <w:ind w:firstLine="420" w:firstLineChars="200"/>
              <w:jc w:val="both"/>
              <w:rPr>
                <w:rFonts w:hint="eastAsia" w:ascii="宋体" w:hAnsi="宋体" w:eastAsia="宋体" w:cs="宋体"/>
                <w:strike w:val="0"/>
                <w:color w:val="auto"/>
                <w:sz w:val="21"/>
                <w:szCs w:val="21"/>
                <w:highlight w:val="none"/>
                <w:lang w:val="en-US" w:eastAsia="zh-CN"/>
              </w:rPr>
            </w:pPr>
            <w:r>
              <w:rPr>
                <w:rFonts w:hint="eastAsia" w:ascii="宋体" w:hAnsi="宋体" w:eastAsia="宋体" w:cs="宋体"/>
                <w:strike w:val="0"/>
                <w:dstrike w:val="0"/>
                <w:color w:val="auto"/>
                <w:sz w:val="21"/>
                <w:szCs w:val="21"/>
                <w:highlight w:val="none"/>
              </w:rPr>
              <w:t>《中华人民共和国生态环境法典》第一千二百三十三条　违反本法规定，排放污染物的企业事业单位未建立污染防治责任制度的，由负有生态环境保护监督管理职责的部门、机构按照职责分工责令改正；拒不改正的，处二万元以上二十万元以下的罚款</w:t>
            </w:r>
            <w:r>
              <w:rPr>
                <w:rFonts w:hint="eastAsia" w:ascii="宋体" w:hAnsi="宋体" w:cs="宋体"/>
                <w:color w:val="auto"/>
                <w:sz w:val="21"/>
                <w:szCs w:val="21"/>
                <w:highlight w:val="none"/>
                <w:lang w:val="en-US" w:eastAsia="zh-CN"/>
              </w:rPr>
              <w:t>；……</w:t>
            </w:r>
            <w:r>
              <w:rPr>
                <w:rFonts w:hint="eastAsia" w:ascii="宋体" w:hAnsi="宋体" w:eastAsia="宋体" w:cs="宋体"/>
                <w:strike w:val="0"/>
                <w:dstrike w:val="0"/>
                <w:color w:val="auto"/>
                <w:sz w:val="21"/>
                <w:szCs w:val="21"/>
                <w:highlight w:val="none"/>
                <w:lang w:eastAsia="zh-CN"/>
              </w:rPr>
              <w:t>。</w:t>
            </w:r>
          </w:p>
        </w:tc>
      </w:tr>
      <w:tr w14:paraId="378D7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741" w:type="dxa"/>
            <w:noWrap w:val="0"/>
            <w:vAlign w:val="center"/>
          </w:tcPr>
          <w:p w14:paraId="652E56A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615" w:type="dxa"/>
            <w:noWrap w:val="0"/>
            <w:vAlign w:val="top"/>
          </w:tcPr>
          <w:p w14:paraId="79BE7E8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299" w:type="dxa"/>
            <w:noWrap w:val="0"/>
            <w:vAlign w:val="top"/>
          </w:tcPr>
          <w:p w14:paraId="6EA9B8D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694D2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741" w:type="dxa"/>
            <w:vMerge w:val="restart"/>
            <w:noWrap w:val="0"/>
            <w:vAlign w:val="center"/>
          </w:tcPr>
          <w:p w14:paraId="2CD2452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排污许可单位</w:t>
            </w:r>
          </w:p>
          <w:p w14:paraId="6936778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管理类别</w:t>
            </w:r>
          </w:p>
        </w:tc>
        <w:tc>
          <w:tcPr>
            <w:tcW w:w="5615" w:type="dxa"/>
            <w:noWrap w:val="0"/>
            <w:vAlign w:val="center"/>
          </w:tcPr>
          <w:p w14:paraId="44D2B79B">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both"/>
              <w:textAlignment w:val="auto"/>
              <w:rPr>
                <w:rFonts w:hint="eastAsia" w:ascii="宋体" w:hAnsi="宋体" w:eastAsia="宋体" w:cs="宋体"/>
                <w:b/>
                <w:bCs/>
                <w:kern w:val="2"/>
                <w:sz w:val="21"/>
                <w:szCs w:val="21"/>
                <w:highlight w:val="none"/>
                <w:lang w:val="en-US" w:eastAsia="zh-CN" w:bidi="ar-SA"/>
              </w:rPr>
            </w:pPr>
            <w:r>
              <w:rPr>
                <w:rFonts w:hint="eastAsia" w:ascii="宋体" w:hAnsi="宋体" w:eastAsia="宋体" w:cs="宋体"/>
                <w:b w:val="0"/>
                <w:bCs w:val="0"/>
                <w:sz w:val="21"/>
                <w:szCs w:val="21"/>
                <w:highlight w:val="none"/>
                <w:lang w:val="en-US" w:eastAsia="zh-CN"/>
              </w:rPr>
              <w:t>不实行排污许可管理</w:t>
            </w:r>
          </w:p>
        </w:tc>
        <w:tc>
          <w:tcPr>
            <w:tcW w:w="1299" w:type="dxa"/>
            <w:noWrap w:val="0"/>
            <w:vAlign w:val="center"/>
          </w:tcPr>
          <w:p w14:paraId="2747A20F">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r>
      <w:tr w14:paraId="39DF3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741" w:type="dxa"/>
            <w:vMerge w:val="continue"/>
            <w:noWrap w:val="0"/>
            <w:vAlign w:val="center"/>
          </w:tcPr>
          <w:p w14:paraId="3A81D38D">
            <w:pPr>
              <w:rPr>
                <w:rFonts w:hint="eastAsia" w:ascii="宋体" w:hAnsi="宋体" w:eastAsia="宋体" w:cs="宋体"/>
                <w:color w:val="auto"/>
                <w:sz w:val="21"/>
                <w:szCs w:val="21"/>
                <w:highlight w:val="none"/>
              </w:rPr>
            </w:pPr>
          </w:p>
        </w:tc>
        <w:tc>
          <w:tcPr>
            <w:tcW w:w="5615" w:type="dxa"/>
            <w:noWrap w:val="0"/>
            <w:vAlign w:val="center"/>
          </w:tcPr>
          <w:p w14:paraId="62FDFD7A">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both"/>
              <w:textAlignment w:val="auto"/>
              <w:rPr>
                <w:rFonts w:hint="eastAsia" w:ascii="宋体" w:hAnsi="宋体" w:eastAsia="宋体" w:cs="宋体"/>
                <w:b/>
                <w:bCs/>
                <w:kern w:val="2"/>
                <w:sz w:val="21"/>
                <w:szCs w:val="21"/>
                <w:highlight w:val="none"/>
                <w:lang w:val="en-US" w:eastAsia="zh-CN" w:bidi="ar-SA"/>
              </w:rPr>
            </w:pPr>
            <w:r>
              <w:rPr>
                <w:rFonts w:hint="eastAsia" w:ascii="宋体" w:hAnsi="宋体" w:eastAsia="宋体" w:cs="宋体"/>
                <w:b w:val="0"/>
                <w:bCs w:val="0"/>
                <w:sz w:val="21"/>
                <w:szCs w:val="21"/>
                <w:highlight w:val="none"/>
                <w:lang w:val="en-US" w:eastAsia="zh-CN"/>
              </w:rPr>
              <w:t>简化管理</w:t>
            </w:r>
          </w:p>
        </w:tc>
        <w:tc>
          <w:tcPr>
            <w:tcW w:w="1299" w:type="dxa"/>
            <w:noWrap w:val="0"/>
            <w:vAlign w:val="center"/>
          </w:tcPr>
          <w:p w14:paraId="00C4C6F2">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r>
      <w:tr w14:paraId="4BB2F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741" w:type="dxa"/>
            <w:vMerge w:val="continue"/>
            <w:noWrap w:val="0"/>
            <w:vAlign w:val="center"/>
          </w:tcPr>
          <w:p w14:paraId="3381F4C5">
            <w:pPr>
              <w:rPr>
                <w:rFonts w:hint="eastAsia" w:ascii="宋体" w:hAnsi="宋体" w:eastAsia="宋体" w:cs="宋体"/>
                <w:color w:val="auto"/>
                <w:sz w:val="21"/>
                <w:szCs w:val="21"/>
                <w:highlight w:val="none"/>
              </w:rPr>
            </w:pPr>
          </w:p>
        </w:tc>
        <w:tc>
          <w:tcPr>
            <w:tcW w:w="5615" w:type="dxa"/>
            <w:noWrap w:val="0"/>
            <w:vAlign w:val="center"/>
          </w:tcPr>
          <w:p w14:paraId="06A9F727">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both"/>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重点管理</w:t>
            </w:r>
          </w:p>
        </w:tc>
        <w:tc>
          <w:tcPr>
            <w:tcW w:w="1299" w:type="dxa"/>
            <w:noWrap w:val="0"/>
            <w:vAlign w:val="center"/>
          </w:tcPr>
          <w:p w14:paraId="71328868">
            <w:pPr>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4</w:t>
            </w:r>
          </w:p>
        </w:tc>
      </w:tr>
      <w:tr w14:paraId="51533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741" w:type="dxa"/>
            <w:vMerge w:val="continue"/>
            <w:noWrap w:val="0"/>
            <w:vAlign w:val="center"/>
          </w:tcPr>
          <w:p w14:paraId="1A0A2D73">
            <w:pPr>
              <w:rPr>
                <w:rFonts w:hint="eastAsia" w:ascii="宋体" w:hAnsi="宋体" w:eastAsia="宋体" w:cs="宋体"/>
                <w:color w:val="auto"/>
                <w:sz w:val="21"/>
                <w:szCs w:val="21"/>
                <w:highlight w:val="none"/>
              </w:rPr>
            </w:pPr>
          </w:p>
        </w:tc>
        <w:tc>
          <w:tcPr>
            <w:tcW w:w="5615" w:type="dxa"/>
            <w:noWrap w:val="0"/>
            <w:vAlign w:val="center"/>
          </w:tcPr>
          <w:p w14:paraId="2BDA20A9">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both"/>
              <w:textAlignment w:val="auto"/>
              <w:rPr>
                <w:rFonts w:hint="eastAsia" w:ascii="宋体" w:hAnsi="宋体" w:eastAsia="宋体" w:cs="宋体"/>
                <w:b/>
                <w:bCs/>
                <w:kern w:val="2"/>
                <w:sz w:val="21"/>
                <w:szCs w:val="21"/>
                <w:highlight w:val="none"/>
                <w:lang w:val="en-US" w:eastAsia="zh-CN" w:bidi="ar-SA"/>
              </w:rPr>
            </w:pPr>
            <w:r>
              <w:rPr>
                <w:rFonts w:hint="eastAsia" w:ascii="宋体" w:hAnsi="宋体" w:eastAsia="宋体" w:cs="宋体"/>
                <w:b w:val="0"/>
                <w:bCs w:val="0"/>
                <w:sz w:val="21"/>
                <w:szCs w:val="21"/>
                <w:highlight w:val="none"/>
                <w:lang w:val="en-US" w:eastAsia="zh-CN"/>
              </w:rPr>
              <w:t>重点管理（钢铁、石化、化工、电镀、皮革、造纸、冶炼、印染、染料、水泥、煤电、陶瓷、采矿、放射性、危废经营、垃圾焚烧发电、平板玻璃，“两高”项目）</w:t>
            </w:r>
          </w:p>
        </w:tc>
        <w:tc>
          <w:tcPr>
            <w:tcW w:w="1299" w:type="dxa"/>
            <w:noWrap w:val="0"/>
            <w:vAlign w:val="center"/>
          </w:tcPr>
          <w:p w14:paraId="70B5E311">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r>
      <w:tr w14:paraId="07C46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741" w:type="dxa"/>
            <w:vMerge w:val="restart"/>
            <w:noWrap w:val="0"/>
            <w:vAlign w:val="center"/>
          </w:tcPr>
          <w:p w14:paraId="526F349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污染物</w:t>
            </w:r>
            <w:r>
              <w:rPr>
                <w:rFonts w:hint="eastAsia" w:ascii="宋体" w:hAnsi="宋体" w:eastAsia="宋体" w:cs="宋体"/>
                <w:color w:val="auto"/>
                <w:sz w:val="21"/>
                <w:szCs w:val="21"/>
                <w:highlight w:val="none"/>
              </w:rPr>
              <w:t>类别</w:t>
            </w:r>
          </w:p>
        </w:tc>
        <w:tc>
          <w:tcPr>
            <w:tcW w:w="5615" w:type="dxa"/>
            <w:noWrap w:val="0"/>
            <w:vAlign w:val="top"/>
          </w:tcPr>
          <w:p w14:paraId="56A0FCB2">
            <w:pPr>
              <w:adjustRightInd w:val="0"/>
              <w:ind w:firstLine="420" w:firstLineChars="200"/>
              <w:jc w:val="both"/>
              <w:rPr>
                <w:rFonts w:hint="eastAsia" w:ascii="宋体" w:hAnsi="宋体" w:eastAsia="宋体" w:cs="宋体"/>
                <w:b/>
                <w:bCs/>
                <w:sz w:val="21"/>
                <w:szCs w:val="21"/>
                <w:highlight w:val="none"/>
                <w:lang w:val="en-US" w:eastAsia="zh-CN"/>
              </w:rPr>
            </w:pPr>
            <w:r>
              <w:rPr>
                <w:rFonts w:hint="eastAsia" w:ascii="宋体" w:hAnsi="宋体" w:eastAsia="宋体" w:cs="宋体"/>
                <w:color w:val="auto"/>
                <w:sz w:val="21"/>
                <w:szCs w:val="21"/>
                <w:highlight w:val="none"/>
                <w:lang w:val="en-US" w:eastAsia="zh-CN"/>
              </w:rPr>
              <w:t>一般废气、废水、固体废物、噪声、畜禽养殖废水</w:t>
            </w:r>
          </w:p>
        </w:tc>
        <w:tc>
          <w:tcPr>
            <w:tcW w:w="1299" w:type="dxa"/>
            <w:noWrap w:val="0"/>
            <w:vAlign w:val="center"/>
          </w:tcPr>
          <w:p w14:paraId="16F9CD9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27D60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741" w:type="dxa"/>
            <w:vMerge w:val="continue"/>
            <w:noWrap w:val="0"/>
            <w:vAlign w:val="center"/>
          </w:tcPr>
          <w:p w14:paraId="62EB1F71">
            <w:pPr>
              <w:jc w:val="center"/>
              <w:rPr>
                <w:rFonts w:hint="eastAsia" w:ascii="宋体" w:hAnsi="宋体" w:eastAsia="宋体" w:cs="宋体"/>
                <w:color w:val="auto"/>
                <w:sz w:val="21"/>
                <w:szCs w:val="21"/>
                <w:highlight w:val="none"/>
              </w:rPr>
            </w:pPr>
          </w:p>
        </w:tc>
        <w:tc>
          <w:tcPr>
            <w:tcW w:w="5615" w:type="dxa"/>
            <w:noWrap w:val="0"/>
            <w:vAlign w:val="top"/>
          </w:tcPr>
          <w:p w14:paraId="2B0B819B">
            <w:pPr>
              <w:adjustRightInd w:val="0"/>
              <w:ind w:firstLine="420" w:firstLineChars="200"/>
              <w:jc w:val="both"/>
              <w:rPr>
                <w:rFonts w:hint="eastAsia" w:ascii="宋体" w:hAnsi="宋体" w:eastAsia="宋体" w:cs="宋体"/>
                <w:b/>
                <w:bCs/>
                <w:sz w:val="21"/>
                <w:szCs w:val="21"/>
                <w:highlight w:val="none"/>
                <w:lang w:val="en-US" w:eastAsia="zh-CN"/>
              </w:rPr>
            </w:pPr>
            <w:r>
              <w:rPr>
                <w:rFonts w:hint="eastAsia" w:ascii="宋体" w:hAnsi="宋体" w:eastAsia="宋体" w:cs="宋体"/>
                <w:color w:val="auto"/>
                <w:sz w:val="21"/>
                <w:szCs w:val="21"/>
                <w:highlight w:val="none"/>
              </w:rPr>
              <w:t>火电、钢铁、石化、水泥、炼焦、有色、化工废气/医疗废水</w:t>
            </w:r>
          </w:p>
        </w:tc>
        <w:tc>
          <w:tcPr>
            <w:tcW w:w="1299" w:type="dxa"/>
            <w:noWrap w:val="0"/>
            <w:vAlign w:val="center"/>
          </w:tcPr>
          <w:p w14:paraId="266460E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p>
        </w:tc>
      </w:tr>
      <w:tr w14:paraId="54B94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741" w:type="dxa"/>
            <w:vMerge w:val="continue"/>
            <w:noWrap w:val="0"/>
            <w:vAlign w:val="center"/>
          </w:tcPr>
          <w:p w14:paraId="63D48B05">
            <w:pPr>
              <w:jc w:val="center"/>
              <w:rPr>
                <w:rFonts w:hint="eastAsia" w:ascii="宋体" w:hAnsi="宋体" w:eastAsia="宋体" w:cs="宋体"/>
                <w:color w:val="auto"/>
                <w:sz w:val="21"/>
                <w:szCs w:val="21"/>
                <w:highlight w:val="none"/>
              </w:rPr>
            </w:pPr>
          </w:p>
        </w:tc>
        <w:tc>
          <w:tcPr>
            <w:tcW w:w="5615" w:type="dxa"/>
            <w:noWrap w:val="0"/>
            <w:vAlign w:val="top"/>
          </w:tcPr>
          <w:p w14:paraId="2D4741E3">
            <w:pPr>
              <w:adjustRightInd w:val="0"/>
              <w:ind w:firstLine="420" w:firstLineChars="200"/>
              <w:jc w:val="both"/>
              <w:rPr>
                <w:rFonts w:hint="eastAsia" w:ascii="宋体" w:hAnsi="宋体" w:eastAsia="宋体" w:cs="宋体"/>
                <w:b/>
                <w:bCs/>
                <w:sz w:val="21"/>
                <w:szCs w:val="21"/>
                <w:highlight w:val="none"/>
                <w:lang w:val="en-US" w:eastAsia="zh-CN"/>
              </w:rPr>
            </w:pPr>
            <w:r>
              <w:rPr>
                <w:rFonts w:hint="eastAsia" w:ascii="宋体" w:hAnsi="宋体" w:eastAsia="宋体" w:cs="宋体"/>
                <w:color w:val="auto"/>
                <w:sz w:val="21"/>
                <w:szCs w:val="21"/>
                <w:highlight w:val="none"/>
              </w:rPr>
              <w:t>含有毒有害物质的废气、废水／含一类污染物或重金属、病原体、放射性物质的废水／危险废物</w:t>
            </w:r>
          </w:p>
        </w:tc>
        <w:tc>
          <w:tcPr>
            <w:tcW w:w="1299" w:type="dxa"/>
            <w:noWrap w:val="0"/>
            <w:vAlign w:val="center"/>
          </w:tcPr>
          <w:p w14:paraId="2262E42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p>
        </w:tc>
      </w:tr>
      <w:tr w14:paraId="2BCA2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1741" w:type="dxa"/>
            <w:noWrap w:val="0"/>
            <w:vAlign w:val="center"/>
          </w:tcPr>
          <w:p w14:paraId="743EE5D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备注</w:t>
            </w:r>
          </w:p>
        </w:tc>
        <w:tc>
          <w:tcPr>
            <w:tcW w:w="6914" w:type="dxa"/>
            <w:gridSpan w:val="2"/>
            <w:noWrap w:val="0"/>
            <w:vAlign w:val="top"/>
          </w:tcPr>
          <w:p w14:paraId="14D01850">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涉及多种污染物类别时，</w:t>
            </w:r>
            <w:r>
              <w:rPr>
                <w:rFonts w:hint="eastAsia" w:ascii="宋体" w:hAnsi="宋体" w:cs="宋体"/>
                <w:color w:val="auto"/>
                <w:sz w:val="21"/>
                <w:szCs w:val="21"/>
                <w:highlight w:val="none"/>
                <w:lang w:eastAsia="zh-CN"/>
              </w:rPr>
              <w:t>裁量</w:t>
            </w:r>
            <w:r>
              <w:rPr>
                <w:rFonts w:hint="eastAsia" w:ascii="宋体" w:hAnsi="宋体" w:eastAsia="宋体" w:cs="宋体"/>
                <w:color w:val="auto"/>
                <w:sz w:val="21"/>
                <w:szCs w:val="21"/>
                <w:highlight w:val="none"/>
              </w:rPr>
              <w:t>标准以裁量等级最高为准</w:t>
            </w:r>
          </w:p>
        </w:tc>
      </w:tr>
    </w:tbl>
    <w:p w14:paraId="5ADF3174">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0"/>
        <w:gridCol w:w="5815"/>
        <w:gridCol w:w="1333"/>
      </w:tblGrid>
      <w:tr w14:paraId="4CCD5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8522" w:type="dxa"/>
            <w:gridSpan w:val="3"/>
            <w:noWrap w:val="0"/>
            <w:vAlign w:val="center"/>
          </w:tcPr>
          <w:p w14:paraId="1AE6B659">
            <w:pPr>
              <w:jc w:val="center"/>
              <w:rPr>
                <w:rFonts w:hint="eastAsia" w:ascii="宋体" w:hAnsi="宋体" w:eastAsia="宋体" w:cs="宋体"/>
                <w:color w:val="auto"/>
                <w:sz w:val="21"/>
                <w:szCs w:val="21"/>
                <w:highlight w:val="none"/>
                <w:lang w:eastAsia="zh-CN"/>
              </w:rPr>
            </w:pPr>
            <w:r>
              <w:rPr>
                <w:rFonts w:hint="eastAsia" w:ascii="宋体" w:hAnsi="宋体" w:eastAsia="宋体" w:cs="宋体"/>
                <w:bCs/>
                <w:color w:val="auto"/>
                <w:sz w:val="21"/>
                <w:szCs w:val="21"/>
                <w:highlight w:val="none"/>
                <w:lang w:eastAsia="zh-CN"/>
              </w:rPr>
              <w:t>（十三）其他类</w:t>
            </w:r>
          </w:p>
        </w:tc>
      </w:tr>
      <w:tr w14:paraId="40A3C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4" w:type="dxa"/>
            <w:noWrap w:val="0"/>
            <w:vAlign w:val="center"/>
          </w:tcPr>
          <w:p w14:paraId="43B7527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808" w:type="dxa"/>
            <w:gridSpan w:val="2"/>
            <w:noWrap w:val="0"/>
            <w:vAlign w:val="center"/>
          </w:tcPr>
          <w:p w14:paraId="0AD301ED">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r>
      <w:tr w14:paraId="376B5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jc w:val="center"/>
        </w:trPr>
        <w:tc>
          <w:tcPr>
            <w:tcW w:w="1714" w:type="dxa"/>
            <w:noWrap w:val="0"/>
            <w:vAlign w:val="center"/>
          </w:tcPr>
          <w:p w14:paraId="6260A2E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6808" w:type="dxa"/>
            <w:gridSpan w:val="2"/>
            <w:noWrap w:val="0"/>
            <w:vAlign w:val="center"/>
          </w:tcPr>
          <w:p w14:paraId="4CA25566">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未按照生态环境准入清单的规定进行生产建设活动的</w:t>
            </w:r>
          </w:p>
        </w:tc>
      </w:tr>
      <w:tr w14:paraId="124CD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4" w:type="dxa"/>
            <w:noWrap w:val="0"/>
            <w:vAlign w:val="center"/>
          </w:tcPr>
          <w:p w14:paraId="4826686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6808" w:type="dxa"/>
            <w:gridSpan w:val="2"/>
            <w:noWrap w:val="0"/>
            <w:vAlign w:val="center"/>
          </w:tcPr>
          <w:p w14:paraId="3BC1A7F5">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《中华人民共和国生态环境法典》第六十七条　生态环境分区管控方案应当落实生态保护红线、环境质量底线、资源利用上线目标，划定优先保护、重点管控、一般管控单元，明确相应的生态环境准入清单。禁止违反生态环境准入清单规定进行生产建设活动。</w:t>
            </w:r>
          </w:p>
        </w:tc>
      </w:tr>
      <w:tr w14:paraId="3511B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4" w:type="dxa"/>
            <w:noWrap w:val="0"/>
            <w:vAlign w:val="center"/>
          </w:tcPr>
          <w:p w14:paraId="6B3B348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6808" w:type="dxa"/>
            <w:gridSpan w:val="2"/>
            <w:noWrap w:val="0"/>
            <w:vAlign w:val="center"/>
          </w:tcPr>
          <w:p w14:paraId="0D45C155">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《中华人民共和国生态环境法典》第一千二百三十四条　违反本法规定，未按照生态环境准入清单的规定进行生产建设活动的，由生态环境主管部门、自然资源主管部门按照职责分工，责令停止违法行为，没收违法所得，限期拆除并恢复原状，所需费用由违法者承担，并处五十万元以上五百万元以下的罚款，对直接负责的主管人员和其他直接责任人员处五万元以上十万元以下的罚款</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w:t>
            </w:r>
          </w:p>
        </w:tc>
      </w:tr>
      <w:tr w14:paraId="3625A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4" w:type="dxa"/>
            <w:noWrap w:val="0"/>
            <w:vAlign w:val="center"/>
          </w:tcPr>
          <w:p w14:paraId="510E428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538" w:type="dxa"/>
            <w:noWrap w:val="0"/>
            <w:vAlign w:val="center"/>
          </w:tcPr>
          <w:p w14:paraId="26C7D65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270" w:type="dxa"/>
            <w:noWrap w:val="0"/>
            <w:vAlign w:val="center"/>
          </w:tcPr>
          <w:p w14:paraId="0FA551B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33E92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4" w:type="dxa"/>
            <w:vMerge w:val="restart"/>
            <w:noWrap w:val="0"/>
            <w:vAlign w:val="center"/>
          </w:tcPr>
          <w:p w14:paraId="5DFE4BF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违法事实</w:t>
            </w:r>
          </w:p>
        </w:tc>
        <w:tc>
          <w:tcPr>
            <w:tcW w:w="5538" w:type="dxa"/>
            <w:noWrap w:val="0"/>
            <w:vAlign w:val="top"/>
          </w:tcPr>
          <w:p w14:paraId="24F29E6D">
            <w:pPr>
              <w:keepNext w:val="0"/>
              <w:keepLines w:val="0"/>
              <w:pageBreakBefore w:val="0"/>
              <w:widowControl w:val="0"/>
              <w:kinsoku/>
              <w:wordWrap/>
              <w:overflowPunct/>
              <w:topLinePunct w:val="0"/>
              <w:bidi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未建成</w:t>
            </w:r>
          </w:p>
        </w:tc>
        <w:tc>
          <w:tcPr>
            <w:tcW w:w="1270" w:type="dxa"/>
            <w:noWrap w:val="0"/>
            <w:vAlign w:val="top"/>
          </w:tcPr>
          <w:p w14:paraId="0D9148C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5C32C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4" w:type="dxa"/>
            <w:vMerge w:val="continue"/>
            <w:noWrap w:val="0"/>
            <w:vAlign w:val="center"/>
          </w:tcPr>
          <w:p w14:paraId="2B177936">
            <w:pPr>
              <w:jc w:val="center"/>
              <w:rPr>
                <w:rFonts w:hint="eastAsia" w:ascii="宋体" w:hAnsi="宋体" w:eastAsia="宋体" w:cs="宋体"/>
                <w:color w:val="auto"/>
                <w:sz w:val="21"/>
                <w:szCs w:val="21"/>
                <w:highlight w:val="none"/>
              </w:rPr>
            </w:pPr>
          </w:p>
        </w:tc>
        <w:tc>
          <w:tcPr>
            <w:tcW w:w="5538" w:type="dxa"/>
            <w:noWrap w:val="0"/>
            <w:vAlign w:val="top"/>
          </w:tcPr>
          <w:p w14:paraId="02D671E2">
            <w:pPr>
              <w:keepNext w:val="0"/>
              <w:keepLines w:val="0"/>
              <w:pageBreakBefore w:val="0"/>
              <w:widowControl w:val="0"/>
              <w:kinsoku/>
              <w:wordWrap/>
              <w:overflowPunct/>
              <w:topLinePunct w:val="0"/>
              <w:bidi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已建成但尚未投入生产或者使用</w:t>
            </w:r>
          </w:p>
        </w:tc>
        <w:tc>
          <w:tcPr>
            <w:tcW w:w="1270" w:type="dxa"/>
            <w:noWrap w:val="0"/>
            <w:vAlign w:val="top"/>
          </w:tcPr>
          <w:p w14:paraId="1F85D232">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r>
      <w:tr w14:paraId="30817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4" w:type="dxa"/>
            <w:vMerge w:val="continue"/>
            <w:noWrap w:val="0"/>
            <w:vAlign w:val="center"/>
          </w:tcPr>
          <w:p w14:paraId="0402E4B4">
            <w:pPr>
              <w:jc w:val="center"/>
              <w:rPr>
                <w:rFonts w:hint="eastAsia" w:ascii="宋体" w:hAnsi="宋体" w:eastAsia="宋体" w:cs="宋体"/>
                <w:color w:val="auto"/>
                <w:sz w:val="21"/>
                <w:szCs w:val="21"/>
                <w:highlight w:val="none"/>
              </w:rPr>
            </w:pPr>
          </w:p>
        </w:tc>
        <w:tc>
          <w:tcPr>
            <w:tcW w:w="5538" w:type="dxa"/>
            <w:noWrap w:val="0"/>
            <w:vAlign w:val="top"/>
          </w:tcPr>
          <w:p w14:paraId="0D96665B">
            <w:pPr>
              <w:keepNext w:val="0"/>
              <w:keepLines w:val="0"/>
              <w:pageBreakBefore w:val="0"/>
              <w:widowControl w:val="0"/>
              <w:kinsoku/>
              <w:wordWrap/>
              <w:overflowPunct/>
              <w:topLinePunct w:val="0"/>
              <w:bidi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已建成，</w:t>
            </w:r>
            <w:r>
              <w:rPr>
                <w:rFonts w:hint="eastAsia" w:ascii="宋体" w:hAnsi="宋体" w:eastAsia="宋体" w:cs="宋体"/>
                <w:color w:val="auto"/>
                <w:sz w:val="21"/>
                <w:szCs w:val="21"/>
                <w:highlight w:val="none"/>
                <w:lang w:val="en-US" w:eastAsia="zh-CN"/>
              </w:rPr>
              <w:t>并</w:t>
            </w:r>
            <w:r>
              <w:rPr>
                <w:rFonts w:hint="eastAsia" w:ascii="宋体" w:hAnsi="宋体" w:eastAsia="宋体" w:cs="宋体"/>
                <w:color w:val="auto"/>
                <w:sz w:val="21"/>
                <w:szCs w:val="21"/>
                <w:highlight w:val="none"/>
              </w:rPr>
              <w:t>已投入生产或使用</w:t>
            </w:r>
          </w:p>
        </w:tc>
        <w:tc>
          <w:tcPr>
            <w:tcW w:w="1270" w:type="dxa"/>
            <w:noWrap w:val="0"/>
            <w:vAlign w:val="top"/>
          </w:tcPr>
          <w:p w14:paraId="165026D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18D8A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4" w:type="dxa"/>
            <w:vMerge w:val="restart"/>
            <w:noWrap w:val="0"/>
            <w:vAlign w:val="center"/>
          </w:tcPr>
          <w:p w14:paraId="506CC5F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生态环境管控单元</w:t>
            </w:r>
          </w:p>
        </w:tc>
        <w:tc>
          <w:tcPr>
            <w:tcW w:w="5538" w:type="dxa"/>
            <w:noWrap w:val="0"/>
            <w:vAlign w:val="top"/>
          </w:tcPr>
          <w:p w14:paraId="45B12A72">
            <w:pPr>
              <w:keepNext w:val="0"/>
              <w:keepLines w:val="0"/>
              <w:pageBreakBefore w:val="0"/>
              <w:widowControl w:val="0"/>
              <w:kinsoku/>
              <w:wordWrap/>
              <w:overflowPunct/>
              <w:topLinePunct w:val="0"/>
              <w:bidi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一般管控单元</w:t>
            </w:r>
          </w:p>
        </w:tc>
        <w:tc>
          <w:tcPr>
            <w:tcW w:w="1270" w:type="dxa"/>
            <w:noWrap w:val="0"/>
            <w:vAlign w:val="top"/>
          </w:tcPr>
          <w:p w14:paraId="61D8AE5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14373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4" w:type="dxa"/>
            <w:vMerge w:val="continue"/>
            <w:noWrap w:val="0"/>
            <w:vAlign w:val="center"/>
          </w:tcPr>
          <w:p w14:paraId="59F2C468">
            <w:pPr>
              <w:rPr>
                <w:rFonts w:hint="eastAsia" w:ascii="宋体" w:hAnsi="宋体" w:eastAsia="宋体" w:cs="宋体"/>
                <w:color w:val="auto"/>
                <w:sz w:val="21"/>
                <w:szCs w:val="21"/>
                <w:highlight w:val="none"/>
              </w:rPr>
            </w:pPr>
          </w:p>
        </w:tc>
        <w:tc>
          <w:tcPr>
            <w:tcW w:w="5538" w:type="dxa"/>
            <w:noWrap w:val="0"/>
            <w:vAlign w:val="top"/>
          </w:tcPr>
          <w:p w14:paraId="6E5A1002">
            <w:pPr>
              <w:keepNext w:val="0"/>
              <w:keepLines w:val="0"/>
              <w:pageBreakBefore w:val="0"/>
              <w:widowControl w:val="0"/>
              <w:kinsoku/>
              <w:wordWrap/>
              <w:overflowPunct/>
              <w:topLinePunct w:val="0"/>
              <w:bidi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重点管控单元</w:t>
            </w:r>
          </w:p>
        </w:tc>
        <w:tc>
          <w:tcPr>
            <w:tcW w:w="1270" w:type="dxa"/>
            <w:noWrap w:val="0"/>
            <w:vAlign w:val="top"/>
          </w:tcPr>
          <w:p w14:paraId="5C97AAB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69C78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4" w:type="dxa"/>
            <w:vMerge w:val="continue"/>
            <w:noWrap w:val="0"/>
            <w:vAlign w:val="center"/>
          </w:tcPr>
          <w:p w14:paraId="651D7F74">
            <w:pPr>
              <w:rPr>
                <w:rFonts w:hint="eastAsia" w:ascii="宋体" w:hAnsi="宋体" w:eastAsia="宋体" w:cs="宋体"/>
                <w:color w:val="auto"/>
                <w:sz w:val="21"/>
                <w:szCs w:val="21"/>
                <w:highlight w:val="none"/>
              </w:rPr>
            </w:pPr>
          </w:p>
        </w:tc>
        <w:tc>
          <w:tcPr>
            <w:tcW w:w="5538" w:type="dxa"/>
            <w:noWrap w:val="0"/>
            <w:vAlign w:val="top"/>
          </w:tcPr>
          <w:p w14:paraId="3414A661">
            <w:pPr>
              <w:keepNext w:val="0"/>
              <w:keepLines w:val="0"/>
              <w:pageBreakBefore w:val="0"/>
              <w:widowControl w:val="0"/>
              <w:kinsoku/>
              <w:wordWrap/>
              <w:overflowPunct/>
              <w:topLinePunct w:val="0"/>
              <w:bidi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优先保护单元</w:t>
            </w:r>
          </w:p>
        </w:tc>
        <w:tc>
          <w:tcPr>
            <w:tcW w:w="1270" w:type="dxa"/>
            <w:noWrap w:val="0"/>
            <w:vAlign w:val="top"/>
          </w:tcPr>
          <w:p w14:paraId="2EE70A7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bl>
    <w:p w14:paraId="78B1A34A">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7"/>
        <w:gridCol w:w="5952"/>
        <w:gridCol w:w="1189"/>
      </w:tblGrid>
      <w:tr w14:paraId="12711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3"/>
            <w:noWrap w:val="0"/>
            <w:vAlign w:val="top"/>
          </w:tcPr>
          <w:p w14:paraId="0487422D">
            <w:pPr>
              <w:jc w:val="center"/>
              <w:rPr>
                <w:rFonts w:hint="eastAsia" w:ascii="宋体" w:hAnsi="宋体" w:eastAsia="宋体" w:cs="宋体"/>
                <w:color w:val="auto"/>
                <w:sz w:val="21"/>
                <w:szCs w:val="21"/>
                <w:highlight w:val="none"/>
                <w:lang w:eastAsia="zh-CN"/>
              </w:rPr>
            </w:pPr>
            <w:r>
              <w:rPr>
                <w:rFonts w:hint="eastAsia" w:ascii="宋体" w:hAnsi="宋体" w:eastAsia="宋体" w:cs="宋体"/>
                <w:bCs/>
                <w:color w:val="auto"/>
                <w:sz w:val="21"/>
                <w:szCs w:val="21"/>
                <w:highlight w:val="none"/>
                <w:lang w:eastAsia="zh-CN"/>
              </w:rPr>
              <w:t>（十三）其他类</w:t>
            </w:r>
          </w:p>
        </w:tc>
      </w:tr>
      <w:tr w14:paraId="66172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721" w:type="dxa"/>
            <w:noWrap w:val="0"/>
            <w:vAlign w:val="top"/>
          </w:tcPr>
          <w:p w14:paraId="051A27C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801" w:type="dxa"/>
            <w:gridSpan w:val="2"/>
            <w:noWrap w:val="0"/>
            <w:vAlign w:val="top"/>
          </w:tcPr>
          <w:p w14:paraId="1C7AF24C">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w:t>
            </w:r>
          </w:p>
        </w:tc>
      </w:tr>
      <w:tr w14:paraId="66621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1" w:type="dxa"/>
            <w:noWrap w:val="0"/>
            <w:vAlign w:val="center"/>
          </w:tcPr>
          <w:p w14:paraId="608F46A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6801" w:type="dxa"/>
            <w:gridSpan w:val="2"/>
            <w:noWrap w:val="0"/>
            <w:vAlign w:val="center"/>
          </w:tcPr>
          <w:p w14:paraId="1EE2170F">
            <w:pPr>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企业事业单位和其他生产经营者未制定环境污染、生态破坏事故或者突发生态环境事件的应急预案</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情节严重的</w:t>
            </w:r>
          </w:p>
        </w:tc>
      </w:tr>
      <w:tr w14:paraId="24947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8" w:hRule="atLeast"/>
          <w:jc w:val="center"/>
        </w:trPr>
        <w:tc>
          <w:tcPr>
            <w:tcW w:w="1721" w:type="dxa"/>
            <w:noWrap w:val="0"/>
            <w:vAlign w:val="center"/>
          </w:tcPr>
          <w:p w14:paraId="5437224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6801" w:type="dxa"/>
            <w:gridSpan w:val="2"/>
            <w:noWrap w:val="0"/>
            <w:vAlign w:val="top"/>
          </w:tcPr>
          <w:p w14:paraId="2068AF0B">
            <w:pPr>
              <w:keepNext w:val="0"/>
              <w:keepLines w:val="0"/>
              <w:pageBreakBefore w:val="0"/>
              <w:widowControl w:val="0"/>
              <w:kinsoku/>
              <w:wordWrap/>
              <w:overflowPunct/>
              <w:topLinePunct w:val="0"/>
              <w:autoSpaceDE/>
              <w:autoSpaceDN/>
              <w:bidi w:val="0"/>
              <w:snapToGrid w:val="0"/>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《中华人民共和国生态环境法典》第一百二十三条</w:t>
            </w:r>
            <w:r>
              <w:rPr>
                <w:rFonts w:hint="eastAsia" w:ascii="宋体" w:hAnsi="宋体" w:eastAsia="宋体" w:cs="宋体"/>
                <w:color w:val="auto"/>
                <w:sz w:val="21"/>
                <w:szCs w:val="21"/>
                <w:highlight w:val="none"/>
                <w:lang w:val="en-US" w:eastAsia="zh-CN"/>
              </w:rPr>
              <w:t>第二款</w:t>
            </w:r>
            <w:r>
              <w:rPr>
                <w:rFonts w:hint="eastAsia" w:ascii="宋体" w:hAnsi="宋体" w:eastAsia="宋体" w:cs="宋体"/>
                <w:color w:val="auto"/>
                <w:sz w:val="21"/>
                <w:szCs w:val="21"/>
                <w:highlight w:val="none"/>
              </w:rPr>
              <w:t>　企业事业单位和其他生产经营者应当按照国家规定制定突发生态环境事件应急预案，报生态环境等有关部门备案。</w:t>
            </w:r>
          </w:p>
          <w:p w14:paraId="03068D35">
            <w:pPr>
              <w:keepNext w:val="0"/>
              <w:keepLines w:val="0"/>
              <w:pageBreakBefore w:val="0"/>
              <w:widowControl w:val="0"/>
              <w:kinsoku/>
              <w:wordWrap/>
              <w:overflowPunct/>
              <w:topLinePunct w:val="0"/>
              <w:autoSpaceDE/>
              <w:autoSpaceDN/>
              <w:bidi w:val="0"/>
              <w:snapToGrid w:val="0"/>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《中华人民共和国生态环境法典》</w:t>
            </w:r>
            <w:r>
              <w:rPr>
                <w:rFonts w:hint="eastAsia" w:ascii="宋体" w:hAnsi="宋体" w:eastAsia="宋体" w:cs="宋体"/>
                <w:color w:val="auto"/>
                <w:sz w:val="21"/>
                <w:szCs w:val="21"/>
                <w:highlight w:val="none"/>
                <w:lang w:eastAsia="zh-CN"/>
              </w:rPr>
              <w:t>第二百九十一条</w:t>
            </w:r>
            <w:r>
              <w:rPr>
                <w:rFonts w:hint="eastAsia" w:ascii="宋体" w:hAnsi="宋体" w:eastAsia="宋体" w:cs="宋体"/>
                <w:color w:val="auto"/>
                <w:sz w:val="21"/>
                <w:szCs w:val="21"/>
                <w:highlight w:val="none"/>
                <w:lang w:val="en-US" w:eastAsia="zh-CN"/>
              </w:rPr>
              <w:t>第一款 可能发生水污染事故的企业事业单位，应当制定有关水污染事故的应急预案，做好应急准备，并定期进行演练。</w:t>
            </w:r>
          </w:p>
          <w:p w14:paraId="02785104">
            <w:pPr>
              <w:keepNext w:val="0"/>
              <w:keepLines w:val="0"/>
              <w:pageBreakBefore w:val="0"/>
              <w:widowControl w:val="0"/>
              <w:kinsoku/>
              <w:wordWrap/>
              <w:overflowPunct/>
              <w:topLinePunct w:val="0"/>
              <w:autoSpaceDE/>
              <w:autoSpaceDN/>
              <w:bidi w:val="0"/>
              <w:snapToGrid w:val="0"/>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《中华人民共和国生态环境法典》</w:t>
            </w:r>
            <w:r>
              <w:rPr>
                <w:rFonts w:hint="eastAsia" w:ascii="宋体" w:hAnsi="宋体" w:eastAsia="宋体" w:cs="宋体"/>
                <w:color w:val="auto"/>
                <w:sz w:val="21"/>
                <w:szCs w:val="21"/>
                <w:highlight w:val="none"/>
                <w:lang w:val="en-US" w:eastAsia="zh-CN"/>
              </w:rPr>
              <w:t>第二百九十三条第二款 饮用水供水单位应当根据所在地饮用水安全突发事件应急预案，制定相应的突发事件应急预案，报所在地设区的市、县级人民政府备案，并定期进行演练。</w:t>
            </w:r>
          </w:p>
          <w:p w14:paraId="43F170A4">
            <w:pPr>
              <w:keepNext w:val="0"/>
              <w:keepLines w:val="0"/>
              <w:pageBreakBefore w:val="0"/>
              <w:widowControl w:val="0"/>
              <w:kinsoku/>
              <w:wordWrap/>
              <w:overflowPunct/>
              <w:topLinePunct w:val="0"/>
              <w:autoSpaceDE/>
              <w:autoSpaceDN/>
              <w:bidi w:val="0"/>
              <w:snapToGrid w:val="0"/>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《中华人民共和国生态环境法典》</w:t>
            </w:r>
            <w:r>
              <w:rPr>
                <w:rFonts w:hint="eastAsia" w:ascii="宋体" w:hAnsi="宋体" w:eastAsia="宋体" w:cs="宋体"/>
                <w:color w:val="auto"/>
                <w:sz w:val="21"/>
                <w:szCs w:val="21"/>
                <w:highlight w:val="none"/>
                <w:lang w:val="en-US" w:eastAsia="zh-CN"/>
              </w:rPr>
              <w:t>第三百四十五条第六款 可能发生海洋污染事件的单位，应当按照规定制定本单位的应急预案，配备应急设备和器材，定期组织开展应急演练；应急预案应当报负有海洋生态环境保护监督管理职责的部门、机构备案。</w:t>
            </w:r>
          </w:p>
          <w:p w14:paraId="0540E7E6">
            <w:pPr>
              <w:keepNext w:val="0"/>
              <w:keepLines w:val="0"/>
              <w:pageBreakBefore w:val="0"/>
              <w:widowControl w:val="0"/>
              <w:kinsoku/>
              <w:wordWrap/>
              <w:overflowPunct/>
              <w:topLinePunct w:val="0"/>
              <w:autoSpaceDE/>
              <w:autoSpaceDN/>
              <w:bidi w:val="0"/>
              <w:snapToGrid w:val="0"/>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《中华人民共和国生态环境法典》</w:t>
            </w:r>
            <w:r>
              <w:rPr>
                <w:rFonts w:hint="eastAsia" w:ascii="宋体" w:hAnsi="宋体" w:eastAsia="宋体" w:cs="宋体"/>
                <w:color w:val="auto"/>
                <w:sz w:val="21"/>
                <w:szCs w:val="21"/>
                <w:highlight w:val="none"/>
                <w:lang w:val="en-US" w:eastAsia="zh-CN"/>
              </w:rPr>
              <w:t>第三百七十条 勘探开发海洋油气资源，应当按照规定制定油气污染应急预案，报国务院生态环境主管部门海域派出机构备案。</w:t>
            </w:r>
          </w:p>
          <w:p w14:paraId="7777C0F3">
            <w:pPr>
              <w:keepNext w:val="0"/>
              <w:keepLines w:val="0"/>
              <w:pageBreakBefore w:val="0"/>
              <w:widowControl w:val="0"/>
              <w:kinsoku/>
              <w:wordWrap/>
              <w:overflowPunct/>
              <w:topLinePunct w:val="0"/>
              <w:autoSpaceDE/>
              <w:autoSpaceDN/>
              <w:bidi w:val="0"/>
              <w:snapToGrid w:val="0"/>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《中华人民共和国生态环境法典》</w:t>
            </w:r>
            <w:r>
              <w:rPr>
                <w:rFonts w:hint="eastAsia" w:ascii="宋体" w:hAnsi="宋体" w:eastAsia="宋体" w:cs="宋体"/>
                <w:color w:val="auto"/>
                <w:sz w:val="21"/>
                <w:szCs w:val="21"/>
                <w:highlight w:val="none"/>
                <w:lang w:val="en-US" w:eastAsia="zh-CN"/>
              </w:rPr>
              <w:t>第三百八十六条第四款 装卸污染危害性货物的港口、码头、装卸站和船舶应当制定污染应急预案，并配备相应的污染应急设备和器材。</w:t>
            </w:r>
          </w:p>
        </w:tc>
      </w:tr>
      <w:tr w14:paraId="0B084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1" w:type="dxa"/>
            <w:noWrap w:val="0"/>
            <w:vAlign w:val="center"/>
          </w:tcPr>
          <w:p w14:paraId="3738617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6801" w:type="dxa"/>
            <w:gridSpan w:val="2"/>
            <w:noWrap w:val="0"/>
            <w:vAlign w:val="top"/>
          </w:tcPr>
          <w:p w14:paraId="08DEB8FD">
            <w:pPr>
              <w:keepNext w:val="0"/>
              <w:keepLines w:val="0"/>
              <w:pageBreakBefore w:val="0"/>
              <w:widowControl w:val="0"/>
              <w:kinsoku/>
              <w:wordWrap/>
              <w:overflowPunct/>
              <w:topLinePunct w:val="0"/>
              <w:autoSpaceDE/>
              <w:autoSpaceDN/>
              <w:bidi w:val="0"/>
              <w:snapToGrid w:val="0"/>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《中华人民共和国生态环境法典》第一千二百三十五条</w:t>
            </w:r>
            <w:r>
              <w:rPr>
                <w:rFonts w:hint="eastAsia" w:ascii="宋体" w:hAnsi="宋体" w:eastAsia="宋体" w:cs="宋体"/>
                <w:color w:val="auto"/>
                <w:sz w:val="21"/>
                <w:szCs w:val="21"/>
                <w:highlight w:val="none"/>
                <w:lang w:val="en-US" w:eastAsia="zh-CN"/>
              </w:rPr>
              <w:t>第一项</w:t>
            </w:r>
            <w:r>
              <w:rPr>
                <w:rFonts w:hint="eastAsia" w:ascii="宋体" w:hAnsi="宋体" w:eastAsia="宋体" w:cs="宋体"/>
                <w:color w:val="auto"/>
                <w:sz w:val="21"/>
                <w:szCs w:val="21"/>
                <w:highlight w:val="none"/>
              </w:rPr>
              <w:t>　违反本法规定，企业事业单位和其他生产经营者有下列情形之一的，由负有生态环境保护监督管理职责的部门、机构按照职责分工责令改正；情节严重的，处一万元以上五万元以下的罚款：</w:t>
            </w:r>
          </w:p>
          <w:p w14:paraId="6CB0A921">
            <w:pPr>
              <w:keepNext w:val="0"/>
              <w:keepLines w:val="0"/>
              <w:pageBreakBefore w:val="0"/>
              <w:widowControl w:val="0"/>
              <w:kinsoku/>
              <w:wordWrap/>
              <w:overflowPunct/>
              <w:topLinePunct w:val="0"/>
              <w:autoSpaceDE/>
              <w:autoSpaceDN/>
              <w:bidi w:val="0"/>
              <w:snapToGrid w:val="0"/>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（一）未制定环境污染、生态破坏事故或者突发生态环境事件的应急预案；</w:t>
            </w:r>
          </w:p>
        </w:tc>
      </w:tr>
      <w:tr w14:paraId="138A5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1" w:type="dxa"/>
            <w:noWrap w:val="0"/>
            <w:vAlign w:val="center"/>
          </w:tcPr>
          <w:p w14:paraId="17C63BB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669" w:type="dxa"/>
            <w:noWrap w:val="0"/>
            <w:vAlign w:val="top"/>
          </w:tcPr>
          <w:p w14:paraId="1DF534F5">
            <w:pPr>
              <w:keepNext w:val="0"/>
              <w:keepLines w:val="0"/>
              <w:pageBreakBefore w:val="0"/>
              <w:widowControl w:val="0"/>
              <w:kinsoku/>
              <w:wordWrap/>
              <w:overflowPunct/>
              <w:topLinePunct w:val="0"/>
              <w:autoSpaceDE/>
              <w:autoSpaceDN/>
              <w:bidi w:val="0"/>
              <w:snapToGrid w:val="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132" w:type="dxa"/>
            <w:noWrap w:val="0"/>
            <w:vAlign w:val="top"/>
          </w:tcPr>
          <w:p w14:paraId="0D847DF8">
            <w:pPr>
              <w:keepNext w:val="0"/>
              <w:keepLines w:val="0"/>
              <w:pageBreakBefore w:val="0"/>
              <w:widowControl w:val="0"/>
              <w:kinsoku/>
              <w:wordWrap/>
              <w:overflowPunct/>
              <w:topLinePunct w:val="0"/>
              <w:autoSpaceDE/>
              <w:autoSpaceDN/>
              <w:bidi w:val="0"/>
              <w:snapToGrid w:val="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1DEF7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atLeast"/>
          <w:jc w:val="center"/>
        </w:trPr>
        <w:tc>
          <w:tcPr>
            <w:tcW w:w="1721" w:type="dxa"/>
            <w:vMerge w:val="restart"/>
            <w:noWrap w:val="0"/>
            <w:vAlign w:val="center"/>
          </w:tcPr>
          <w:p w14:paraId="6780A5E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排污许可单位</w:t>
            </w:r>
          </w:p>
          <w:p w14:paraId="26F4071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管理类别</w:t>
            </w:r>
          </w:p>
        </w:tc>
        <w:tc>
          <w:tcPr>
            <w:tcW w:w="5669" w:type="dxa"/>
            <w:noWrap w:val="0"/>
            <w:vAlign w:val="center"/>
          </w:tcPr>
          <w:p w14:paraId="670667EC">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b w:val="0"/>
                <w:bCs w:val="0"/>
                <w:sz w:val="21"/>
                <w:szCs w:val="21"/>
                <w:highlight w:val="none"/>
                <w:lang w:val="en-US" w:eastAsia="zh-CN"/>
              </w:rPr>
              <w:t>不实行排污许可管理</w:t>
            </w:r>
          </w:p>
        </w:tc>
        <w:tc>
          <w:tcPr>
            <w:tcW w:w="1132" w:type="dxa"/>
            <w:noWrap w:val="0"/>
            <w:vAlign w:val="center"/>
          </w:tcPr>
          <w:p w14:paraId="24143531">
            <w:pPr>
              <w:keepNext w:val="0"/>
              <w:keepLines w:val="0"/>
              <w:pageBreakBefore w:val="0"/>
              <w:widowControl w:val="0"/>
              <w:kinsoku/>
              <w:wordWrap/>
              <w:overflowPunct/>
              <w:topLinePunct w:val="0"/>
              <w:autoSpaceDE/>
              <w:autoSpaceDN/>
              <w:bidi w:val="0"/>
              <w:snapToGrid w:val="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p>
        </w:tc>
      </w:tr>
      <w:tr w14:paraId="632AE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atLeast"/>
          <w:jc w:val="center"/>
        </w:trPr>
        <w:tc>
          <w:tcPr>
            <w:tcW w:w="1721" w:type="dxa"/>
            <w:vMerge w:val="continue"/>
            <w:noWrap w:val="0"/>
            <w:vAlign w:val="center"/>
          </w:tcPr>
          <w:p w14:paraId="4707D26C">
            <w:pPr>
              <w:rPr>
                <w:rFonts w:hint="eastAsia" w:ascii="宋体" w:hAnsi="宋体" w:eastAsia="宋体" w:cs="宋体"/>
                <w:color w:val="auto"/>
                <w:sz w:val="21"/>
                <w:szCs w:val="21"/>
                <w:highlight w:val="none"/>
              </w:rPr>
            </w:pPr>
          </w:p>
        </w:tc>
        <w:tc>
          <w:tcPr>
            <w:tcW w:w="5669" w:type="dxa"/>
            <w:noWrap w:val="0"/>
            <w:vAlign w:val="center"/>
          </w:tcPr>
          <w:p w14:paraId="4B9A6BD6">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b w:val="0"/>
                <w:bCs w:val="0"/>
                <w:sz w:val="21"/>
                <w:szCs w:val="21"/>
                <w:highlight w:val="none"/>
                <w:lang w:val="en-US" w:eastAsia="zh-CN"/>
              </w:rPr>
              <w:t>简化管理</w:t>
            </w:r>
          </w:p>
        </w:tc>
        <w:tc>
          <w:tcPr>
            <w:tcW w:w="1132" w:type="dxa"/>
            <w:noWrap w:val="0"/>
            <w:vAlign w:val="center"/>
          </w:tcPr>
          <w:p w14:paraId="6C841C6A">
            <w:pPr>
              <w:keepNext w:val="0"/>
              <w:keepLines w:val="0"/>
              <w:pageBreakBefore w:val="0"/>
              <w:widowControl w:val="0"/>
              <w:kinsoku/>
              <w:wordWrap/>
              <w:overflowPunct/>
              <w:topLinePunct w:val="0"/>
              <w:autoSpaceDE/>
              <w:autoSpaceDN/>
              <w:bidi w:val="0"/>
              <w:snapToGrid w:val="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p>
        </w:tc>
      </w:tr>
      <w:tr w14:paraId="0D6FE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atLeast"/>
          <w:jc w:val="center"/>
        </w:trPr>
        <w:tc>
          <w:tcPr>
            <w:tcW w:w="1721" w:type="dxa"/>
            <w:vMerge w:val="continue"/>
            <w:noWrap w:val="0"/>
            <w:vAlign w:val="center"/>
          </w:tcPr>
          <w:p w14:paraId="08F5BDE8">
            <w:pPr>
              <w:rPr>
                <w:rFonts w:hint="eastAsia" w:ascii="宋体" w:hAnsi="宋体" w:eastAsia="宋体" w:cs="宋体"/>
                <w:color w:val="auto"/>
                <w:sz w:val="21"/>
                <w:szCs w:val="21"/>
                <w:highlight w:val="none"/>
              </w:rPr>
            </w:pPr>
          </w:p>
        </w:tc>
        <w:tc>
          <w:tcPr>
            <w:tcW w:w="5669" w:type="dxa"/>
            <w:noWrap w:val="0"/>
            <w:vAlign w:val="center"/>
          </w:tcPr>
          <w:p w14:paraId="1614F1AB">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jc w:val="both"/>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重点管理</w:t>
            </w:r>
          </w:p>
        </w:tc>
        <w:tc>
          <w:tcPr>
            <w:tcW w:w="1132" w:type="dxa"/>
            <w:noWrap w:val="0"/>
            <w:vAlign w:val="center"/>
          </w:tcPr>
          <w:p w14:paraId="50E3D643">
            <w:pPr>
              <w:keepNext w:val="0"/>
              <w:keepLines w:val="0"/>
              <w:pageBreakBefore w:val="0"/>
              <w:widowControl w:val="0"/>
              <w:kinsoku/>
              <w:wordWrap/>
              <w:overflowPunct/>
              <w:topLinePunct w:val="0"/>
              <w:autoSpaceDE/>
              <w:autoSpaceDN/>
              <w:bidi w:val="0"/>
              <w:snapToGrid w:val="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r>
      <w:tr w14:paraId="08FCC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atLeast"/>
          <w:jc w:val="center"/>
        </w:trPr>
        <w:tc>
          <w:tcPr>
            <w:tcW w:w="1721" w:type="dxa"/>
            <w:vMerge w:val="continue"/>
            <w:noWrap w:val="0"/>
            <w:vAlign w:val="center"/>
          </w:tcPr>
          <w:p w14:paraId="7F63725B">
            <w:pPr>
              <w:rPr>
                <w:rFonts w:hint="eastAsia" w:ascii="宋体" w:hAnsi="宋体" w:eastAsia="宋体" w:cs="宋体"/>
                <w:color w:val="auto"/>
                <w:sz w:val="21"/>
                <w:szCs w:val="21"/>
                <w:highlight w:val="none"/>
              </w:rPr>
            </w:pPr>
          </w:p>
        </w:tc>
        <w:tc>
          <w:tcPr>
            <w:tcW w:w="5669" w:type="dxa"/>
            <w:noWrap w:val="0"/>
            <w:vAlign w:val="center"/>
          </w:tcPr>
          <w:p w14:paraId="3967F646">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b w:val="0"/>
                <w:bCs w:val="0"/>
                <w:sz w:val="21"/>
                <w:szCs w:val="21"/>
                <w:highlight w:val="none"/>
                <w:lang w:val="en-US" w:eastAsia="zh-CN"/>
              </w:rPr>
              <w:t>重点管理（钢铁、石化、化工、电镀、皮革、造纸、冶炼、印染、染料、水泥、煤电、陶瓷、采矿、放射性、危废经营、垃圾焚烧发电、平板玻璃，“两高”项目）</w:t>
            </w:r>
          </w:p>
        </w:tc>
        <w:tc>
          <w:tcPr>
            <w:tcW w:w="1132" w:type="dxa"/>
            <w:noWrap w:val="0"/>
            <w:vAlign w:val="center"/>
          </w:tcPr>
          <w:p w14:paraId="622F1E08">
            <w:pPr>
              <w:keepNext w:val="0"/>
              <w:keepLines w:val="0"/>
              <w:pageBreakBefore w:val="0"/>
              <w:widowControl w:val="0"/>
              <w:kinsoku/>
              <w:wordWrap/>
              <w:overflowPunct/>
              <w:topLinePunct w:val="0"/>
              <w:autoSpaceDE/>
              <w:autoSpaceDN/>
              <w:bidi w:val="0"/>
              <w:snapToGrid w:val="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p>
        </w:tc>
      </w:tr>
      <w:tr w14:paraId="3E13F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atLeast"/>
          <w:jc w:val="center"/>
        </w:trPr>
        <w:tc>
          <w:tcPr>
            <w:tcW w:w="1721" w:type="dxa"/>
            <w:vMerge w:val="restart"/>
            <w:noWrap w:val="0"/>
            <w:vAlign w:val="center"/>
          </w:tcPr>
          <w:p w14:paraId="0B3927B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污染物</w:t>
            </w:r>
            <w:r>
              <w:rPr>
                <w:rFonts w:hint="eastAsia" w:ascii="宋体" w:hAnsi="宋体" w:eastAsia="宋体" w:cs="宋体"/>
                <w:color w:val="auto"/>
                <w:sz w:val="21"/>
                <w:szCs w:val="21"/>
                <w:highlight w:val="none"/>
              </w:rPr>
              <w:t>类别</w:t>
            </w:r>
          </w:p>
        </w:tc>
        <w:tc>
          <w:tcPr>
            <w:tcW w:w="5669" w:type="dxa"/>
            <w:noWrap w:val="0"/>
            <w:vAlign w:val="top"/>
          </w:tcPr>
          <w:p w14:paraId="1D3AB6AB">
            <w:pPr>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一般废气、废水、固体废物、噪声、畜禽养殖废水</w:t>
            </w:r>
          </w:p>
        </w:tc>
        <w:tc>
          <w:tcPr>
            <w:tcW w:w="1132" w:type="dxa"/>
            <w:noWrap w:val="0"/>
            <w:vAlign w:val="center"/>
          </w:tcPr>
          <w:p w14:paraId="1D47003D">
            <w:pPr>
              <w:keepNext w:val="0"/>
              <w:keepLines w:val="0"/>
              <w:pageBreakBefore w:val="0"/>
              <w:widowControl w:val="0"/>
              <w:kinsoku/>
              <w:wordWrap/>
              <w:overflowPunct/>
              <w:topLinePunct w:val="0"/>
              <w:autoSpaceDE/>
              <w:autoSpaceDN/>
              <w:bidi w:val="0"/>
              <w:snapToGrid w:val="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11F77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atLeast"/>
          <w:jc w:val="center"/>
        </w:trPr>
        <w:tc>
          <w:tcPr>
            <w:tcW w:w="1721" w:type="dxa"/>
            <w:vMerge w:val="continue"/>
            <w:noWrap w:val="0"/>
            <w:vAlign w:val="center"/>
          </w:tcPr>
          <w:p w14:paraId="56FEF7F9">
            <w:pPr>
              <w:jc w:val="center"/>
              <w:rPr>
                <w:rFonts w:hint="eastAsia" w:ascii="宋体" w:hAnsi="宋体" w:eastAsia="宋体" w:cs="宋体"/>
                <w:color w:val="auto"/>
                <w:sz w:val="21"/>
                <w:szCs w:val="21"/>
                <w:highlight w:val="none"/>
              </w:rPr>
            </w:pPr>
          </w:p>
        </w:tc>
        <w:tc>
          <w:tcPr>
            <w:tcW w:w="5669" w:type="dxa"/>
            <w:noWrap w:val="0"/>
            <w:vAlign w:val="top"/>
          </w:tcPr>
          <w:p w14:paraId="003A52AB">
            <w:pPr>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火电、钢铁、石化、水泥、炼焦、有色、化工废气/医疗废水</w:t>
            </w:r>
          </w:p>
        </w:tc>
        <w:tc>
          <w:tcPr>
            <w:tcW w:w="1132" w:type="dxa"/>
            <w:noWrap w:val="0"/>
            <w:vAlign w:val="center"/>
          </w:tcPr>
          <w:p w14:paraId="4BA25CDC">
            <w:pPr>
              <w:keepNext w:val="0"/>
              <w:keepLines w:val="0"/>
              <w:pageBreakBefore w:val="0"/>
              <w:widowControl w:val="0"/>
              <w:kinsoku/>
              <w:wordWrap/>
              <w:overflowPunct/>
              <w:topLinePunct w:val="0"/>
              <w:autoSpaceDE/>
              <w:autoSpaceDN/>
              <w:bidi w:val="0"/>
              <w:snapToGrid w:val="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p>
        </w:tc>
      </w:tr>
      <w:tr w14:paraId="32CCE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atLeast"/>
          <w:jc w:val="center"/>
        </w:trPr>
        <w:tc>
          <w:tcPr>
            <w:tcW w:w="1721" w:type="dxa"/>
            <w:vMerge w:val="continue"/>
            <w:noWrap w:val="0"/>
            <w:vAlign w:val="center"/>
          </w:tcPr>
          <w:p w14:paraId="05E297C2">
            <w:pPr>
              <w:jc w:val="center"/>
              <w:rPr>
                <w:rFonts w:hint="eastAsia" w:ascii="宋体" w:hAnsi="宋体" w:eastAsia="宋体" w:cs="宋体"/>
                <w:color w:val="auto"/>
                <w:sz w:val="21"/>
                <w:szCs w:val="21"/>
                <w:highlight w:val="none"/>
              </w:rPr>
            </w:pPr>
          </w:p>
        </w:tc>
        <w:tc>
          <w:tcPr>
            <w:tcW w:w="5669" w:type="dxa"/>
            <w:noWrap w:val="0"/>
            <w:vAlign w:val="top"/>
          </w:tcPr>
          <w:p w14:paraId="4DAB255A">
            <w:pPr>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含有毒有害物质的废气、废水／含一类污染物或重金属、病原体、放射性物质的废水／危险废物</w:t>
            </w:r>
          </w:p>
        </w:tc>
        <w:tc>
          <w:tcPr>
            <w:tcW w:w="1132" w:type="dxa"/>
            <w:noWrap w:val="0"/>
            <w:vAlign w:val="center"/>
          </w:tcPr>
          <w:p w14:paraId="341CB5DE">
            <w:pPr>
              <w:keepNext w:val="0"/>
              <w:keepLines w:val="0"/>
              <w:pageBreakBefore w:val="0"/>
              <w:widowControl w:val="0"/>
              <w:kinsoku/>
              <w:wordWrap/>
              <w:overflowPunct/>
              <w:topLinePunct w:val="0"/>
              <w:autoSpaceDE/>
              <w:autoSpaceDN/>
              <w:bidi w:val="0"/>
              <w:snapToGrid w:val="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p>
        </w:tc>
      </w:tr>
      <w:tr w14:paraId="1AD94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1" w:type="dxa"/>
            <w:noWrap w:val="0"/>
            <w:vAlign w:val="center"/>
          </w:tcPr>
          <w:p w14:paraId="75EA1C4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备注</w:t>
            </w:r>
          </w:p>
        </w:tc>
        <w:tc>
          <w:tcPr>
            <w:tcW w:w="6801" w:type="dxa"/>
            <w:gridSpan w:val="2"/>
            <w:noWrap w:val="0"/>
            <w:vAlign w:val="top"/>
          </w:tcPr>
          <w:p w14:paraId="3DFE5EFC">
            <w:pPr>
              <w:keepNext w:val="0"/>
              <w:keepLines w:val="0"/>
              <w:pageBreakBefore w:val="0"/>
              <w:widowControl w:val="0"/>
              <w:kinsoku/>
              <w:wordWrap/>
              <w:overflowPunct/>
              <w:topLinePunct w:val="0"/>
              <w:autoSpaceDE/>
              <w:autoSpaceDN/>
              <w:bidi w:val="0"/>
              <w:adjustRightInd/>
              <w:snapToGrid w:val="0"/>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涉及多种污染物类别时，</w:t>
            </w:r>
            <w:r>
              <w:rPr>
                <w:rFonts w:hint="eastAsia" w:ascii="宋体" w:hAnsi="宋体" w:cs="宋体"/>
                <w:color w:val="auto"/>
                <w:sz w:val="21"/>
                <w:szCs w:val="21"/>
                <w:highlight w:val="none"/>
                <w:lang w:eastAsia="zh-CN"/>
              </w:rPr>
              <w:t>裁量</w:t>
            </w:r>
            <w:r>
              <w:rPr>
                <w:rFonts w:hint="eastAsia" w:ascii="宋体" w:hAnsi="宋体" w:eastAsia="宋体" w:cs="宋体"/>
                <w:color w:val="auto"/>
                <w:sz w:val="21"/>
                <w:szCs w:val="21"/>
                <w:highlight w:val="none"/>
              </w:rPr>
              <w:t>标准以裁量等级最高为准</w:t>
            </w:r>
          </w:p>
        </w:tc>
      </w:tr>
    </w:tbl>
    <w:p w14:paraId="01E1252F">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7"/>
        <w:gridCol w:w="5952"/>
        <w:gridCol w:w="1189"/>
      </w:tblGrid>
      <w:tr w14:paraId="68ABB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3"/>
            <w:noWrap w:val="0"/>
            <w:vAlign w:val="top"/>
          </w:tcPr>
          <w:p w14:paraId="5A2EB115">
            <w:pPr>
              <w:jc w:val="center"/>
              <w:rPr>
                <w:rFonts w:hint="eastAsia" w:ascii="宋体" w:hAnsi="宋体" w:eastAsia="宋体" w:cs="宋体"/>
                <w:color w:val="auto"/>
                <w:sz w:val="21"/>
                <w:szCs w:val="21"/>
                <w:highlight w:val="none"/>
                <w:lang w:eastAsia="zh-CN"/>
              </w:rPr>
            </w:pPr>
            <w:r>
              <w:rPr>
                <w:rFonts w:hint="eastAsia" w:ascii="宋体" w:hAnsi="宋体" w:eastAsia="宋体" w:cs="宋体"/>
                <w:bCs/>
                <w:color w:val="auto"/>
                <w:sz w:val="21"/>
                <w:szCs w:val="21"/>
                <w:highlight w:val="none"/>
                <w:lang w:eastAsia="zh-CN"/>
              </w:rPr>
              <w:t>（十三）其他类</w:t>
            </w:r>
          </w:p>
        </w:tc>
      </w:tr>
      <w:tr w14:paraId="298CC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1" w:type="dxa"/>
            <w:noWrap w:val="0"/>
            <w:vAlign w:val="top"/>
          </w:tcPr>
          <w:p w14:paraId="5083DAD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801" w:type="dxa"/>
            <w:gridSpan w:val="2"/>
            <w:noWrap w:val="0"/>
            <w:vAlign w:val="top"/>
          </w:tcPr>
          <w:p w14:paraId="4426DE19">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w:t>
            </w:r>
          </w:p>
        </w:tc>
      </w:tr>
      <w:tr w14:paraId="1F208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1" w:type="dxa"/>
            <w:noWrap w:val="0"/>
            <w:vAlign w:val="center"/>
          </w:tcPr>
          <w:p w14:paraId="1C8E40C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6801" w:type="dxa"/>
            <w:gridSpan w:val="2"/>
            <w:noWrap w:val="0"/>
            <w:vAlign w:val="center"/>
          </w:tcPr>
          <w:p w14:paraId="20EE4862">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企业事业单位和其他生产经营者应急预案未报备案</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情节严重的</w:t>
            </w:r>
          </w:p>
        </w:tc>
      </w:tr>
      <w:tr w14:paraId="4E794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1" w:type="dxa"/>
            <w:noWrap w:val="0"/>
            <w:vAlign w:val="center"/>
          </w:tcPr>
          <w:p w14:paraId="00EAC35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6801" w:type="dxa"/>
            <w:gridSpan w:val="2"/>
            <w:noWrap w:val="0"/>
            <w:vAlign w:val="top"/>
          </w:tcPr>
          <w:p w14:paraId="5E7D8F44">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《中华人民共和国生态环境法典》第一百二十三条</w:t>
            </w:r>
            <w:r>
              <w:rPr>
                <w:rFonts w:hint="eastAsia" w:ascii="宋体" w:hAnsi="宋体" w:eastAsia="宋体" w:cs="宋体"/>
                <w:color w:val="auto"/>
                <w:sz w:val="21"/>
                <w:szCs w:val="21"/>
                <w:highlight w:val="none"/>
                <w:lang w:val="en-US" w:eastAsia="zh-CN"/>
              </w:rPr>
              <w:t>第二款</w:t>
            </w:r>
            <w:r>
              <w:rPr>
                <w:rFonts w:hint="eastAsia" w:ascii="宋体" w:hAnsi="宋体" w:eastAsia="宋体" w:cs="宋体"/>
                <w:color w:val="auto"/>
                <w:sz w:val="21"/>
                <w:szCs w:val="21"/>
                <w:highlight w:val="none"/>
              </w:rPr>
              <w:t>　企业事业单位和其他生产经营者应当按照国家规定制定突发生态环境事件应急预案，报生态环境等有关部门备案。</w:t>
            </w:r>
          </w:p>
          <w:p w14:paraId="6188581E">
            <w:pPr>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《中华人民共和国生态环境法典》</w:t>
            </w:r>
            <w:r>
              <w:rPr>
                <w:rFonts w:hint="eastAsia" w:ascii="宋体" w:hAnsi="宋体" w:eastAsia="宋体" w:cs="宋体"/>
                <w:color w:val="auto"/>
                <w:sz w:val="21"/>
                <w:szCs w:val="21"/>
                <w:highlight w:val="none"/>
                <w:lang w:val="en-US" w:eastAsia="zh-CN"/>
              </w:rPr>
              <w:t>第三百四十五条第六款 可能发生海洋污染事件的单位，应当按照规定制定本单位的应急预案，配备应急设备和器材，定期组织开展应急演练；应急预案应当报负有海洋生态环境保护监督管理职责的部门、机构备案。</w:t>
            </w:r>
          </w:p>
        </w:tc>
      </w:tr>
      <w:tr w14:paraId="596BD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1" w:type="dxa"/>
            <w:noWrap w:val="0"/>
            <w:vAlign w:val="center"/>
          </w:tcPr>
          <w:p w14:paraId="3FED497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6801" w:type="dxa"/>
            <w:gridSpan w:val="2"/>
            <w:noWrap w:val="0"/>
            <w:vAlign w:val="top"/>
          </w:tcPr>
          <w:p w14:paraId="2D90519F">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《中华人民共和国生态环境法典》第一千二百三十五条</w:t>
            </w:r>
            <w:r>
              <w:rPr>
                <w:rFonts w:hint="eastAsia" w:ascii="宋体" w:hAnsi="宋体" w:eastAsia="宋体" w:cs="宋体"/>
                <w:color w:val="auto"/>
                <w:sz w:val="21"/>
                <w:szCs w:val="21"/>
                <w:highlight w:val="none"/>
                <w:lang w:val="en-US" w:eastAsia="zh-CN"/>
              </w:rPr>
              <w:t>第</w:t>
            </w:r>
            <w:r>
              <w:rPr>
                <w:rFonts w:hint="eastAsia" w:ascii="宋体" w:hAnsi="宋体" w:cs="宋体"/>
                <w:color w:val="auto"/>
                <w:sz w:val="21"/>
                <w:szCs w:val="21"/>
                <w:highlight w:val="none"/>
                <w:lang w:val="en-US" w:eastAsia="zh-CN"/>
              </w:rPr>
              <w:t>二</w:t>
            </w:r>
            <w:r>
              <w:rPr>
                <w:rFonts w:hint="eastAsia" w:ascii="宋体" w:hAnsi="宋体" w:eastAsia="宋体" w:cs="宋体"/>
                <w:color w:val="auto"/>
                <w:sz w:val="21"/>
                <w:szCs w:val="21"/>
                <w:highlight w:val="none"/>
                <w:lang w:val="en-US" w:eastAsia="zh-CN"/>
              </w:rPr>
              <w:t>项</w:t>
            </w:r>
            <w:r>
              <w:rPr>
                <w:rFonts w:hint="eastAsia" w:ascii="宋体" w:hAnsi="宋体" w:eastAsia="宋体" w:cs="宋体"/>
                <w:color w:val="auto"/>
                <w:sz w:val="21"/>
                <w:szCs w:val="21"/>
                <w:highlight w:val="none"/>
              </w:rPr>
              <w:t>　违反本法规定，企业事业单位和其他生产经营者有下列情形之一的，由负有生态环境保护监督管理职责的部门、机构按照职责分工责令改正；情节严重的，处一万元以上五万元以下的罚款：</w:t>
            </w:r>
          </w:p>
          <w:p w14:paraId="15D97698">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（二）应急预案未报备案。</w:t>
            </w:r>
          </w:p>
        </w:tc>
      </w:tr>
      <w:tr w14:paraId="29253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1" w:type="dxa"/>
            <w:noWrap w:val="0"/>
            <w:vAlign w:val="center"/>
          </w:tcPr>
          <w:p w14:paraId="41F9E0C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669" w:type="dxa"/>
            <w:noWrap w:val="0"/>
            <w:vAlign w:val="top"/>
          </w:tcPr>
          <w:p w14:paraId="78DF3EC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132" w:type="dxa"/>
            <w:noWrap w:val="0"/>
            <w:vAlign w:val="top"/>
          </w:tcPr>
          <w:p w14:paraId="30C4327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42978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atLeast"/>
          <w:jc w:val="center"/>
        </w:trPr>
        <w:tc>
          <w:tcPr>
            <w:tcW w:w="1721" w:type="dxa"/>
            <w:vMerge w:val="restart"/>
            <w:noWrap w:val="0"/>
            <w:vAlign w:val="center"/>
          </w:tcPr>
          <w:p w14:paraId="3302EB4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排污许可单位</w:t>
            </w:r>
          </w:p>
          <w:p w14:paraId="7B45EBB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管理类别</w:t>
            </w:r>
          </w:p>
        </w:tc>
        <w:tc>
          <w:tcPr>
            <w:tcW w:w="5669" w:type="dxa"/>
            <w:noWrap w:val="0"/>
            <w:vAlign w:val="center"/>
          </w:tcPr>
          <w:p w14:paraId="62489F07">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b w:val="0"/>
                <w:bCs w:val="0"/>
                <w:sz w:val="21"/>
                <w:szCs w:val="21"/>
                <w:highlight w:val="none"/>
                <w:lang w:val="en-US" w:eastAsia="zh-CN"/>
              </w:rPr>
              <w:t>不实行排污许可管理</w:t>
            </w:r>
          </w:p>
        </w:tc>
        <w:tc>
          <w:tcPr>
            <w:tcW w:w="1132" w:type="dxa"/>
            <w:noWrap w:val="0"/>
            <w:vAlign w:val="center"/>
          </w:tcPr>
          <w:p w14:paraId="219204A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p>
        </w:tc>
      </w:tr>
      <w:tr w14:paraId="19A02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atLeast"/>
          <w:jc w:val="center"/>
        </w:trPr>
        <w:tc>
          <w:tcPr>
            <w:tcW w:w="1721" w:type="dxa"/>
            <w:vMerge w:val="continue"/>
            <w:noWrap w:val="0"/>
            <w:vAlign w:val="center"/>
          </w:tcPr>
          <w:p w14:paraId="0A7164BB">
            <w:pPr>
              <w:rPr>
                <w:rFonts w:hint="eastAsia" w:ascii="宋体" w:hAnsi="宋体" w:eastAsia="宋体" w:cs="宋体"/>
                <w:color w:val="auto"/>
                <w:sz w:val="21"/>
                <w:szCs w:val="21"/>
                <w:highlight w:val="none"/>
              </w:rPr>
            </w:pPr>
          </w:p>
        </w:tc>
        <w:tc>
          <w:tcPr>
            <w:tcW w:w="5669" w:type="dxa"/>
            <w:noWrap w:val="0"/>
            <w:vAlign w:val="center"/>
          </w:tcPr>
          <w:p w14:paraId="66AA0C76">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b w:val="0"/>
                <w:bCs w:val="0"/>
                <w:sz w:val="21"/>
                <w:szCs w:val="21"/>
                <w:highlight w:val="none"/>
                <w:lang w:val="en-US" w:eastAsia="zh-CN"/>
              </w:rPr>
              <w:t>简化管理</w:t>
            </w:r>
          </w:p>
        </w:tc>
        <w:tc>
          <w:tcPr>
            <w:tcW w:w="1132" w:type="dxa"/>
            <w:noWrap w:val="0"/>
            <w:vAlign w:val="center"/>
          </w:tcPr>
          <w:p w14:paraId="4054865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p>
        </w:tc>
      </w:tr>
      <w:tr w14:paraId="43BC5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atLeast"/>
          <w:jc w:val="center"/>
        </w:trPr>
        <w:tc>
          <w:tcPr>
            <w:tcW w:w="1721" w:type="dxa"/>
            <w:vMerge w:val="continue"/>
            <w:noWrap w:val="0"/>
            <w:vAlign w:val="center"/>
          </w:tcPr>
          <w:p w14:paraId="2E6B7756">
            <w:pPr>
              <w:rPr>
                <w:rFonts w:hint="eastAsia" w:ascii="宋体" w:hAnsi="宋体" w:eastAsia="宋体" w:cs="宋体"/>
                <w:color w:val="auto"/>
                <w:sz w:val="21"/>
                <w:szCs w:val="21"/>
                <w:highlight w:val="none"/>
              </w:rPr>
            </w:pPr>
          </w:p>
        </w:tc>
        <w:tc>
          <w:tcPr>
            <w:tcW w:w="5669" w:type="dxa"/>
            <w:noWrap w:val="0"/>
            <w:vAlign w:val="center"/>
          </w:tcPr>
          <w:p w14:paraId="51BD5A3D">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b w:val="0"/>
                <w:bCs w:val="0"/>
                <w:sz w:val="21"/>
                <w:szCs w:val="21"/>
                <w:highlight w:val="none"/>
                <w:lang w:val="en-US" w:eastAsia="zh-CN"/>
              </w:rPr>
              <w:t>重点管理</w:t>
            </w:r>
          </w:p>
        </w:tc>
        <w:tc>
          <w:tcPr>
            <w:tcW w:w="1132" w:type="dxa"/>
            <w:noWrap w:val="0"/>
            <w:vAlign w:val="center"/>
          </w:tcPr>
          <w:p w14:paraId="2D91291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p>
        </w:tc>
      </w:tr>
      <w:tr w14:paraId="6363B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atLeast"/>
          <w:jc w:val="center"/>
        </w:trPr>
        <w:tc>
          <w:tcPr>
            <w:tcW w:w="1721" w:type="dxa"/>
            <w:vMerge w:val="continue"/>
            <w:noWrap w:val="0"/>
            <w:vAlign w:val="center"/>
          </w:tcPr>
          <w:p w14:paraId="1C9FF176">
            <w:pPr>
              <w:rPr>
                <w:rFonts w:hint="eastAsia" w:ascii="宋体" w:hAnsi="宋体" w:eastAsia="宋体" w:cs="宋体"/>
                <w:color w:val="auto"/>
                <w:sz w:val="21"/>
                <w:szCs w:val="21"/>
                <w:highlight w:val="none"/>
              </w:rPr>
            </w:pPr>
          </w:p>
        </w:tc>
        <w:tc>
          <w:tcPr>
            <w:tcW w:w="5669" w:type="dxa"/>
            <w:noWrap w:val="0"/>
            <w:vAlign w:val="center"/>
          </w:tcPr>
          <w:p w14:paraId="10B26C9D">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both"/>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重点管理（钢铁、石化、化工、电镀、皮革、造纸、冶炼、印染、染料、水泥、煤电、陶瓷、采矿、放射性、危废经营、垃圾焚烧发电、平板玻璃，“两高”项目）</w:t>
            </w:r>
          </w:p>
        </w:tc>
        <w:tc>
          <w:tcPr>
            <w:tcW w:w="1132" w:type="dxa"/>
            <w:noWrap w:val="0"/>
            <w:vAlign w:val="center"/>
          </w:tcPr>
          <w:p w14:paraId="5879A951">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r>
      <w:tr w14:paraId="63E5E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atLeast"/>
          <w:jc w:val="center"/>
        </w:trPr>
        <w:tc>
          <w:tcPr>
            <w:tcW w:w="1721" w:type="dxa"/>
            <w:vMerge w:val="restart"/>
            <w:noWrap w:val="0"/>
            <w:vAlign w:val="center"/>
          </w:tcPr>
          <w:p w14:paraId="3A29EBC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污染物</w:t>
            </w:r>
            <w:r>
              <w:rPr>
                <w:rFonts w:hint="eastAsia" w:ascii="宋体" w:hAnsi="宋体" w:eastAsia="宋体" w:cs="宋体"/>
                <w:color w:val="auto"/>
                <w:sz w:val="21"/>
                <w:szCs w:val="21"/>
                <w:highlight w:val="none"/>
              </w:rPr>
              <w:t>类别</w:t>
            </w:r>
          </w:p>
        </w:tc>
        <w:tc>
          <w:tcPr>
            <w:tcW w:w="5669" w:type="dxa"/>
            <w:noWrap w:val="0"/>
            <w:vAlign w:val="top"/>
          </w:tcPr>
          <w:p w14:paraId="094197A3">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一般废气、废水、固体废物、噪声、畜禽养殖废水</w:t>
            </w:r>
          </w:p>
        </w:tc>
        <w:tc>
          <w:tcPr>
            <w:tcW w:w="1132" w:type="dxa"/>
            <w:noWrap w:val="0"/>
            <w:vAlign w:val="center"/>
          </w:tcPr>
          <w:p w14:paraId="75DC4B6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15B1B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atLeast"/>
          <w:jc w:val="center"/>
        </w:trPr>
        <w:tc>
          <w:tcPr>
            <w:tcW w:w="1721" w:type="dxa"/>
            <w:vMerge w:val="continue"/>
            <w:noWrap w:val="0"/>
            <w:vAlign w:val="center"/>
          </w:tcPr>
          <w:p w14:paraId="6E848B4B">
            <w:pPr>
              <w:jc w:val="center"/>
              <w:rPr>
                <w:rFonts w:hint="eastAsia" w:ascii="宋体" w:hAnsi="宋体" w:eastAsia="宋体" w:cs="宋体"/>
                <w:color w:val="auto"/>
                <w:sz w:val="21"/>
                <w:szCs w:val="21"/>
                <w:highlight w:val="none"/>
              </w:rPr>
            </w:pPr>
          </w:p>
        </w:tc>
        <w:tc>
          <w:tcPr>
            <w:tcW w:w="5669" w:type="dxa"/>
            <w:noWrap w:val="0"/>
            <w:vAlign w:val="top"/>
          </w:tcPr>
          <w:p w14:paraId="55D7800A">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火电、钢铁、石化、水泥、炼焦、有色、化工废气/医疗废水</w:t>
            </w:r>
          </w:p>
        </w:tc>
        <w:tc>
          <w:tcPr>
            <w:tcW w:w="1132" w:type="dxa"/>
            <w:noWrap w:val="0"/>
            <w:vAlign w:val="center"/>
          </w:tcPr>
          <w:p w14:paraId="66105A4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p>
        </w:tc>
      </w:tr>
      <w:tr w14:paraId="2E6BA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atLeast"/>
          <w:jc w:val="center"/>
        </w:trPr>
        <w:tc>
          <w:tcPr>
            <w:tcW w:w="1721" w:type="dxa"/>
            <w:vMerge w:val="continue"/>
            <w:noWrap w:val="0"/>
            <w:vAlign w:val="center"/>
          </w:tcPr>
          <w:p w14:paraId="13565D7A">
            <w:pPr>
              <w:jc w:val="center"/>
              <w:rPr>
                <w:rFonts w:hint="eastAsia" w:ascii="宋体" w:hAnsi="宋体" w:eastAsia="宋体" w:cs="宋体"/>
                <w:color w:val="auto"/>
                <w:sz w:val="21"/>
                <w:szCs w:val="21"/>
                <w:highlight w:val="none"/>
              </w:rPr>
            </w:pPr>
          </w:p>
        </w:tc>
        <w:tc>
          <w:tcPr>
            <w:tcW w:w="5669" w:type="dxa"/>
            <w:noWrap w:val="0"/>
            <w:vAlign w:val="top"/>
          </w:tcPr>
          <w:p w14:paraId="31CFF2DA">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含有毒有害物质的废气、废水／含一类污染物或重金属、病原体、放射性物质的废水／危险废物</w:t>
            </w:r>
          </w:p>
        </w:tc>
        <w:tc>
          <w:tcPr>
            <w:tcW w:w="1132" w:type="dxa"/>
            <w:noWrap w:val="0"/>
            <w:vAlign w:val="center"/>
          </w:tcPr>
          <w:p w14:paraId="0340218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p>
        </w:tc>
      </w:tr>
      <w:tr w14:paraId="5D04A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1" w:type="dxa"/>
            <w:noWrap w:val="0"/>
            <w:vAlign w:val="center"/>
          </w:tcPr>
          <w:p w14:paraId="52015EF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备注</w:t>
            </w:r>
          </w:p>
        </w:tc>
        <w:tc>
          <w:tcPr>
            <w:tcW w:w="6801" w:type="dxa"/>
            <w:gridSpan w:val="2"/>
            <w:noWrap w:val="0"/>
            <w:vAlign w:val="top"/>
          </w:tcPr>
          <w:p w14:paraId="51468395">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涉及多种污染物类别时，</w:t>
            </w:r>
            <w:r>
              <w:rPr>
                <w:rFonts w:hint="eastAsia" w:ascii="宋体" w:hAnsi="宋体" w:cs="宋体"/>
                <w:color w:val="auto"/>
                <w:sz w:val="21"/>
                <w:szCs w:val="21"/>
                <w:highlight w:val="none"/>
                <w:lang w:eastAsia="zh-CN"/>
              </w:rPr>
              <w:t>裁量</w:t>
            </w:r>
            <w:r>
              <w:rPr>
                <w:rFonts w:hint="eastAsia" w:ascii="宋体" w:hAnsi="宋体" w:eastAsia="宋体" w:cs="宋体"/>
                <w:color w:val="auto"/>
                <w:sz w:val="21"/>
                <w:szCs w:val="21"/>
                <w:highlight w:val="none"/>
              </w:rPr>
              <w:t>标准以裁量等级最高为准</w:t>
            </w:r>
          </w:p>
        </w:tc>
      </w:tr>
    </w:tbl>
    <w:p w14:paraId="49705511">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p w14:paraId="13B70BB0">
      <w:pPr>
        <w:rPr>
          <w:rFonts w:hint="eastAsia" w:ascii="宋体" w:hAnsi="宋体" w:eastAsia="宋体" w:cs="宋体"/>
          <w:sz w:val="21"/>
          <w:szCs w:val="21"/>
          <w:highlight w:val="none"/>
        </w:rPr>
      </w:pP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7"/>
        <w:gridCol w:w="5952"/>
        <w:gridCol w:w="1189"/>
      </w:tblGrid>
      <w:tr w14:paraId="34DC2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3"/>
            <w:noWrap w:val="0"/>
            <w:vAlign w:val="top"/>
          </w:tcPr>
          <w:p w14:paraId="756E7CB2">
            <w:pPr>
              <w:jc w:val="center"/>
              <w:rPr>
                <w:rFonts w:hint="eastAsia" w:ascii="宋体" w:hAnsi="宋体" w:eastAsia="宋体" w:cs="宋体"/>
                <w:color w:val="auto"/>
                <w:sz w:val="21"/>
                <w:szCs w:val="21"/>
                <w:highlight w:val="none"/>
                <w:lang w:eastAsia="zh-CN"/>
              </w:rPr>
            </w:pPr>
            <w:r>
              <w:rPr>
                <w:rFonts w:hint="eastAsia" w:ascii="宋体" w:hAnsi="宋体" w:eastAsia="宋体" w:cs="宋体"/>
                <w:bCs/>
                <w:color w:val="auto"/>
                <w:sz w:val="21"/>
                <w:szCs w:val="21"/>
                <w:highlight w:val="none"/>
                <w:lang w:eastAsia="zh-CN"/>
              </w:rPr>
              <w:t>（十三）其他类</w:t>
            </w:r>
          </w:p>
        </w:tc>
      </w:tr>
      <w:tr w14:paraId="400F7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1" w:type="dxa"/>
            <w:noWrap w:val="0"/>
            <w:vAlign w:val="top"/>
          </w:tcPr>
          <w:p w14:paraId="22FB29F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801" w:type="dxa"/>
            <w:gridSpan w:val="2"/>
            <w:noWrap w:val="0"/>
            <w:vAlign w:val="top"/>
          </w:tcPr>
          <w:p w14:paraId="610E5232">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strike w:val="0"/>
                <w:dstrike w:val="0"/>
                <w:color w:val="auto"/>
                <w:sz w:val="21"/>
                <w:szCs w:val="21"/>
                <w:highlight w:val="none"/>
                <w:lang w:val="en-US" w:eastAsia="zh-CN"/>
              </w:rPr>
              <w:t>8</w:t>
            </w:r>
          </w:p>
        </w:tc>
      </w:tr>
      <w:tr w14:paraId="23B29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1" w:type="dxa"/>
            <w:noWrap w:val="0"/>
            <w:vAlign w:val="center"/>
          </w:tcPr>
          <w:p w14:paraId="14B8EF6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6801" w:type="dxa"/>
            <w:gridSpan w:val="2"/>
            <w:noWrap w:val="0"/>
            <w:vAlign w:val="center"/>
          </w:tcPr>
          <w:p w14:paraId="7654A0FD">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企业事业单位和其他生产经营者未配备应急设备、器材，情节严重的</w:t>
            </w:r>
          </w:p>
        </w:tc>
      </w:tr>
      <w:tr w14:paraId="7D8B2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1" w:type="dxa"/>
            <w:noWrap w:val="0"/>
            <w:vAlign w:val="center"/>
          </w:tcPr>
          <w:p w14:paraId="2D11BF6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6801" w:type="dxa"/>
            <w:gridSpan w:val="2"/>
            <w:noWrap w:val="0"/>
            <w:vAlign w:val="top"/>
          </w:tcPr>
          <w:p w14:paraId="42FE065A">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《中华人民共和国生态环境法典》第一百二十一条</w:t>
            </w:r>
            <w:r>
              <w:rPr>
                <w:rFonts w:hint="eastAsia" w:ascii="宋体" w:hAnsi="宋体" w:eastAsia="宋体" w:cs="宋体"/>
                <w:color w:val="auto"/>
                <w:sz w:val="21"/>
                <w:szCs w:val="21"/>
                <w:highlight w:val="none"/>
                <w:lang w:val="en-US" w:eastAsia="zh-CN"/>
              </w:rPr>
              <w:t>第二款</w:t>
            </w:r>
            <w:r>
              <w:rPr>
                <w:rFonts w:hint="eastAsia" w:ascii="宋体" w:hAnsi="宋体" w:eastAsia="宋体" w:cs="宋体"/>
                <w:color w:val="auto"/>
                <w:sz w:val="21"/>
                <w:szCs w:val="21"/>
                <w:highlight w:val="none"/>
              </w:rPr>
              <w:t>　企业事业单位和其他生产经营者应当按照国家规定储备必要的生态环境应急物资和装备，定期开展应急演练，做好应急准备。在发生或者可能发生突发生态环境事件时，企业事业单位和其他生产经营者应当立即采取措施处理，切断或者控制污染源，防止危害扩大，及时通报可能受到危害者，并向生态环境、应急管理等有关部门报告，接受调查处理。</w:t>
            </w:r>
          </w:p>
          <w:p w14:paraId="1F0C06EB">
            <w:pPr>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《中华人民共和国生态环境法典》</w:t>
            </w:r>
            <w:r>
              <w:rPr>
                <w:rFonts w:hint="eastAsia" w:ascii="宋体" w:hAnsi="宋体" w:eastAsia="宋体" w:cs="宋体"/>
                <w:color w:val="auto"/>
                <w:sz w:val="21"/>
                <w:szCs w:val="21"/>
                <w:highlight w:val="none"/>
                <w:lang w:val="en-US" w:eastAsia="zh-CN"/>
              </w:rPr>
              <w:t>第三百四十五条第六款 可能发生海洋污染事件的单位，应当按照规定制定本单位的应急预案，配备应急设备和器材，定期组织开展应急演练；应急预案应当报负有海洋生态环境保护监督管理职责的部门、机构备案。</w:t>
            </w:r>
          </w:p>
          <w:p w14:paraId="5C6488D6">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w:t>
            </w:r>
            <w:r>
              <w:rPr>
                <w:rFonts w:hint="eastAsia" w:ascii="宋体" w:hAnsi="宋体" w:eastAsia="宋体" w:cs="宋体"/>
                <w:color w:val="auto"/>
                <w:sz w:val="21"/>
                <w:szCs w:val="21"/>
                <w:highlight w:val="none"/>
                <w:lang w:val="en-US" w:eastAsia="zh-CN"/>
              </w:rPr>
              <w:t>第三百八十六条第四款 装卸污染危害性货物的港口、码头、装卸站和船舶应当制定污染应急预案，并配备相应的污染应急设备和器材。</w:t>
            </w:r>
          </w:p>
        </w:tc>
      </w:tr>
      <w:tr w14:paraId="29EC7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1" w:type="dxa"/>
            <w:noWrap w:val="0"/>
            <w:vAlign w:val="center"/>
          </w:tcPr>
          <w:p w14:paraId="084F8E0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6801" w:type="dxa"/>
            <w:gridSpan w:val="2"/>
            <w:noWrap w:val="0"/>
            <w:vAlign w:val="top"/>
          </w:tcPr>
          <w:p w14:paraId="10AFC8FF">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《中华人民共和国生态环境法典》第一千二百三十五条</w:t>
            </w:r>
            <w:r>
              <w:rPr>
                <w:rFonts w:hint="eastAsia" w:ascii="宋体" w:hAnsi="宋体" w:cs="宋体"/>
                <w:color w:val="auto"/>
                <w:sz w:val="21"/>
                <w:szCs w:val="21"/>
                <w:highlight w:val="none"/>
                <w:lang w:val="en-US" w:eastAsia="zh-CN"/>
              </w:rPr>
              <w:t>第三项</w:t>
            </w:r>
            <w:r>
              <w:rPr>
                <w:rFonts w:hint="eastAsia" w:ascii="宋体" w:hAnsi="宋体" w:eastAsia="宋体" w:cs="宋体"/>
                <w:color w:val="auto"/>
                <w:sz w:val="21"/>
                <w:szCs w:val="21"/>
                <w:highlight w:val="none"/>
              </w:rPr>
              <w:t>　违反本法规定，企业事业单位和其他生产经营者有下列情形之一的，由负有生态环境保护监督管理职责的部门、机构按照职责分工责令改正；情节严重的，处一万元以上五万元以下的罚款：</w:t>
            </w:r>
          </w:p>
          <w:p w14:paraId="663F2578">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（三）未配备应急设备、器材。</w:t>
            </w:r>
          </w:p>
        </w:tc>
      </w:tr>
      <w:tr w14:paraId="3711E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1" w:type="dxa"/>
            <w:noWrap w:val="0"/>
            <w:vAlign w:val="center"/>
          </w:tcPr>
          <w:p w14:paraId="41FEB96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669" w:type="dxa"/>
            <w:noWrap w:val="0"/>
            <w:vAlign w:val="top"/>
          </w:tcPr>
          <w:p w14:paraId="1D49E62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132" w:type="dxa"/>
            <w:noWrap w:val="0"/>
            <w:vAlign w:val="top"/>
          </w:tcPr>
          <w:p w14:paraId="169FF05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7C23B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1" w:type="dxa"/>
            <w:vMerge w:val="restart"/>
            <w:noWrap w:val="0"/>
            <w:vAlign w:val="center"/>
          </w:tcPr>
          <w:p w14:paraId="1B2123E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排污许可单位</w:t>
            </w:r>
          </w:p>
          <w:p w14:paraId="5191728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管理类别</w:t>
            </w:r>
          </w:p>
        </w:tc>
        <w:tc>
          <w:tcPr>
            <w:tcW w:w="5669" w:type="dxa"/>
            <w:noWrap w:val="0"/>
            <w:vAlign w:val="center"/>
          </w:tcPr>
          <w:p w14:paraId="15484F41">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b w:val="0"/>
                <w:bCs w:val="0"/>
                <w:sz w:val="21"/>
                <w:szCs w:val="21"/>
                <w:highlight w:val="none"/>
                <w:lang w:val="en-US" w:eastAsia="zh-CN"/>
              </w:rPr>
              <w:t>不实行排污许可管理</w:t>
            </w:r>
          </w:p>
        </w:tc>
        <w:tc>
          <w:tcPr>
            <w:tcW w:w="1132" w:type="dxa"/>
            <w:noWrap w:val="0"/>
            <w:vAlign w:val="center"/>
          </w:tcPr>
          <w:p w14:paraId="4719F6A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p>
        </w:tc>
      </w:tr>
      <w:tr w14:paraId="6E06D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atLeast"/>
          <w:jc w:val="center"/>
        </w:trPr>
        <w:tc>
          <w:tcPr>
            <w:tcW w:w="1721" w:type="dxa"/>
            <w:vMerge w:val="continue"/>
            <w:noWrap w:val="0"/>
            <w:vAlign w:val="center"/>
          </w:tcPr>
          <w:p w14:paraId="598BD57A">
            <w:pPr>
              <w:rPr>
                <w:rFonts w:hint="eastAsia" w:ascii="宋体" w:hAnsi="宋体" w:eastAsia="宋体" w:cs="宋体"/>
                <w:color w:val="auto"/>
                <w:sz w:val="21"/>
                <w:szCs w:val="21"/>
                <w:highlight w:val="none"/>
              </w:rPr>
            </w:pPr>
          </w:p>
        </w:tc>
        <w:tc>
          <w:tcPr>
            <w:tcW w:w="5669" w:type="dxa"/>
            <w:noWrap w:val="0"/>
            <w:vAlign w:val="center"/>
          </w:tcPr>
          <w:p w14:paraId="5CD28FB4">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b w:val="0"/>
                <w:bCs w:val="0"/>
                <w:sz w:val="21"/>
                <w:szCs w:val="21"/>
                <w:highlight w:val="none"/>
                <w:lang w:val="en-US" w:eastAsia="zh-CN"/>
              </w:rPr>
              <w:t>简化管理</w:t>
            </w:r>
          </w:p>
        </w:tc>
        <w:tc>
          <w:tcPr>
            <w:tcW w:w="1132" w:type="dxa"/>
            <w:noWrap w:val="0"/>
            <w:vAlign w:val="center"/>
          </w:tcPr>
          <w:p w14:paraId="70EA74A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p>
        </w:tc>
      </w:tr>
      <w:tr w14:paraId="1FF1E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atLeast"/>
          <w:jc w:val="center"/>
        </w:trPr>
        <w:tc>
          <w:tcPr>
            <w:tcW w:w="1721" w:type="dxa"/>
            <w:vMerge w:val="continue"/>
            <w:noWrap w:val="0"/>
            <w:vAlign w:val="center"/>
          </w:tcPr>
          <w:p w14:paraId="5E02545D">
            <w:pPr>
              <w:rPr>
                <w:rFonts w:hint="eastAsia" w:ascii="宋体" w:hAnsi="宋体" w:eastAsia="宋体" w:cs="宋体"/>
                <w:color w:val="auto"/>
                <w:sz w:val="21"/>
                <w:szCs w:val="21"/>
                <w:highlight w:val="none"/>
              </w:rPr>
            </w:pPr>
          </w:p>
        </w:tc>
        <w:tc>
          <w:tcPr>
            <w:tcW w:w="5669" w:type="dxa"/>
            <w:noWrap w:val="0"/>
            <w:vAlign w:val="center"/>
          </w:tcPr>
          <w:p w14:paraId="4FC55D6C">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b w:val="0"/>
                <w:bCs w:val="0"/>
                <w:sz w:val="21"/>
                <w:szCs w:val="21"/>
                <w:highlight w:val="none"/>
                <w:lang w:val="en-US" w:eastAsia="zh-CN"/>
              </w:rPr>
              <w:t>重点管理</w:t>
            </w:r>
          </w:p>
        </w:tc>
        <w:tc>
          <w:tcPr>
            <w:tcW w:w="1132" w:type="dxa"/>
            <w:noWrap w:val="0"/>
            <w:vAlign w:val="center"/>
          </w:tcPr>
          <w:p w14:paraId="54479746">
            <w:pPr>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5</w:t>
            </w:r>
          </w:p>
        </w:tc>
      </w:tr>
      <w:tr w14:paraId="7CD6E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atLeast"/>
          <w:jc w:val="center"/>
        </w:trPr>
        <w:tc>
          <w:tcPr>
            <w:tcW w:w="1721" w:type="dxa"/>
            <w:vMerge w:val="continue"/>
            <w:noWrap w:val="0"/>
            <w:vAlign w:val="center"/>
          </w:tcPr>
          <w:p w14:paraId="3DBD538B">
            <w:pPr>
              <w:rPr>
                <w:rFonts w:hint="eastAsia" w:ascii="宋体" w:hAnsi="宋体" w:eastAsia="宋体" w:cs="宋体"/>
                <w:color w:val="auto"/>
                <w:sz w:val="21"/>
                <w:szCs w:val="21"/>
                <w:highlight w:val="none"/>
              </w:rPr>
            </w:pPr>
          </w:p>
        </w:tc>
        <w:tc>
          <w:tcPr>
            <w:tcW w:w="5669" w:type="dxa"/>
            <w:noWrap w:val="0"/>
            <w:vAlign w:val="center"/>
          </w:tcPr>
          <w:p w14:paraId="5E264791">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b w:val="0"/>
                <w:bCs w:val="0"/>
                <w:sz w:val="21"/>
                <w:szCs w:val="21"/>
                <w:highlight w:val="none"/>
                <w:lang w:val="en-US" w:eastAsia="zh-CN"/>
              </w:rPr>
              <w:t>重点管理（钢铁、石化、化工、电镀、皮革、造纸、冶炼、印染、染料、水泥、煤电、陶瓷、采矿、放射性、危废经营、垃圾焚烧发电、平板玻璃，“两高”项目）</w:t>
            </w:r>
          </w:p>
        </w:tc>
        <w:tc>
          <w:tcPr>
            <w:tcW w:w="1132" w:type="dxa"/>
            <w:noWrap w:val="0"/>
            <w:vAlign w:val="center"/>
          </w:tcPr>
          <w:p w14:paraId="39652DF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p>
        </w:tc>
      </w:tr>
      <w:tr w14:paraId="5F4EC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1" w:type="dxa"/>
            <w:vMerge w:val="restart"/>
            <w:noWrap w:val="0"/>
            <w:vAlign w:val="center"/>
          </w:tcPr>
          <w:p w14:paraId="22142F1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污染物</w:t>
            </w:r>
            <w:r>
              <w:rPr>
                <w:rFonts w:hint="eastAsia" w:ascii="宋体" w:hAnsi="宋体" w:eastAsia="宋体" w:cs="宋体"/>
                <w:color w:val="auto"/>
                <w:sz w:val="21"/>
                <w:szCs w:val="21"/>
                <w:highlight w:val="none"/>
              </w:rPr>
              <w:t>类别</w:t>
            </w:r>
          </w:p>
        </w:tc>
        <w:tc>
          <w:tcPr>
            <w:tcW w:w="5669" w:type="dxa"/>
            <w:noWrap w:val="0"/>
            <w:vAlign w:val="top"/>
          </w:tcPr>
          <w:p w14:paraId="49FECDD5">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一般废气、废水、固体废物、噪声、畜禽养殖废水</w:t>
            </w:r>
          </w:p>
        </w:tc>
        <w:tc>
          <w:tcPr>
            <w:tcW w:w="1132" w:type="dxa"/>
            <w:noWrap w:val="0"/>
            <w:vAlign w:val="center"/>
          </w:tcPr>
          <w:p w14:paraId="0B1ABB9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0D034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1" w:type="dxa"/>
            <w:vMerge w:val="continue"/>
            <w:noWrap w:val="0"/>
            <w:vAlign w:val="center"/>
          </w:tcPr>
          <w:p w14:paraId="2212CBB0">
            <w:pPr>
              <w:jc w:val="center"/>
              <w:rPr>
                <w:rFonts w:hint="eastAsia" w:ascii="宋体" w:hAnsi="宋体" w:eastAsia="宋体" w:cs="宋体"/>
                <w:color w:val="auto"/>
                <w:sz w:val="21"/>
                <w:szCs w:val="21"/>
                <w:highlight w:val="none"/>
              </w:rPr>
            </w:pPr>
          </w:p>
        </w:tc>
        <w:tc>
          <w:tcPr>
            <w:tcW w:w="5669" w:type="dxa"/>
            <w:noWrap w:val="0"/>
            <w:vAlign w:val="top"/>
          </w:tcPr>
          <w:p w14:paraId="2E6F8850">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火电、钢铁、石化、水泥、炼焦、有色、化工废气/医疗废水</w:t>
            </w:r>
          </w:p>
        </w:tc>
        <w:tc>
          <w:tcPr>
            <w:tcW w:w="1132" w:type="dxa"/>
            <w:noWrap w:val="0"/>
            <w:vAlign w:val="center"/>
          </w:tcPr>
          <w:p w14:paraId="3292A32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p>
        </w:tc>
      </w:tr>
      <w:tr w14:paraId="267B6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1" w:type="dxa"/>
            <w:vMerge w:val="continue"/>
            <w:noWrap w:val="0"/>
            <w:vAlign w:val="center"/>
          </w:tcPr>
          <w:p w14:paraId="6613E9E4">
            <w:pPr>
              <w:jc w:val="center"/>
              <w:rPr>
                <w:rFonts w:hint="eastAsia" w:ascii="宋体" w:hAnsi="宋体" w:eastAsia="宋体" w:cs="宋体"/>
                <w:color w:val="auto"/>
                <w:sz w:val="21"/>
                <w:szCs w:val="21"/>
                <w:highlight w:val="none"/>
              </w:rPr>
            </w:pPr>
          </w:p>
        </w:tc>
        <w:tc>
          <w:tcPr>
            <w:tcW w:w="5669" w:type="dxa"/>
            <w:noWrap w:val="0"/>
            <w:vAlign w:val="top"/>
          </w:tcPr>
          <w:p w14:paraId="24FC920B">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含有毒有害物质的废气、废水／含一类污染物或重金属、病原体、放射性物质的废水／危险废物</w:t>
            </w:r>
          </w:p>
        </w:tc>
        <w:tc>
          <w:tcPr>
            <w:tcW w:w="1132" w:type="dxa"/>
            <w:noWrap w:val="0"/>
            <w:vAlign w:val="center"/>
          </w:tcPr>
          <w:p w14:paraId="56F1A61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p>
        </w:tc>
      </w:tr>
      <w:tr w14:paraId="3BDA8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1" w:type="dxa"/>
            <w:noWrap w:val="0"/>
            <w:vAlign w:val="center"/>
          </w:tcPr>
          <w:p w14:paraId="5489E4E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备注</w:t>
            </w:r>
          </w:p>
        </w:tc>
        <w:tc>
          <w:tcPr>
            <w:tcW w:w="6801" w:type="dxa"/>
            <w:gridSpan w:val="2"/>
            <w:noWrap w:val="0"/>
            <w:vAlign w:val="top"/>
          </w:tcPr>
          <w:p w14:paraId="3FD87603">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涉及多种污染物类别时，</w:t>
            </w:r>
            <w:r>
              <w:rPr>
                <w:rFonts w:hint="eastAsia" w:ascii="宋体" w:hAnsi="宋体" w:cs="宋体"/>
                <w:color w:val="auto"/>
                <w:sz w:val="21"/>
                <w:szCs w:val="21"/>
                <w:highlight w:val="none"/>
                <w:lang w:eastAsia="zh-CN"/>
              </w:rPr>
              <w:t>裁量</w:t>
            </w:r>
            <w:r>
              <w:rPr>
                <w:rFonts w:hint="eastAsia" w:ascii="宋体" w:hAnsi="宋体" w:eastAsia="宋体" w:cs="宋体"/>
                <w:color w:val="auto"/>
                <w:sz w:val="21"/>
                <w:szCs w:val="21"/>
                <w:highlight w:val="none"/>
              </w:rPr>
              <w:t>标准以裁量等级最高为准</w:t>
            </w:r>
          </w:p>
        </w:tc>
      </w:tr>
    </w:tbl>
    <w:p w14:paraId="2CBC707E">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507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28"/>
        <w:gridCol w:w="5897"/>
        <w:gridCol w:w="1363"/>
      </w:tblGrid>
      <w:tr w14:paraId="53401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8655" w:type="dxa"/>
            <w:gridSpan w:val="3"/>
            <w:noWrap w:val="0"/>
            <w:vAlign w:val="top"/>
          </w:tcPr>
          <w:p w14:paraId="407D0286">
            <w:pPr>
              <w:jc w:val="center"/>
              <w:rPr>
                <w:rFonts w:hint="eastAsia" w:ascii="宋体" w:hAnsi="宋体" w:eastAsia="宋体" w:cs="宋体"/>
                <w:color w:val="auto"/>
                <w:sz w:val="21"/>
                <w:szCs w:val="21"/>
                <w:highlight w:val="none"/>
                <w:lang w:eastAsia="zh-CN"/>
              </w:rPr>
            </w:pPr>
            <w:r>
              <w:rPr>
                <w:rFonts w:hint="eastAsia" w:ascii="宋体" w:hAnsi="宋体" w:eastAsia="宋体" w:cs="宋体"/>
                <w:bCs/>
                <w:color w:val="auto"/>
                <w:sz w:val="21"/>
                <w:szCs w:val="21"/>
                <w:highlight w:val="none"/>
                <w:lang w:eastAsia="zh-CN"/>
              </w:rPr>
              <w:t>（十三）其他类</w:t>
            </w:r>
          </w:p>
        </w:tc>
      </w:tr>
      <w:tr w14:paraId="21D6D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741" w:type="dxa"/>
            <w:noWrap w:val="0"/>
            <w:vAlign w:val="center"/>
          </w:tcPr>
          <w:p w14:paraId="26FEC7F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914" w:type="dxa"/>
            <w:gridSpan w:val="2"/>
            <w:noWrap w:val="0"/>
            <w:vAlign w:val="top"/>
          </w:tcPr>
          <w:p w14:paraId="38737763">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w:t>
            </w:r>
          </w:p>
        </w:tc>
      </w:tr>
      <w:tr w14:paraId="24D28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 w:hRule="atLeast"/>
          <w:jc w:val="center"/>
        </w:trPr>
        <w:tc>
          <w:tcPr>
            <w:tcW w:w="1741" w:type="dxa"/>
            <w:noWrap w:val="0"/>
            <w:vAlign w:val="center"/>
          </w:tcPr>
          <w:p w14:paraId="5FD958A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6914" w:type="dxa"/>
            <w:gridSpan w:val="2"/>
            <w:noWrap w:val="0"/>
            <w:vAlign w:val="center"/>
          </w:tcPr>
          <w:p w14:paraId="3F03665C">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对造成环境污染、生态破坏事故的</w:t>
            </w:r>
          </w:p>
        </w:tc>
      </w:tr>
      <w:tr w14:paraId="40D67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2" w:hRule="atLeast"/>
          <w:jc w:val="center"/>
        </w:trPr>
        <w:tc>
          <w:tcPr>
            <w:tcW w:w="1741" w:type="dxa"/>
            <w:noWrap w:val="0"/>
            <w:vAlign w:val="center"/>
          </w:tcPr>
          <w:p w14:paraId="7E6A569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6914" w:type="dxa"/>
            <w:gridSpan w:val="2"/>
            <w:noWrap w:val="0"/>
            <w:vAlign w:val="center"/>
          </w:tcPr>
          <w:p w14:paraId="72161E15">
            <w:pPr>
              <w:ind w:firstLine="420" w:firstLineChars="200"/>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《中华人民共和国生态环境法典》第一百二十一条 企业事业单位和其他生产经营者应当依法完善突发生态环境事件风险防控措施，开展隐患排查，及时消除隐患。</w:t>
            </w:r>
          </w:p>
          <w:p w14:paraId="659874BE">
            <w:pPr>
              <w:ind w:firstLine="420" w:firstLineChars="200"/>
              <w:jc w:val="both"/>
              <w:rPr>
                <w:rFonts w:hint="eastAsia" w:ascii="宋体" w:hAnsi="宋体" w:eastAsia="宋体" w:cs="宋体"/>
                <w:strike w:val="0"/>
                <w:color w:val="auto"/>
                <w:sz w:val="21"/>
                <w:szCs w:val="21"/>
                <w:highlight w:val="none"/>
              </w:rPr>
            </w:pPr>
            <w:r>
              <w:rPr>
                <w:rFonts w:hint="eastAsia" w:ascii="宋体" w:hAnsi="宋体" w:eastAsia="宋体" w:cs="宋体"/>
                <w:color w:val="auto"/>
                <w:sz w:val="21"/>
                <w:szCs w:val="21"/>
                <w:highlight w:val="none"/>
                <w:lang w:eastAsia="zh-CN"/>
              </w:rPr>
              <w:t>企业事业单位和其他生产经营者应当按照国家规定储备必要的生态环境应急物资和装备，定期开展应急演练，做好应急准备。在发生或者可能发生突发生态环境事件时，企业事业单位和其他生产经营者应当立即采取措施处理，切断或者控制污染源，防止危害扩大，及时通报可能受到危害者，并向生态环境、应急管理等有关部门报告，接受调查处理。</w:t>
            </w:r>
          </w:p>
        </w:tc>
      </w:tr>
      <w:tr w14:paraId="0DB98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0" w:hRule="atLeast"/>
          <w:jc w:val="center"/>
        </w:trPr>
        <w:tc>
          <w:tcPr>
            <w:tcW w:w="1741" w:type="dxa"/>
            <w:noWrap w:val="0"/>
            <w:vAlign w:val="center"/>
          </w:tcPr>
          <w:p w14:paraId="71C2028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6914" w:type="dxa"/>
            <w:gridSpan w:val="2"/>
            <w:noWrap w:val="0"/>
            <w:vAlign w:val="center"/>
          </w:tcPr>
          <w:p w14:paraId="34115B87">
            <w:pPr>
              <w:ind w:firstLine="420" w:firstLineChars="200"/>
              <w:jc w:val="both"/>
              <w:rPr>
                <w:rFonts w:hint="eastAsia" w:ascii="宋体" w:hAnsi="宋体" w:eastAsia="宋体" w:cs="宋体"/>
                <w:strike w:val="0"/>
                <w:dstrike w:val="0"/>
                <w:color w:val="auto"/>
                <w:sz w:val="21"/>
                <w:szCs w:val="21"/>
                <w:highlight w:val="none"/>
              </w:rPr>
            </w:pPr>
            <w:r>
              <w:rPr>
                <w:rFonts w:hint="eastAsia" w:ascii="宋体" w:hAnsi="宋体" w:eastAsia="宋体" w:cs="宋体"/>
                <w:strike w:val="0"/>
                <w:dstrike w:val="0"/>
                <w:color w:val="auto"/>
                <w:sz w:val="21"/>
                <w:szCs w:val="21"/>
                <w:highlight w:val="none"/>
              </w:rPr>
              <w:t>《中华人民共和国生态环境法典》第一千二百三十六条　违反本法规定，造成环境污染、生态破坏事故的，除依法承担赔偿责任外，由负有生态环境保护监督管理职责的部门、机构按照职责分工责令限期采取治理措施，适用本条第二款、第三款的规定处以罚款；对直接负责的主管人员和其他直接责任人员可以处上一年度从本企业事业单位取得收入百分之五十以下的罚款；对造成重大或者特别重大环境污染、生态破坏事故的，报经有批准权的人民政府批准，责令停业、关闭。未按照要求采取治理措施的，指定有治理能力的单位代为治理，所需费用由违法者承担。</w:t>
            </w:r>
          </w:p>
          <w:p w14:paraId="735BF45B">
            <w:pPr>
              <w:ind w:firstLine="420" w:firstLineChars="200"/>
              <w:jc w:val="both"/>
              <w:rPr>
                <w:rFonts w:hint="eastAsia" w:ascii="宋体" w:hAnsi="宋体" w:eastAsia="宋体" w:cs="宋体"/>
                <w:strike w:val="0"/>
                <w:dstrike w:val="0"/>
                <w:color w:val="auto"/>
                <w:sz w:val="21"/>
                <w:szCs w:val="21"/>
                <w:highlight w:val="none"/>
              </w:rPr>
            </w:pPr>
            <w:r>
              <w:rPr>
                <w:rFonts w:hint="eastAsia" w:ascii="宋体" w:hAnsi="宋体" w:eastAsia="宋体" w:cs="宋体"/>
                <w:strike w:val="0"/>
                <w:dstrike w:val="0"/>
                <w:color w:val="auto"/>
                <w:sz w:val="21"/>
                <w:szCs w:val="21"/>
                <w:highlight w:val="none"/>
              </w:rPr>
              <w:t>对造成一般环境污染、生态破坏事故的，处三十万元以上一百万元以下的罚款；对造成较大环境污染、生态破坏事故的，处一百万元以上二百万元以下的罚款；对造成重大环境污染、生态破坏事故的，处二百万元以上一千万元以下的罚款；对造成特别重大环境污染、生态破坏事故的，处一千万元以上二千万元以下的罚款。</w:t>
            </w:r>
          </w:p>
          <w:p w14:paraId="0E595E34">
            <w:pPr>
              <w:ind w:firstLine="420" w:firstLineChars="200"/>
              <w:jc w:val="both"/>
              <w:rPr>
                <w:rFonts w:hint="eastAsia" w:ascii="宋体" w:hAnsi="宋体" w:eastAsia="宋体" w:cs="宋体"/>
                <w:strike w:val="0"/>
                <w:color w:val="auto"/>
                <w:sz w:val="21"/>
                <w:szCs w:val="21"/>
                <w:highlight w:val="none"/>
              </w:rPr>
            </w:pPr>
            <w:r>
              <w:rPr>
                <w:rFonts w:hint="eastAsia" w:ascii="宋体" w:hAnsi="宋体" w:eastAsia="宋体" w:cs="宋体"/>
                <w:strike w:val="0"/>
                <w:dstrike w:val="0"/>
                <w:color w:val="auto"/>
                <w:sz w:val="21"/>
                <w:szCs w:val="21"/>
                <w:highlight w:val="none"/>
              </w:rPr>
              <w:t>发生环境污染、生态破坏事故，情节特别严重、影响特别恶劣的，负有生态环境保护监督管理职责的部门、机构可以按照前款罚款数额的二倍以上五倍以下对负有责任的企业事业单位或者其他生产经营者处以罚款。</w:t>
            </w:r>
          </w:p>
        </w:tc>
      </w:tr>
      <w:tr w14:paraId="035F5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741" w:type="dxa"/>
            <w:noWrap w:val="0"/>
            <w:vAlign w:val="center"/>
          </w:tcPr>
          <w:p w14:paraId="3D32F92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616" w:type="dxa"/>
            <w:noWrap w:val="0"/>
            <w:vAlign w:val="top"/>
          </w:tcPr>
          <w:p w14:paraId="6A51482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298" w:type="dxa"/>
            <w:noWrap w:val="0"/>
            <w:vAlign w:val="top"/>
          </w:tcPr>
          <w:p w14:paraId="2232206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1AF43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741" w:type="dxa"/>
            <w:vMerge w:val="restart"/>
            <w:noWrap w:val="0"/>
            <w:vAlign w:val="center"/>
          </w:tcPr>
          <w:p w14:paraId="21AB461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排污许可单位</w:t>
            </w:r>
          </w:p>
          <w:p w14:paraId="42FC310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管理类别</w:t>
            </w:r>
          </w:p>
        </w:tc>
        <w:tc>
          <w:tcPr>
            <w:tcW w:w="5616" w:type="dxa"/>
            <w:noWrap w:val="0"/>
            <w:vAlign w:val="center"/>
          </w:tcPr>
          <w:p w14:paraId="3D59724F">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both"/>
              <w:textAlignment w:val="auto"/>
              <w:rPr>
                <w:rFonts w:hint="eastAsia" w:ascii="宋体" w:hAnsi="宋体" w:eastAsia="宋体" w:cs="宋体"/>
                <w:b/>
                <w:bCs/>
                <w:kern w:val="2"/>
                <w:sz w:val="21"/>
                <w:szCs w:val="21"/>
                <w:highlight w:val="none"/>
                <w:lang w:val="en-US" w:eastAsia="zh-CN" w:bidi="ar-SA"/>
              </w:rPr>
            </w:pPr>
            <w:r>
              <w:rPr>
                <w:rFonts w:hint="eastAsia" w:ascii="宋体" w:hAnsi="宋体" w:eastAsia="宋体" w:cs="宋体"/>
                <w:b w:val="0"/>
                <w:bCs w:val="0"/>
                <w:sz w:val="21"/>
                <w:szCs w:val="21"/>
                <w:highlight w:val="none"/>
                <w:lang w:val="en-US" w:eastAsia="zh-CN"/>
              </w:rPr>
              <w:t>不实行排污许可管理</w:t>
            </w:r>
          </w:p>
        </w:tc>
        <w:tc>
          <w:tcPr>
            <w:tcW w:w="1298" w:type="dxa"/>
            <w:noWrap w:val="0"/>
            <w:vAlign w:val="center"/>
          </w:tcPr>
          <w:p w14:paraId="2A969D1F">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r>
      <w:tr w14:paraId="4902D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741" w:type="dxa"/>
            <w:vMerge w:val="continue"/>
            <w:noWrap w:val="0"/>
            <w:vAlign w:val="center"/>
          </w:tcPr>
          <w:p w14:paraId="0E304708">
            <w:pPr>
              <w:rPr>
                <w:rFonts w:hint="eastAsia" w:ascii="宋体" w:hAnsi="宋体" w:eastAsia="宋体" w:cs="宋体"/>
                <w:color w:val="auto"/>
                <w:sz w:val="21"/>
                <w:szCs w:val="21"/>
                <w:highlight w:val="none"/>
              </w:rPr>
            </w:pPr>
          </w:p>
        </w:tc>
        <w:tc>
          <w:tcPr>
            <w:tcW w:w="5616" w:type="dxa"/>
            <w:noWrap w:val="0"/>
            <w:vAlign w:val="center"/>
          </w:tcPr>
          <w:p w14:paraId="4869650E">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both"/>
              <w:textAlignment w:val="auto"/>
              <w:rPr>
                <w:rFonts w:hint="eastAsia" w:ascii="宋体" w:hAnsi="宋体" w:eastAsia="宋体" w:cs="宋体"/>
                <w:b/>
                <w:bCs/>
                <w:kern w:val="2"/>
                <w:sz w:val="21"/>
                <w:szCs w:val="21"/>
                <w:highlight w:val="none"/>
                <w:lang w:val="en-US" w:eastAsia="zh-CN" w:bidi="ar-SA"/>
              </w:rPr>
            </w:pPr>
            <w:r>
              <w:rPr>
                <w:rFonts w:hint="eastAsia" w:ascii="宋体" w:hAnsi="宋体" w:eastAsia="宋体" w:cs="宋体"/>
                <w:b w:val="0"/>
                <w:bCs w:val="0"/>
                <w:sz w:val="21"/>
                <w:szCs w:val="21"/>
                <w:highlight w:val="none"/>
                <w:lang w:val="en-US" w:eastAsia="zh-CN"/>
              </w:rPr>
              <w:t>简化管理</w:t>
            </w:r>
          </w:p>
        </w:tc>
        <w:tc>
          <w:tcPr>
            <w:tcW w:w="1298" w:type="dxa"/>
            <w:noWrap w:val="0"/>
            <w:vAlign w:val="center"/>
          </w:tcPr>
          <w:p w14:paraId="2CC81634">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r>
      <w:tr w14:paraId="0A140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741" w:type="dxa"/>
            <w:vMerge w:val="continue"/>
            <w:noWrap w:val="0"/>
            <w:vAlign w:val="center"/>
          </w:tcPr>
          <w:p w14:paraId="7CA07863">
            <w:pPr>
              <w:rPr>
                <w:rFonts w:hint="eastAsia" w:ascii="宋体" w:hAnsi="宋体" w:eastAsia="宋体" w:cs="宋体"/>
                <w:color w:val="auto"/>
                <w:sz w:val="21"/>
                <w:szCs w:val="21"/>
                <w:highlight w:val="none"/>
              </w:rPr>
            </w:pPr>
          </w:p>
        </w:tc>
        <w:tc>
          <w:tcPr>
            <w:tcW w:w="5616" w:type="dxa"/>
            <w:noWrap w:val="0"/>
            <w:vAlign w:val="center"/>
          </w:tcPr>
          <w:p w14:paraId="15090112">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both"/>
              <w:textAlignment w:val="auto"/>
              <w:rPr>
                <w:rFonts w:hint="eastAsia" w:ascii="宋体" w:hAnsi="宋体" w:eastAsia="宋体" w:cs="宋体"/>
                <w:b/>
                <w:bCs/>
                <w:kern w:val="2"/>
                <w:sz w:val="21"/>
                <w:szCs w:val="21"/>
                <w:highlight w:val="none"/>
                <w:lang w:val="en-US" w:eastAsia="zh-CN" w:bidi="ar-SA"/>
              </w:rPr>
            </w:pPr>
            <w:r>
              <w:rPr>
                <w:rFonts w:hint="eastAsia" w:ascii="宋体" w:hAnsi="宋体" w:eastAsia="宋体" w:cs="宋体"/>
                <w:b w:val="0"/>
                <w:bCs w:val="0"/>
                <w:sz w:val="21"/>
                <w:szCs w:val="21"/>
                <w:highlight w:val="none"/>
                <w:lang w:val="en-US" w:eastAsia="zh-CN"/>
              </w:rPr>
              <w:t>重点管理</w:t>
            </w:r>
          </w:p>
        </w:tc>
        <w:tc>
          <w:tcPr>
            <w:tcW w:w="1298" w:type="dxa"/>
            <w:noWrap w:val="0"/>
            <w:vAlign w:val="center"/>
          </w:tcPr>
          <w:p w14:paraId="5592CD40">
            <w:pPr>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5</w:t>
            </w:r>
          </w:p>
        </w:tc>
      </w:tr>
      <w:tr w14:paraId="6F9DF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741" w:type="dxa"/>
            <w:vMerge w:val="continue"/>
            <w:noWrap w:val="0"/>
            <w:vAlign w:val="center"/>
          </w:tcPr>
          <w:p w14:paraId="1721D458">
            <w:pPr>
              <w:rPr>
                <w:rFonts w:hint="eastAsia" w:ascii="宋体" w:hAnsi="宋体" w:eastAsia="宋体" w:cs="宋体"/>
                <w:color w:val="auto"/>
                <w:sz w:val="21"/>
                <w:szCs w:val="21"/>
                <w:highlight w:val="none"/>
              </w:rPr>
            </w:pPr>
          </w:p>
        </w:tc>
        <w:tc>
          <w:tcPr>
            <w:tcW w:w="5616" w:type="dxa"/>
            <w:noWrap w:val="0"/>
            <w:vAlign w:val="center"/>
          </w:tcPr>
          <w:p w14:paraId="74B278F3">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both"/>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重点管理（钢铁、石化、化工、电镀、皮革、造纸、冶炼、印染、染料、水泥、煤电、陶瓷、采矿、放射性、危废经营、垃圾焚烧发电、平板玻璃，“两高”项目）</w:t>
            </w:r>
          </w:p>
        </w:tc>
        <w:tc>
          <w:tcPr>
            <w:tcW w:w="1298" w:type="dxa"/>
            <w:noWrap w:val="0"/>
            <w:vAlign w:val="center"/>
          </w:tcPr>
          <w:p w14:paraId="5EF9BD69">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r>
      <w:tr w14:paraId="5D65F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741" w:type="dxa"/>
            <w:vMerge w:val="restart"/>
            <w:noWrap w:val="0"/>
            <w:vAlign w:val="center"/>
          </w:tcPr>
          <w:p w14:paraId="6E49918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污染物</w:t>
            </w:r>
            <w:r>
              <w:rPr>
                <w:rFonts w:hint="eastAsia" w:ascii="宋体" w:hAnsi="宋体" w:eastAsia="宋体" w:cs="宋体"/>
                <w:color w:val="auto"/>
                <w:sz w:val="21"/>
                <w:szCs w:val="21"/>
                <w:highlight w:val="none"/>
              </w:rPr>
              <w:t>类别</w:t>
            </w:r>
          </w:p>
        </w:tc>
        <w:tc>
          <w:tcPr>
            <w:tcW w:w="5616" w:type="dxa"/>
            <w:noWrap w:val="0"/>
            <w:vAlign w:val="top"/>
          </w:tcPr>
          <w:p w14:paraId="7EA184EE">
            <w:pPr>
              <w:adjustRightInd w:val="0"/>
              <w:ind w:firstLine="420" w:firstLineChars="200"/>
              <w:jc w:val="both"/>
              <w:rPr>
                <w:rFonts w:hint="eastAsia" w:ascii="宋体" w:hAnsi="宋体" w:eastAsia="宋体" w:cs="宋体"/>
                <w:b/>
                <w:bCs/>
                <w:sz w:val="21"/>
                <w:szCs w:val="21"/>
                <w:highlight w:val="none"/>
                <w:lang w:val="en-US" w:eastAsia="zh-CN"/>
              </w:rPr>
            </w:pPr>
            <w:r>
              <w:rPr>
                <w:rFonts w:hint="eastAsia" w:ascii="宋体" w:hAnsi="宋体" w:eastAsia="宋体" w:cs="宋体"/>
                <w:color w:val="auto"/>
                <w:sz w:val="21"/>
                <w:szCs w:val="21"/>
                <w:highlight w:val="none"/>
                <w:lang w:val="en-US" w:eastAsia="zh-CN"/>
              </w:rPr>
              <w:t>一般废气、废水、固体废物、噪声、畜禽养殖废水</w:t>
            </w:r>
          </w:p>
        </w:tc>
        <w:tc>
          <w:tcPr>
            <w:tcW w:w="1298" w:type="dxa"/>
            <w:noWrap w:val="0"/>
            <w:vAlign w:val="center"/>
          </w:tcPr>
          <w:p w14:paraId="3B7CDB41">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1</w:t>
            </w:r>
          </w:p>
        </w:tc>
      </w:tr>
      <w:tr w14:paraId="31027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741" w:type="dxa"/>
            <w:vMerge w:val="continue"/>
            <w:noWrap w:val="0"/>
            <w:vAlign w:val="center"/>
          </w:tcPr>
          <w:p w14:paraId="3E29F87C">
            <w:pPr>
              <w:jc w:val="center"/>
              <w:rPr>
                <w:rFonts w:hint="eastAsia" w:ascii="宋体" w:hAnsi="宋体" w:eastAsia="宋体" w:cs="宋体"/>
                <w:color w:val="auto"/>
                <w:sz w:val="21"/>
                <w:szCs w:val="21"/>
                <w:highlight w:val="none"/>
              </w:rPr>
            </w:pPr>
          </w:p>
        </w:tc>
        <w:tc>
          <w:tcPr>
            <w:tcW w:w="5616" w:type="dxa"/>
            <w:noWrap w:val="0"/>
            <w:vAlign w:val="top"/>
          </w:tcPr>
          <w:p w14:paraId="65424C51">
            <w:pPr>
              <w:adjustRightInd w:val="0"/>
              <w:ind w:firstLine="420" w:firstLineChars="200"/>
              <w:jc w:val="both"/>
              <w:rPr>
                <w:rFonts w:hint="eastAsia" w:ascii="宋体" w:hAnsi="宋体" w:eastAsia="宋体" w:cs="宋体"/>
                <w:b/>
                <w:bCs/>
                <w:sz w:val="21"/>
                <w:szCs w:val="21"/>
                <w:highlight w:val="none"/>
                <w:lang w:val="en-US" w:eastAsia="zh-CN"/>
              </w:rPr>
            </w:pPr>
            <w:r>
              <w:rPr>
                <w:rFonts w:hint="eastAsia" w:ascii="宋体" w:hAnsi="宋体" w:eastAsia="宋体" w:cs="宋体"/>
                <w:color w:val="auto"/>
                <w:sz w:val="21"/>
                <w:szCs w:val="21"/>
                <w:highlight w:val="none"/>
              </w:rPr>
              <w:t>火电、钢铁、石化、水泥、炼焦、有色、化工废气/医疗废水</w:t>
            </w:r>
          </w:p>
        </w:tc>
        <w:tc>
          <w:tcPr>
            <w:tcW w:w="1298" w:type="dxa"/>
            <w:noWrap w:val="0"/>
            <w:vAlign w:val="center"/>
          </w:tcPr>
          <w:p w14:paraId="61BBDA6A">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r>
      <w:tr w14:paraId="6AA77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741" w:type="dxa"/>
            <w:vMerge w:val="continue"/>
            <w:noWrap w:val="0"/>
            <w:vAlign w:val="center"/>
          </w:tcPr>
          <w:p w14:paraId="21FAF142">
            <w:pPr>
              <w:jc w:val="center"/>
              <w:rPr>
                <w:rFonts w:hint="eastAsia" w:ascii="宋体" w:hAnsi="宋体" w:eastAsia="宋体" w:cs="宋体"/>
                <w:color w:val="auto"/>
                <w:sz w:val="21"/>
                <w:szCs w:val="21"/>
                <w:highlight w:val="none"/>
              </w:rPr>
            </w:pPr>
          </w:p>
        </w:tc>
        <w:tc>
          <w:tcPr>
            <w:tcW w:w="5616" w:type="dxa"/>
            <w:noWrap w:val="0"/>
            <w:vAlign w:val="top"/>
          </w:tcPr>
          <w:p w14:paraId="26DDADF2">
            <w:pPr>
              <w:adjustRightInd w:val="0"/>
              <w:ind w:firstLine="420" w:firstLineChars="200"/>
              <w:jc w:val="both"/>
              <w:rPr>
                <w:rFonts w:hint="eastAsia" w:ascii="宋体" w:hAnsi="宋体" w:eastAsia="宋体" w:cs="宋体"/>
                <w:b/>
                <w:bCs/>
                <w:sz w:val="21"/>
                <w:szCs w:val="21"/>
                <w:highlight w:val="none"/>
                <w:lang w:val="en-US" w:eastAsia="zh-CN"/>
              </w:rPr>
            </w:pPr>
            <w:r>
              <w:rPr>
                <w:rFonts w:hint="eastAsia" w:ascii="宋体" w:hAnsi="宋体" w:eastAsia="宋体" w:cs="宋体"/>
                <w:color w:val="auto"/>
                <w:sz w:val="21"/>
                <w:szCs w:val="21"/>
                <w:highlight w:val="none"/>
              </w:rPr>
              <w:t>含有毒有害物质的废气、废水／含一类污染物或重金属、病原体、放射性物质的废水／危险废物</w:t>
            </w:r>
          </w:p>
        </w:tc>
        <w:tc>
          <w:tcPr>
            <w:tcW w:w="1298" w:type="dxa"/>
            <w:noWrap w:val="0"/>
            <w:vAlign w:val="center"/>
          </w:tcPr>
          <w:p w14:paraId="777C7717">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r>
      <w:tr w14:paraId="49D9A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741" w:type="dxa"/>
            <w:vMerge w:val="restart"/>
            <w:noWrap w:val="0"/>
            <w:vAlign w:val="center"/>
          </w:tcPr>
          <w:p w14:paraId="53FF7C73">
            <w:pPr>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违法行为发生地</w:t>
            </w:r>
          </w:p>
        </w:tc>
        <w:tc>
          <w:tcPr>
            <w:tcW w:w="5616" w:type="dxa"/>
            <w:noWrap w:val="0"/>
            <w:vAlign w:val="top"/>
          </w:tcPr>
          <w:p w14:paraId="17003F6E">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二类环境空气功能区</w:t>
            </w:r>
            <w:r>
              <w:rPr>
                <w:rFonts w:hint="eastAsia" w:ascii="宋体" w:hAnsi="宋体" w:eastAsia="宋体" w:cs="宋体"/>
                <w:color w:val="auto"/>
                <w:sz w:val="21"/>
                <w:szCs w:val="21"/>
                <w:highlight w:val="none"/>
              </w:rPr>
              <w:t>（工业区和农村地区）</w:t>
            </w:r>
            <w:r>
              <w:rPr>
                <w:rFonts w:hint="eastAsia" w:ascii="宋体" w:hAnsi="宋体" w:cs="宋体"/>
                <w:color w:val="auto"/>
                <w:sz w:val="21"/>
                <w:szCs w:val="21"/>
                <w:highlight w:val="none"/>
                <w:lang w:val="en-US" w:eastAsia="zh-CN"/>
              </w:rPr>
              <w:t>/V类水体（或者污水集中处理设施）/</w:t>
            </w:r>
            <w:r>
              <w:rPr>
                <w:rFonts w:hint="eastAsia" w:ascii="宋体" w:hAnsi="宋体" w:eastAsia="宋体" w:cs="宋体"/>
                <w:color w:val="auto"/>
                <w:sz w:val="21"/>
                <w:szCs w:val="21"/>
                <w:highlight w:val="none"/>
                <w:lang w:val="en-US" w:eastAsia="zh-CN"/>
              </w:rPr>
              <w:t>第四类海水水质的区域</w:t>
            </w:r>
          </w:p>
        </w:tc>
        <w:tc>
          <w:tcPr>
            <w:tcW w:w="1298" w:type="dxa"/>
            <w:noWrap w:val="0"/>
            <w:vAlign w:val="center"/>
          </w:tcPr>
          <w:p w14:paraId="1257D6B0">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1</w:t>
            </w:r>
          </w:p>
        </w:tc>
      </w:tr>
      <w:tr w14:paraId="678E1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741" w:type="dxa"/>
            <w:vMerge w:val="continue"/>
            <w:noWrap w:val="0"/>
            <w:vAlign w:val="center"/>
          </w:tcPr>
          <w:p w14:paraId="06A5F9CB">
            <w:pPr>
              <w:jc w:val="center"/>
              <w:rPr>
                <w:rFonts w:hint="eastAsia" w:ascii="宋体" w:hAnsi="宋体" w:eastAsia="宋体" w:cs="宋体"/>
                <w:color w:val="auto"/>
                <w:sz w:val="21"/>
                <w:szCs w:val="21"/>
                <w:highlight w:val="none"/>
              </w:rPr>
            </w:pPr>
          </w:p>
        </w:tc>
        <w:tc>
          <w:tcPr>
            <w:tcW w:w="5616" w:type="dxa"/>
            <w:noWrap w:val="0"/>
            <w:vAlign w:val="top"/>
          </w:tcPr>
          <w:p w14:paraId="07B09DC9">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Ⅳ类</w:t>
            </w:r>
            <w:r>
              <w:rPr>
                <w:rFonts w:hint="eastAsia" w:ascii="宋体" w:hAnsi="宋体" w:eastAsia="宋体" w:cs="宋体"/>
                <w:color w:val="auto"/>
                <w:sz w:val="21"/>
                <w:szCs w:val="21"/>
                <w:highlight w:val="none"/>
              </w:rPr>
              <w:t>水体</w:t>
            </w:r>
            <w:r>
              <w:rPr>
                <w:rFonts w:hint="eastAsia" w:ascii="宋体" w:hAnsi="宋体" w:eastAsia="宋体" w:cs="宋体"/>
                <w:color w:val="auto"/>
                <w:sz w:val="21"/>
                <w:szCs w:val="21"/>
                <w:highlight w:val="none"/>
                <w:lang w:val="en-US" w:eastAsia="zh-CN"/>
              </w:rPr>
              <w:t>/第三类海水水质的区域</w:t>
            </w:r>
          </w:p>
        </w:tc>
        <w:tc>
          <w:tcPr>
            <w:tcW w:w="1298" w:type="dxa"/>
            <w:noWrap w:val="0"/>
            <w:vAlign w:val="center"/>
          </w:tcPr>
          <w:p w14:paraId="0F9BD17E">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2</w:t>
            </w:r>
          </w:p>
        </w:tc>
      </w:tr>
      <w:tr w14:paraId="1B631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741" w:type="dxa"/>
            <w:vMerge w:val="continue"/>
            <w:noWrap w:val="0"/>
            <w:vAlign w:val="center"/>
          </w:tcPr>
          <w:p w14:paraId="1942C134">
            <w:pPr>
              <w:jc w:val="center"/>
              <w:rPr>
                <w:rFonts w:hint="eastAsia" w:ascii="宋体" w:hAnsi="宋体" w:eastAsia="宋体" w:cs="宋体"/>
                <w:color w:val="auto"/>
                <w:sz w:val="21"/>
                <w:szCs w:val="21"/>
                <w:highlight w:val="none"/>
              </w:rPr>
            </w:pPr>
          </w:p>
        </w:tc>
        <w:tc>
          <w:tcPr>
            <w:tcW w:w="5616" w:type="dxa"/>
            <w:noWrap w:val="0"/>
            <w:vAlign w:val="top"/>
          </w:tcPr>
          <w:p w14:paraId="69B78A58">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二类环境空气功能区</w:t>
            </w:r>
            <w:r>
              <w:rPr>
                <w:rFonts w:hint="eastAsia" w:ascii="宋体" w:hAnsi="宋体" w:eastAsia="宋体" w:cs="宋体"/>
                <w:color w:val="auto"/>
                <w:sz w:val="21"/>
                <w:szCs w:val="21"/>
                <w:highlight w:val="none"/>
                <w:lang w:eastAsia="zh-CN"/>
              </w:rPr>
              <w:t>（居民区、商业交通居民混合区、文化区）/</w:t>
            </w:r>
            <w:r>
              <w:rPr>
                <w:rFonts w:hint="eastAsia" w:ascii="宋体" w:hAnsi="宋体" w:cs="宋体"/>
                <w:color w:val="auto"/>
                <w:sz w:val="21"/>
                <w:szCs w:val="21"/>
                <w:highlight w:val="none"/>
                <w:lang w:eastAsia="zh-CN"/>
              </w:rPr>
              <w:t>Ⅲ类</w:t>
            </w:r>
            <w:r>
              <w:rPr>
                <w:rFonts w:hint="eastAsia" w:ascii="宋体" w:hAnsi="宋体" w:eastAsia="宋体" w:cs="宋体"/>
                <w:color w:val="auto"/>
                <w:sz w:val="21"/>
                <w:szCs w:val="21"/>
                <w:highlight w:val="none"/>
                <w:lang w:eastAsia="zh-CN"/>
              </w:rPr>
              <w:t>水体/饮用水水源准保护区/自然保护地外的生态保护红线区域</w:t>
            </w:r>
          </w:p>
        </w:tc>
        <w:tc>
          <w:tcPr>
            <w:tcW w:w="1298" w:type="dxa"/>
            <w:noWrap w:val="0"/>
            <w:vAlign w:val="center"/>
          </w:tcPr>
          <w:p w14:paraId="5F761322">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3</w:t>
            </w:r>
          </w:p>
        </w:tc>
      </w:tr>
      <w:tr w14:paraId="5A13E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741" w:type="dxa"/>
            <w:vMerge w:val="continue"/>
            <w:noWrap w:val="0"/>
            <w:vAlign w:val="center"/>
          </w:tcPr>
          <w:p w14:paraId="21D7DE09">
            <w:pPr>
              <w:jc w:val="center"/>
              <w:rPr>
                <w:rFonts w:hint="eastAsia" w:ascii="宋体" w:hAnsi="宋体" w:eastAsia="宋体" w:cs="宋体"/>
                <w:color w:val="auto"/>
                <w:sz w:val="21"/>
                <w:szCs w:val="21"/>
                <w:highlight w:val="none"/>
              </w:rPr>
            </w:pPr>
          </w:p>
        </w:tc>
        <w:tc>
          <w:tcPr>
            <w:tcW w:w="5616" w:type="dxa"/>
            <w:noWrap w:val="0"/>
            <w:vAlign w:val="top"/>
          </w:tcPr>
          <w:p w14:paraId="4D1FFBDC">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Ⅱ类</w:t>
            </w:r>
            <w:r>
              <w:rPr>
                <w:rFonts w:hint="eastAsia" w:ascii="宋体" w:hAnsi="宋体" w:eastAsia="宋体" w:cs="宋体"/>
                <w:color w:val="auto"/>
                <w:sz w:val="21"/>
                <w:szCs w:val="21"/>
                <w:highlight w:val="none"/>
              </w:rPr>
              <w:t>水体</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自然保护地一般控制区</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饮用水水源二级保护区</w:t>
            </w:r>
            <w:r>
              <w:rPr>
                <w:rFonts w:hint="eastAsia" w:ascii="宋体" w:hAnsi="宋体" w:eastAsia="宋体" w:cs="宋体"/>
                <w:color w:val="auto"/>
                <w:sz w:val="21"/>
                <w:szCs w:val="21"/>
                <w:highlight w:val="none"/>
                <w:lang w:val="en-US" w:eastAsia="zh-CN"/>
              </w:rPr>
              <w:t>/第二类海水水质的区域</w:t>
            </w:r>
          </w:p>
        </w:tc>
        <w:tc>
          <w:tcPr>
            <w:tcW w:w="1298" w:type="dxa"/>
            <w:noWrap w:val="0"/>
            <w:vAlign w:val="center"/>
          </w:tcPr>
          <w:p w14:paraId="639F5D5F">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4</w:t>
            </w:r>
          </w:p>
        </w:tc>
      </w:tr>
      <w:tr w14:paraId="71434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741" w:type="dxa"/>
            <w:vMerge w:val="continue"/>
            <w:noWrap w:val="0"/>
            <w:vAlign w:val="center"/>
          </w:tcPr>
          <w:p w14:paraId="6BE42A53">
            <w:pPr>
              <w:jc w:val="center"/>
              <w:rPr>
                <w:rFonts w:hint="eastAsia" w:ascii="宋体" w:hAnsi="宋体" w:eastAsia="宋体" w:cs="宋体"/>
                <w:color w:val="auto"/>
                <w:sz w:val="21"/>
                <w:szCs w:val="21"/>
                <w:highlight w:val="none"/>
              </w:rPr>
            </w:pPr>
          </w:p>
        </w:tc>
        <w:tc>
          <w:tcPr>
            <w:tcW w:w="5616" w:type="dxa"/>
            <w:noWrap w:val="0"/>
            <w:vAlign w:val="top"/>
          </w:tcPr>
          <w:p w14:paraId="16A9AD0D">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一类环境空气功能区</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I类水体／自然保护地核心保护区</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饮用水水源一级保护区</w:t>
            </w:r>
            <w:r>
              <w:rPr>
                <w:rFonts w:hint="eastAsia" w:ascii="宋体" w:hAnsi="宋体" w:eastAsia="宋体" w:cs="宋体"/>
                <w:color w:val="auto"/>
                <w:sz w:val="21"/>
                <w:szCs w:val="21"/>
                <w:highlight w:val="none"/>
                <w:lang w:val="en-US" w:eastAsia="zh-CN"/>
              </w:rPr>
              <w:t>/第一类海水水质的区域</w:t>
            </w:r>
          </w:p>
        </w:tc>
        <w:tc>
          <w:tcPr>
            <w:tcW w:w="1298" w:type="dxa"/>
            <w:noWrap w:val="0"/>
            <w:vAlign w:val="center"/>
          </w:tcPr>
          <w:p w14:paraId="3C8986CA">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5</w:t>
            </w:r>
          </w:p>
        </w:tc>
      </w:tr>
    </w:tbl>
    <w:p w14:paraId="2E5CE072">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99"/>
        <w:gridCol w:w="5812"/>
        <w:gridCol w:w="1337"/>
      </w:tblGrid>
      <w:tr w14:paraId="7975C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8522" w:type="dxa"/>
            <w:gridSpan w:val="3"/>
            <w:tcBorders>
              <w:top w:val="single" w:color="auto" w:sz="4" w:space="0"/>
              <w:left w:val="single" w:color="auto" w:sz="4" w:space="0"/>
              <w:bottom w:val="single" w:color="auto" w:sz="4" w:space="0"/>
              <w:right w:val="single" w:color="auto" w:sz="4" w:space="0"/>
            </w:tcBorders>
            <w:noWrap w:val="0"/>
            <w:vAlign w:val="top"/>
          </w:tcPr>
          <w:p w14:paraId="7C0A4801">
            <w:pPr>
              <w:jc w:val="center"/>
              <w:rPr>
                <w:rFonts w:hint="eastAsia" w:ascii="宋体" w:hAnsi="宋体" w:eastAsia="宋体" w:cs="宋体"/>
                <w:color w:val="auto"/>
                <w:sz w:val="21"/>
                <w:szCs w:val="21"/>
                <w:highlight w:val="none"/>
                <w:lang w:eastAsia="zh-CN"/>
              </w:rPr>
            </w:pPr>
            <w:r>
              <w:rPr>
                <w:rFonts w:hint="eastAsia" w:ascii="宋体" w:hAnsi="宋体" w:eastAsia="宋体" w:cs="宋体"/>
                <w:bCs/>
                <w:color w:val="auto"/>
                <w:sz w:val="21"/>
                <w:szCs w:val="21"/>
                <w:highlight w:val="none"/>
                <w:lang w:eastAsia="zh-CN"/>
              </w:rPr>
              <w:t>（十三）其他类</w:t>
            </w:r>
          </w:p>
        </w:tc>
      </w:tr>
      <w:tr w14:paraId="4778B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1714" w:type="dxa"/>
            <w:tcBorders>
              <w:top w:val="single" w:color="auto" w:sz="4" w:space="0"/>
              <w:left w:val="single" w:color="auto" w:sz="4" w:space="0"/>
              <w:bottom w:val="single" w:color="auto" w:sz="4" w:space="0"/>
              <w:right w:val="single" w:color="auto" w:sz="4" w:space="0"/>
            </w:tcBorders>
            <w:noWrap w:val="0"/>
            <w:vAlign w:val="center"/>
          </w:tcPr>
          <w:p w14:paraId="55EA789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808" w:type="dxa"/>
            <w:gridSpan w:val="2"/>
            <w:tcBorders>
              <w:top w:val="single" w:color="auto" w:sz="4" w:space="0"/>
              <w:left w:val="single" w:color="auto" w:sz="4" w:space="0"/>
              <w:bottom w:val="single" w:color="auto" w:sz="4" w:space="0"/>
              <w:right w:val="single" w:color="auto" w:sz="4" w:space="0"/>
            </w:tcBorders>
            <w:noWrap w:val="0"/>
            <w:vAlign w:val="top"/>
          </w:tcPr>
          <w:p w14:paraId="5D877BF7">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w:t>
            </w:r>
          </w:p>
        </w:tc>
      </w:tr>
      <w:tr w14:paraId="153DB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714" w:type="dxa"/>
            <w:tcBorders>
              <w:top w:val="single" w:color="auto" w:sz="4" w:space="0"/>
              <w:left w:val="single" w:color="auto" w:sz="4" w:space="0"/>
              <w:bottom w:val="single" w:color="auto" w:sz="4" w:space="0"/>
              <w:right w:val="single" w:color="auto" w:sz="4" w:space="0"/>
            </w:tcBorders>
            <w:noWrap w:val="0"/>
            <w:vAlign w:val="center"/>
          </w:tcPr>
          <w:p w14:paraId="5E630F1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6808" w:type="dxa"/>
            <w:gridSpan w:val="2"/>
            <w:tcBorders>
              <w:top w:val="single" w:color="auto" w:sz="4" w:space="0"/>
              <w:left w:val="single" w:color="auto" w:sz="4" w:space="0"/>
              <w:bottom w:val="single" w:color="auto" w:sz="4" w:space="0"/>
              <w:right w:val="single" w:color="auto" w:sz="4" w:space="0"/>
            </w:tcBorders>
            <w:noWrap w:val="0"/>
            <w:vAlign w:val="center"/>
          </w:tcPr>
          <w:p w14:paraId="172B781D">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因发生事故或者其他突发性事件，造成或者可能造成环境污染、生态破坏事件，未及时通报或者报告的</w:t>
            </w:r>
          </w:p>
        </w:tc>
      </w:tr>
      <w:tr w14:paraId="65BC0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4" w:type="dxa"/>
            <w:tcBorders>
              <w:top w:val="single" w:color="auto" w:sz="4" w:space="0"/>
              <w:left w:val="single" w:color="auto" w:sz="4" w:space="0"/>
              <w:bottom w:val="single" w:color="auto" w:sz="4" w:space="0"/>
              <w:right w:val="single" w:color="auto" w:sz="4" w:space="0"/>
            </w:tcBorders>
            <w:noWrap w:val="0"/>
            <w:vAlign w:val="center"/>
          </w:tcPr>
          <w:p w14:paraId="4469892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6808" w:type="dxa"/>
            <w:gridSpan w:val="2"/>
            <w:tcBorders>
              <w:top w:val="single" w:color="auto" w:sz="4" w:space="0"/>
              <w:left w:val="single" w:color="auto" w:sz="4" w:space="0"/>
              <w:bottom w:val="single" w:color="auto" w:sz="4" w:space="0"/>
              <w:right w:val="single" w:color="auto" w:sz="4" w:space="0"/>
            </w:tcBorders>
            <w:noWrap w:val="0"/>
            <w:vAlign w:val="top"/>
          </w:tcPr>
          <w:p w14:paraId="549443EF">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《中华人民共和国生态环境法典》第一百二十一条第二款 企业事业单位和其他生产经营者应当按照国家规定储备必要的生态环境应急物资和装备，定期开展应急演练，做好应急准备。在发生或者可能发生突发生态环境事件时，企业事业单位和其他生产经营者应当立即采取措施处理，切断或者控制污染源，防止危害扩大，及时通报可能受到危害者，并向生态环境、应急管理等有关部门报告，接受调查处理。</w:t>
            </w:r>
          </w:p>
          <w:p w14:paraId="2ADA569B">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《中华人民共和国生态环境法典》第二百九十二条</w:t>
            </w:r>
            <w:r>
              <w:rPr>
                <w:rFonts w:hint="eastAsia" w:ascii="宋体" w:hAnsi="宋体" w:eastAsia="宋体" w:cs="宋体"/>
                <w:color w:val="auto"/>
                <w:sz w:val="21"/>
                <w:szCs w:val="21"/>
                <w:highlight w:val="none"/>
                <w:lang w:val="en-US" w:eastAsia="zh-CN"/>
              </w:rPr>
              <w:t>第一款</w:t>
            </w:r>
            <w:r>
              <w:rPr>
                <w:rFonts w:hint="eastAsia" w:ascii="宋体" w:hAnsi="宋体" w:eastAsia="宋体" w:cs="宋体"/>
                <w:color w:val="auto"/>
                <w:sz w:val="21"/>
                <w:szCs w:val="21"/>
                <w:highlight w:val="none"/>
              </w:rPr>
              <w:t xml:space="preserve"> 企业事业单位发生事故或者其他突发性事件，造成或者可能造成水污染事故的，应当立即启动本单位的应急预案，采取隔离等应急措施，防止水污染物进入水体，并向事故发生地县级以上地方人民政府或者生态环境主管部门报告。生态环境主管部门接到报告后，应当及时向本级人民政府报告，并抄送水行政、应急管理等有关部门。</w:t>
            </w:r>
          </w:p>
          <w:p w14:paraId="0AD6C03B">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《中华人民共和国生态环境法典》第三百四十四条第一款 因发生事故或者其他突发性事件，造成或者可能造成海洋环境污染、生态破坏事件的单位和个人，应当立即采取有效措施解除或者减轻危害，及时通报可能受到危害者，并向负有海洋生态环境保护监督管理职责的部门、机构报告，接受调查处理。</w:t>
            </w:r>
          </w:p>
          <w:p w14:paraId="7CB41A96">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《中华人民共和国生态环境法典》第五百四十条　因发生事故或者其他突发性事件，造成危险废物严重污染的单位，应当立即采取有效措施消除或者减轻污染危害，及时通报可能受到污染危害者，并向所在地生态环境主管部门和有关部门报告，接受调查处理。</w:t>
            </w:r>
          </w:p>
          <w:p w14:paraId="0319DB1B">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《中华人民共和国生态环境法典》第六百九十四条第三款 因突发性事件造成或者可能造成生态破坏的，有关单位和个人应当立即采取有效措施解除或者减轻危害，及时依法报告、通报，接受调查处理。</w:t>
            </w:r>
          </w:p>
        </w:tc>
      </w:tr>
      <w:tr w14:paraId="27F3E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4" w:type="dxa"/>
            <w:tcBorders>
              <w:top w:val="single" w:color="auto" w:sz="4" w:space="0"/>
              <w:left w:val="single" w:color="auto" w:sz="4" w:space="0"/>
              <w:bottom w:val="single" w:color="auto" w:sz="4" w:space="0"/>
              <w:right w:val="single" w:color="auto" w:sz="4" w:space="0"/>
            </w:tcBorders>
            <w:noWrap w:val="0"/>
            <w:vAlign w:val="center"/>
          </w:tcPr>
          <w:p w14:paraId="353C8F3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6808" w:type="dxa"/>
            <w:gridSpan w:val="2"/>
            <w:tcBorders>
              <w:top w:val="single" w:color="auto" w:sz="4" w:space="0"/>
              <w:left w:val="single" w:color="auto" w:sz="4" w:space="0"/>
              <w:bottom w:val="single" w:color="auto" w:sz="4" w:space="0"/>
              <w:right w:val="single" w:color="auto" w:sz="4" w:space="0"/>
            </w:tcBorders>
            <w:noWrap w:val="0"/>
            <w:vAlign w:val="top"/>
          </w:tcPr>
          <w:p w14:paraId="4160EB3A">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《中华人民共和国生态环境法典》第一千二百三十七条</w:t>
            </w:r>
            <w:r>
              <w:rPr>
                <w:rFonts w:hint="eastAsia" w:ascii="宋体" w:hAnsi="宋体" w:eastAsia="宋体" w:cs="宋体"/>
                <w:color w:val="auto"/>
                <w:sz w:val="21"/>
                <w:szCs w:val="21"/>
                <w:highlight w:val="none"/>
                <w:lang w:val="en-US" w:eastAsia="zh-CN"/>
              </w:rPr>
              <w:t>第一款第一项、第二款</w:t>
            </w:r>
            <w:r>
              <w:rPr>
                <w:rFonts w:hint="eastAsia" w:ascii="宋体" w:hAnsi="宋体" w:eastAsia="宋体" w:cs="宋体"/>
                <w:color w:val="auto"/>
                <w:sz w:val="21"/>
                <w:szCs w:val="21"/>
                <w:highlight w:val="none"/>
              </w:rPr>
              <w:t>　违反本法规定，因发生事故或者其他突发性事件，造成或者可能造成环境污染、生态破坏事件，有下列情形之一的，由负有生态环境保护监督管理职责的部门、机构按照职责分工责令改正，处以罚款：</w:t>
            </w:r>
          </w:p>
          <w:p w14:paraId="184C4FFD">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（一）未及时通报或者报告；</w:t>
            </w:r>
          </w:p>
          <w:p w14:paraId="7E5DBB83">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有前款第一项情形的，处五万元以上五十万元以下的罚款，对直接负责的主管人员和其他直接责任人员处一万元以上十万元以下的罚款，并可以暂扣或者吊销相关任职资格许可；有前款第二项、第三项情形之一的，处二十万元以上二百万元以下的罚款。</w:t>
            </w:r>
          </w:p>
        </w:tc>
      </w:tr>
      <w:tr w14:paraId="44000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4" w:type="dxa"/>
            <w:tcBorders>
              <w:top w:val="single" w:color="auto" w:sz="4" w:space="0"/>
              <w:left w:val="single" w:color="auto" w:sz="4" w:space="0"/>
              <w:bottom w:val="single" w:color="auto" w:sz="4" w:space="0"/>
              <w:right w:val="single" w:color="auto" w:sz="4" w:space="0"/>
            </w:tcBorders>
            <w:noWrap w:val="0"/>
            <w:vAlign w:val="center"/>
          </w:tcPr>
          <w:p w14:paraId="1A39FB3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535" w:type="dxa"/>
            <w:tcBorders>
              <w:top w:val="single" w:color="auto" w:sz="4" w:space="0"/>
              <w:left w:val="single" w:color="auto" w:sz="4" w:space="0"/>
              <w:bottom w:val="single" w:color="auto" w:sz="4" w:space="0"/>
              <w:right w:val="single" w:color="auto" w:sz="4" w:space="0"/>
            </w:tcBorders>
            <w:noWrap w:val="0"/>
            <w:vAlign w:val="top"/>
          </w:tcPr>
          <w:p w14:paraId="2C259CA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273" w:type="dxa"/>
            <w:tcBorders>
              <w:top w:val="single" w:color="auto" w:sz="4" w:space="0"/>
              <w:left w:val="single" w:color="auto" w:sz="4" w:space="0"/>
              <w:bottom w:val="single" w:color="auto" w:sz="4" w:space="0"/>
              <w:right w:val="single" w:color="auto" w:sz="4" w:space="0"/>
            </w:tcBorders>
            <w:noWrap w:val="0"/>
            <w:vAlign w:val="top"/>
          </w:tcPr>
          <w:p w14:paraId="54F4D2E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17D4B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4" w:type="dxa"/>
            <w:vMerge w:val="restart"/>
            <w:tcBorders>
              <w:top w:val="single" w:color="auto" w:sz="4" w:space="0"/>
              <w:left w:val="single" w:color="auto" w:sz="4" w:space="0"/>
              <w:bottom w:val="single" w:color="auto" w:sz="4" w:space="0"/>
              <w:right w:val="single" w:color="auto" w:sz="4" w:space="0"/>
            </w:tcBorders>
            <w:noWrap w:val="0"/>
            <w:vAlign w:val="center"/>
          </w:tcPr>
          <w:p w14:paraId="728F10A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污染物</w:t>
            </w:r>
            <w:r>
              <w:rPr>
                <w:rFonts w:hint="eastAsia" w:ascii="宋体" w:hAnsi="宋体" w:eastAsia="宋体" w:cs="宋体"/>
                <w:color w:val="auto"/>
                <w:sz w:val="21"/>
                <w:szCs w:val="21"/>
                <w:highlight w:val="none"/>
              </w:rPr>
              <w:t>类别</w:t>
            </w:r>
          </w:p>
        </w:tc>
        <w:tc>
          <w:tcPr>
            <w:tcW w:w="5535" w:type="dxa"/>
            <w:tcBorders>
              <w:top w:val="single" w:color="auto" w:sz="4" w:space="0"/>
              <w:left w:val="single" w:color="auto" w:sz="4" w:space="0"/>
              <w:bottom w:val="single" w:color="auto" w:sz="4" w:space="0"/>
              <w:right w:val="single" w:color="auto" w:sz="4" w:space="0"/>
            </w:tcBorders>
            <w:noWrap w:val="0"/>
            <w:vAlign w:val="top"/>
          </w:tcPr>
          <w:p w14:paraId="11697E9C">
            <w:pPr>
              <w:adjustRightInd w:val="0"/>
              <w:ind w:firstLine="420" w:firstLineChars="200"/>
              <w:jc w:val="both"/>
              <w:rPr>
                <w:rFonts w:hint="eastAsia" w:ascii="宋体" w:hAnsi="宋体" w:eastAsia="宋体" w:cs="宋体"/>
                <w:b w:val="0"/>
                <w:bCs w:val="0"/>
                <w:color w:val="auto"/>
                <w:sz w:val="21"/>
                <w:szCs w:val="21"/>
                <w:highlight w:val="none"/>
              </w:rPr>
            </w:pPr>
            <w:r>
              <w:rPr>
                <w:rFonts w:hint="eastAsia" w:ascii="宋体" w:hAnsi="宋体" w:eastAsia="宋体" w:cs="宋体"/>
                <w:color w:val="auto"/>
                <w:sz w:val="21"/>
                <w:szCs w:val="21"/>
                <w:highlight w:val="none"/>
                <w:lang w:val="en-US" w:eastAsia="zh-CN"/>
              </w:rPr>
              <w:t>一般废气、废水、固体废物、噪声、畜禽养殖废水</w:t>
            </w:r>
          </w:p>
        </w:tc>
        <w:tc>
          <w:tcPr>
            <w:tcW w:w="1273" w:type="dxa"/>
            <w:tcBorders>
              <w:top w:val="single" w:color="auto" w:sz="4" w:space="0"/>
              <w:left w:val="single" w:color="auto" w:sz="4" w:space="0"/>
              <w:bottom w:val="single" w:color="auto" w:sz="4" w:space="0"/>
              <w:right w:val="single" w:color="auto" w:sz="4" w:space="0"/>
            </w:tcBorders>
            <w:noWrap w:val="0"/>
            <w:vAlign w:val="center"/>
          </w:tcPr>
          <w:p w14:paraId="7C98886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39D41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4" w:type="dxa"/>
            <w:vMerge w:val="continue"/>
            <w:tcBorders>
              <w:top w:val="single" w:color="auto" w:sz="4" w:space="0"/>
              <w:left w:val="single" w:color="auto" w:sz="4" w:space="0"/>
              <w:bottom w:val="single" w:color="auto" w:sz="4" w:space="0"/>
              <w:right w:val="single" w:color="auto" w:sz="4" w:space="0"/>
            </w:tcBorders>
            <w:noWrap w:val="0"/>
            <w:vAlign w:val="center"/>
          </w:tcPr>
          <w:p w14:paraId="796DC08C">
            <w:pPr>
              <w:jc w:val="center"/>
              <w:rPr>
                <w:rFonts w:hint="eastAsia" w:ascii="宋体" w:hAnsi="宋体" w:eastAsia="宋体" w:cs="宋体"/>
                <w:color w:val="auto"/>
                <w:sz w:val="21"/>
                <w:szCs w:val="21"/>
                <w:highlight w:val="none"/>
              </w:rPr>
            </w:pPr>
          </w:p>
        </w:tc>
        <w:tc>
          <w:tcPr>
            <w:tcW w:w="5535" w:type="dxa"/>
            <w:tcBorders>
              <w:top w:val="single" w:color="auto" w:sz="4" w:space="0"/>
              <w:left w:val="single" w:color="auto" w:sz="4" w:space="0"/>
              <w:bottom w:val="single" w:color="auto" w:sz="4" w:space="0"/>
              <w:right w:val="single" w:color="auto" w:sz="4" w:space="0"/>
            </w:tcBorders>
            <w:noWrap w:val="0"/>
            <w:vAlign w:val="top"/>
          </w:tcPr>
          <w:p w14:paraId="519BE3A4">
            <w:pPr>
              <w:adjustRightInd w:val="0"/>
              <w:ind w:firstLine="420" w:firstLineChars="200"/>
              <w:jc w:val="both"/>
              <w:rPr>
                <w:rFonts w:hint="eastAsia" w:ascii="宋体" w:hAnsi="宋体" w:eastAsia="宋体" w:cs="宋体"/>
                <w:b w:val="0"/>
                <w:bCs w:val="0"/>
                <w:color w:val="auto"/>
                <w:sz w:val="21"/>
                <w:szCs w:val="21"/>
                <w:highlight w:val="none"/>
              </w:rPr>
            </w:pPr>
            <w:r>
              <w:rPr>
                <w:rFonts w:hint="eastAsia" w:ascii="宋体" w:hAnsi="宋体" w:eastAsia="宋体" w:cs="宋体"/>
                <w:color w:val="auto"/>
                <w:sz w:val="21"/>
                <w:szCs w:val="21"/>
                <w:highlight w:val="none"/>
              </w:rPr>
              <w:t>火电、钢铁、石化、水泥、炼焦、有色、化工废气/医疗废水</w:t>
            </w:r>
          </w:p>
        </w:tc>
        <w:tc>
          <w:tcPr>
            <w:tcW w:w="1273" w:type="dxa"/>
            <w:tcBorders>
              <w:top w:val="single" w:color="auto" w:sz="4" w:space="0"/>
              <w:left w:val="single" w:color="auto" w:sz="4" w:space="0"/>
              <w:bottom w:val="single" w:color="auto" w:sz="4" w:space="0"/>
              <w:right w:val="single" w:color="auto" w:sz="4" w:space="0"/>
            </w:tcBorders>
            <w:noWrap w:val="0"/>
            <w:vAlign w:val="center"/>
          </w:tcPr>
          <w:p w14:paraId="4F1017D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p>
        </w:tc>
      </w:tr>
      <w:tr w14:paraId="63A00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4" w:type="dxa"/>
            <w:vMerge w:val="continue"/>
            <w:tcBorders>
              <w:top w:val="single" w:color="auto" w:sz="4" w:space="0"/>
              <w:left w:val="single" w:color="auto" w:sz="4" w:space="0"/>
              <w:bottom w:val="single" w:color="auto" w:sz="4" w:space="0"/>
              <w:right w:val="single" w:color="auto" w:sz="4" w:space="0"/>
            </w:tcBorders>
            <w:noWrap w:val="0"/>
            <w:vAlign w:val="center"/>
          </w:tcPr>
          <w:p w14:paraId="394623C0">
            <w:pPr>
              <w:jc w:val="center"/>
              <w:rPr>
                <w:rFonts w:hint="eastAsia" w:ascii="宋体" w:hAnsi="宋体" w:eastAsia="宋体" w:cs="宋体"/>
                <w:color w:val="auto"/>
                <w:sz w:val="21"/>
                <w:szCs w:val="21"/>
                <w:highlight w:val="none"/>
              </w:rPr>
            </w:pPr>
          </w:p>
        </w:tc>
        <w:tc>
          <w:tcPr>
            <w:tcW w:w="5535" w:type="dxa"/>
            <w:tcBorders>
              <w:top w:val="single" w:color="auto" w:sz="4" w:space="0"/>
              <w:left w:val="single" w:color="auto" w:sz="4" w:space="0"/>
              <w:bottom w:val="single" w:color="auto" w:sz="4" w:space="0"/>
              <w:right w:val="single" w:color="auto" w:sz="4" w:space="0"/>
            </w:tcBorders>
            <w:noWrap w:val="0"/>
            <w:vAlign w:val="top"/>
          </w:tcPr>
          <w:p w14:paraId="4CBB16D2">
            <w:pPr>
              <w:adjustRightInd w:val="0"/>
              <w:ind w:firstLine="420" w:firstLineChars="200"/>
              <w:jc w:val="both"/>
              <w:rPr>
                <w:rFonts w:hint="eastAsia" w:ascii="宋体" w:hAnsi="宋体" w:eastAsia="宋体" w:cs="宋体"/>
                <w:b w:val="0"/>
                <w:bCs w:val="0"/>
                <w:color w:val="auto"/>
                <w:sz w:val="21"/>
                <w:szCs w:val="21"/>
                <w:highlight w:val="none"/>
              </w:rPr>
            </w:pPr>
            <w:r>
              <w:rPr>
                <w:rFonts w:hint="eastAsia" w:ascii="宋体" w:hAnsi="宋体" w:eastAsia="宋体" w:cs="宋体"/>
                <w:color w:val="auto"/>
                <w:sz w:val="21"/>
                <w:szCs w:val="21"/>
                <w:highlight w:val="none"/>
              </w:rPr>
              <w:t>含有毒有害物质的废气、废水／含一类污染物或重金属、病原体、放射性物质的废水／危险废物</w:t>
            </w:r>
          </w:p>
        </w:tc>
        <w:tc>
          <w:tcPr>
            <w:tcW w:w="1273" w:type="dxa"/>
            <w:tcBorders>
              <w:top w:val="single" w:color="auto" w:sz="4" w:space="0"/>
              <w:left w:val="single" w:color="auto" w:sz="4" w:space="0"/>
              <w:bottom w:val="single" w:color="auto" w:sz="4" w:space="0"/>
              <w:right w:val="single" w:color="auto" w:sz="4" w:space="0"/>
            </w:tcBorders>
            <w:noWrap w:val="0"/>
            <w:vAlign w:val="center"/>
          </w:tcPr>
          <w:p w14:paraId="3828E6D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p>
        </w:tc>
      </w:tr>
      <w:tr w14:paraId="43EE4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1714" w:type="dxa"/>
            <w:vMerge w:val="restart"/>
            <w:tcBorders>
              <w:top w:val="single" w:color="auto" w:sz="4" w:space="0"/>
              <w:left w:val="single" w:color="auto" w:sz="4" w:space="0"/>
              <w:right w:val="single" w:color="auto" w:sz="4" w:space="0"/>
            </w:tcBorders>
            <w:noWrap w:val="0"/>
            <w:vAlign w:val="center"/>
          </w:tcPr>
          <w:p w14:paraId="58B158A6">
            <w:pPr>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违法行为发生地</w:t>
            </w:r>
          </w:p>
        </w:tc>
        <w:tc>
          <w:tcPr>
            <w:tcW w:w="5535" w:type="dxa"/>
            <w:tcBorders>
              <w:top w:val="single" w:color="auto" w:sz="4" w:space="0"/>
              <w:left w:val="single" w:color="auto" w:sz="4" w:space="0"/>
              <w:bottom w:val="single" w:color="auto" w:sz="4" w:space="0"/>
              <w:right w:val="single" w:color="auto" w:sz="4" w:space="0"/>
            </w:tcBorders>
            <w:noWrap w:val="0"/>
            <w:vAlign w:val="top"/>
          </w:tcPr>
          <w:p w14:paraId="230E4561">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b w:val="0"/>
                <w:bCs w:val="0"/>
                <w:color w:val="auto"/>
                <w:sz w:val="21"/>
                <w:szCs w:val="21"/>
                <w:highlight w:val="none"/>
              </w:rPr>
            </w:pPr>
            <w:r>
              <w:rPr>
                <w:rFonts w:hint="eastAsia" w:ascii="宋体" w:hAnsi="宋体" w:cs="宋体"/>
                <w:color w:val="auto"/>
                <w:sz w:val="21"/>
                <w:szCs w:val="21"/>
                <w:highlight w:val="none"/>
                <w:lang w:eastAsia="zh-CN"/>
              </w:rPr>
              <w:t>二类环境空气功能区</w:t>
            </w:r>
            <w:r>
              <w:rPr>
                <w:rFonts w:hint="eastAsia" w:ascii="宋体" w:hAnsi="宋体" w:eastAsia="宋体" w:cs="宋体"/>
                <w:color w:val="auto"/>
                <w:sz w:val="21"/>
                <w:szCs w:val="21"/>
                <w:highlight w:val="none"/>
              </w:rPr>
              <w:t>（工业区和农村地区）</w:t>
            </w:r>
            <w:r>
              <w:rPr>
                <w:rFonts w:hint="eastAsia" w:ascii="宋体" w:hAnsi="宋体" w:cs="宋体"/>
                <w:color w:val="auto"/>
                <w:sz w:val="21"/>
                <w:szCs w:val="21"/>
                <w:highlight w:val="none"/>
                <w:lang w:val="en-US" w:eastAsia="zh-CN"/>
              </w:rPr>
              <w:t>/V类水体（或者污水集中处理设施）/</w:t>
            </w:r>
            <w:r>
              <w:rPr>
                <w:rFonts w:hint="eastAsia" w:ascii="宋体" w:hAnsi="宋体" w:eastAsia="宋体" w:cs="宋体"/>
                <w:color w:val="auto"/>
                <w:sz w:val="21"/>
                <w:szCs w:val="21"/>
                <w:highlight w:val="none"/>
                <w:lang w:val="en-US" w:eastAsia="zh-CN"/>
              </w:rPr>
              <w:t>第四类海水水质的区域</w:t>
            </w:r>
          </w:p>
        </w:tc>
        <w:tc>
          <w:tcPr>
            <w:tcW w:w="1273" w:type="dxa"/>
            <w:tcBorders>
              <w:top w:val="single" w:color="auto" w:sz="4" w:space="0"/>
              <w:left w:val="single" w:color="auto" w:sz="4" w:space="0"/>
              <w:bottom w:val="single" w:color="auto" w:sz="4" w:space="0"/>
              <w:right w:val="single" w:color="auto" w:sz="4" w:space="0"/>
            </w:tcBorders>
            <w:noWrap w:val="0"/>
            <w:vAlign w:val="center"/>
          </w:tcPr>
          <w:p w14:paraId="6E53F42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278A1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1714" w:type="dxa"/>
            <w:vMerge w:val="continue"/>
            <w:tcBorders>
              <w:left w:val="single" w:color="auto" w:sz="4" w:space="0"/>
              <w:right w:val="single" w:color="auto" w:sz="4" w:space="0"/>
            </w:tcBorders>
            <w:noWrap w:val="0"/>
            <w:vAlign w:val="center"/>
          </w:tcPr>
          <w:p w14:paraId="559803A2">
            <w:pPr>
              <w:jc w:val="center"/>
              <w:rPr>
                <w:rFonts w:hint="eastAsia" w:ascii="宋体" w:hAnsi="宋体" w:eastAsia="宋体" w:cs="宋体"/>
                <w:color w:val="auto"/>
                <w:sz w:val="21"/>
                <w:szCs w:val="21"/>
                <w:highlight w:val="none"/>
              </w:rPr>
            </w:pPr>
          </w:p>
        </w:tc>
        <w:tc>
          <w:tcPr>
            <w:tcW w:w="5535" w:type="dxa"/>
            <w:tcBorders>
              <w:top w:val="single" w:color="auto" w:sz="4" w:space="0"/>
              <w:left w:val="single" w:color="auto" w:sz="4" w:space="0"/>
              <w:bottom w:val="single" w:color="auto" w:sz="4" w:space="0"/>
              <w:right w:val="single" w:color="auto" w:sz="4" w:space="0"/>
            </w:tcBorders>
            <w:noWrap w:val="0"/>
            <w:vAlign w:val="top"/>
          </w:tcPr>
          <w:p w14:paraId="75BA0029">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b w:val="0"/>
                <w:bCs w:val="0"/>
                <w:color w:val="auto"/>
                <w:sz w:val="21"/>
                <w:szCs w:val="21"/>
                <w:highlight w:val="none"/>
              </w:rPr>
            </w:pPr>
            <w:r>
              <w:rPr>
                <w:rFonts w:hint="eastAsia" w:ascii="宋体" w:hAnsi="宋体" w:cs="宋体"/>
                <w:color w:val="auto"/>
                <w:sz w:val="21"/>
                <w:szCs w:val="21"/>
                <w:highlight w:val="none"/>
                <w:lang w:eastAsia="zh-CN"/>
              </w:rPr>
              <w:t>Ⅳ类</w:t>
            </w:r>
            <w:r>
              <w:rPr>
                <w:rFonts w:hint="eastAsia" w:ascii="宋体" w:hAnsi="宋体" w:eastAsia="宋体" w:cs="宋体"/>
                <w:color w:val="auto"/>
                <w:sz w:val="21"/>
                <w:szCs w:val="21"/>
                <w:highlight w:val="none"/>
              </w:rPr>
              <w:t>水体</w:t>
            </w:r>
            <w:r>
              <w:rPr>
                <w:rFonts w:hint="eastAsia" w:ascii="宋体" w:hAnsi="宋体" w:eastAsia="宋体" w:cs="宋体"/>
                <w:color w:val="auto"/>
                <w:sz w:val="21"/>
                <w:szCs w:val="21"/>
                <w:highlight w:val="none"/>
                <w:lang w:val="en-US" w:eastAsia="zh-CN"/>
              </w:rPr>
              <w:t>/第三类海水水质的区域</w:t>
            </w:r>
          </w:p>
        </w:tc>
        <w:tc>
          <w:tcPr>
            <w:tcW w:w="1273" w:type="dxa"/>
            <w:tcBorders>
              <w:top w:val="single" w:color="auto" w:sz="4" w:space="0"/>
              <w:left w:val="single" w:color="auto" w:sz="4" w:space="0"/>
              <w:bottom w:val="single" w:color="auto" w:sz="4" w:space="0"/>
              <w:right w:val="single" w:color="auto" w:sz="4" w:space="0"/>
            </w:tcBorders>
            <w:noWrap w:val="0"/>
            <w:vAlign w:val="center"/>
          </w:tcPr>
          <w:p w14:paraId="18D9C30E">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w:t>
            </w:r>
          </w:p>
        </w:tc>
      </w:tr>
      <w:tr w14:paraId="04A08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 w:hRule="atLeast"/>
          <w:jc w:val="center"/>
        </w:trPr>
        <w:tc>
          <w:tcPr>
            <w:tcW w:w="1714" w:type="dxa"/>
            <w:vMerge w:val="continue"/>
            <w:tcBorders>
              <w:left w:val="single" w:color="auto" w:sz="4" w:space="0"/>
              <w:right w:val="single" w:color="auto" w:sz="4" w:space="0"/>
            </w:tcBorders>
            <w:noWrap w:val="0"/>
            <w:vAlign w:val="center"/>
          </w:tcPr>
          <w:p w14:paraId="38619E4E">
            <w:pPr>
              <w:jc w:val="center"/>
              <w:rPr>
                <w:rFonts w:hint="eastAsia" w:ascii="宋体" w:hAnsi="宋体" w:eastAsia="宋体" w:cs="宋体"/>
                <w:color w:val="auto"/>
                <w:sz w:val="21"/>
                <w:szCs w:val="21"/>
                <w:highlight w:val="none"/>
              </w:rPr>
            </w:pPr>
          </w:p>
        </w:tc>
        <w:tc>
          <w:tcPr>
            <w:tcW w:w="5535" w:type="dxa"/>
            <w:tcBorders>
              <w:top w:val="single" w:color="auto" w:sz="4" w:space="0"/>
              <w:left w:val="single" w:color="auto" w:sz="4" w:space="0"/>
              <w:bottom w:val="single" w:color="auto" w:sz="4" w:space="0"/>
              <w:right w:val="single" w:color="auto" w:sz="4" w:space="0"/>
            </w:tcBorders>
            <w:noWrap w:val="0"/>
            <w:vAlign w:val="top"/>
          </w:tcPr>
          <w:p w14:paraId="70A5D5E3">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b w:val="0"/>
                <w:bCs w:val="0"/>
                <w:color w:val="auto"/>
                <w:sz w:val="21"/>
                <w:szCs w:val="21"/>
                <w:highlight w:val="none"/>
              </w:rPr>
            </w:pPr>
            <w:r>
              <w:rPr>
                <w:rFonts w:hint="eastAsia" w:ascii="宋体" w:hAnsi="宋体" w:cs="宋体"/>
                <w:color w:val="auto"/>
                <w:sz w:val="21"/>
                <w:szCs w:val="21"/>
                <w:highlight w:val="none"/>
                <w:lang w:eastAsia="zh-CN"/>
              </w:rPr>
              <w:t>二类环境空气功能区</w:t>
            </w:r>
            <w:r>
              <w:rPr>
                <w:rFonts w:hint="eastAsia" w:ascii="宋体" w:hAnsi="宋体" w:eastAsia="宋体" w:cs="宋体"/>
                <w:color w:val="auto"/>
                <w:sz w:val="21"/>
                <w:szCs w:val="21"/>
                <w:highlight w:val="none"/>
                <w:lang w:eastAsia="zh-CN"/>
              </w:rPr>
              <w:t>（居民区、商业交通居民混合区、文化区）/</w:t>
            </w:r>
            <w:r>
              <w:rPr>
                <w:rFonts w:hint="eastAsia" w:ascii="宋体" w:hAnsi="宋体" w:cs="宋体"/>
                <w:color w:val="auto"/>
                <w:sz w:val="21"/>
                <w:szCs w:val="21"/>
                <w:highlight w:val="none"/>
                <w:lang w:eastAsia="zh-CN"/>
              </w:rPr>
              <w:t>Ⅲ类</w:t>
            </w:r>
            <w:r>
              <w:rPr>
                <w:rFonts w:hint="eastAsia" w:ascii="宋体" w:hAnsi="宋体" w:eastAsia="宋体" w:cs="宋体"/>
                <w:color w:val="auto"/>
                <w:sz w:val="21"/>
                <w:szCs w:val="21"/>
                <w:highlight w:val="none"/>
                <w:lang w:eastAsia="zh-CN"/>
              </w:rPr>
              <w:t>水体/饮用水水源准保护区/自然保护地外的生态保护红线区域</w:t>
            </w:r>
          </w:p>
        </w:tc>
        <w:tc>
          <w:tcPr>
            <w:tcW w:w="1273" w:type="dxa"/>
            <w:tcBorders>
              <w:top w:val="single" w:color="auto" w:sz="4" w:space="0"/>
              <w:left w:val="single" w:color="auto" w:sz="4" w:space="0"/>
              <w:bottom w:val="single" w:color="auto" w:sz="4" w:space="0"/>
              <w:right w:val="single" w:color="auto" w:sz="4" w:space="0"/>
            </w:tcBorders>
            <w:noWrap w:val="0"/>
            <w:vAlign w:val="center"/>
          </w:tcPr>
          <w:p w14:paraId="777CEBD3">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w:t>
            </w:r>
          </w:p>
        </w:tc>
      </w:tr>
      <w:tr w14:paraId="41265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 w:hRule="atLeast"/>
          <w:jc w:val="center"/>
        </w:trPr>
        <w:tc>
          <w:tcPr>
            <w:tcW w:w="1714" w:type="dxa"/>
            <w:vMerge w:val="continue"/>
            <w:tcBorders>
              <w:left w:val="single" w:color="auto" w:sz="4" w:space="0"/>
              <w:right w:val="single" w:color="auto" w:sz="4" w:space="0"/>
            </w:tcBorders>
            <w:noWrap w:val="0"/>
            <w:vAlign w:val="center"/>
          </w:tcPr>
          <w:p w14:paraId="1D3F7C98">
            <w:pPr>
              <w:jc w:val="center"/>
              <w:rPr>
                <w:rFonts w:hint="eastAsia" w:ascii="宋体" w:hAnsi="宋体" w:eastAsia="宋体" w:cs="宋体"/>
                <w:color w:val="auto"/>
                <w:sz w:val="21"/>
                <w:szCs w:val="21"/>
                <w:highlight w:val="none"/>
              </w:rPr>
            </w:pPr>
          </w:p>
        </w:tc>
        <w:tc>
          <w:tcPr>
            <w:tcW w:w="5535" w:type="dxa"/>
            <w:tcBorders>
              <w:top w:val="single" w:color="auto" w:sz="4" w:space="0"/>
              <w:left w:val="single" w:color="auto" w:sz="4" w:space="0"/>
              <w:bottom w:val="single" w:color="auto" w:sz="4" w:space="0"/>
              <w:right w:val="single" w:color="auto" w:sz="4" w:space="0"/>
            </w:tcBorders>
            <w:noWrap w:val="0"/>
            <w:vAlign w:val="top"/>
          </w:tcPr>
          <w:p w14:paraId="3050ED7D">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b w:val="0"/>
                <w:bCs w:val="0"/>
                <w:color w:val="auto"/>
                <w:sz w:val="21"/>
                <w:szCs w:val="21"/>
                <w:highlight w:val="none"/>
              </w:rPr>
            </w:pPr>
            <w:r>
              <w:rPr>
                <w:rFonts w:hint="eastAsia" w:ascii="宋体" w:hAnsi="宋体" w:cs="宋体"/>
                <w:color w:val="auto"/>
                <w:sz w:val="21"/>
                <w:szCs w:val="21"/>
                <w:highlight w:val="none"/>
                <w:lang w:eastAsia="zh-CN"/>
              </w:rPr>
              <w:t>Ⅱ类</w:t>
            </w:r>
            <w:r>
              <w:rPr>
                <w:rFonts w:hint="eastAsia" w:ascii="宋体" w:hAnsi="宋体" w:eastAsia="宋体" w:cs="宋体"/>
                <w:color w:val="auto"/>
                <w:sz w:val="21"/>
                <w:szCs w:val="21"/>
                <w:highlight w:val="none"/>
              </w:rPr>
              <w:t>水体</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自然保护地一般控制区</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饮用水水源二级保护区</w:t>
            </w:r>
            <w:r>
              <w:rPr>
                <w:rFonts w:hint="eastAsia" w:ascii="宋体" w:hAnsi="宋体" w:eastAsia="宋体" w:cs="宋体"/>
                <w:color w:val="auto"/>
                <w:sz w:val="21"/>
                <w:szCs w:val="21"/>
                <w:highlight w:val="none"/>
                <w:lang w:val="en-US" w:eastAsia="zh-CN"/>
              </w:rPr>
              <w:t>/第二类海水水质的区域</w:t>
            </w:r>
          </w:p>
        </w:tc>
        <w:tc>
          <w:tcPr>
            <w:tcW w:w="1273" w:type="dxa"/>
            <w:tcBorders>
              <w:top w:val="single" w:color="auto" w:sz="4" w:space="0"/>
              <w:left w:val="single" w:color="auto" w:sz="4" w:space="0"/>
              <w:bottom w:val="single" w:color="auto" w:sz="4" w:space="0"/>
              <w:right w:val="single" w:color="auto" w:sz="4" w:space="0"/>
            </w:tcBorders>
            <w:noWrap w:val="0"/>
            <w:vAlign w:val="center"/>
          </w:tcPr>
          <w:p w14:paraId="50D63DA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r>
      <w:tr w14:paraId="34C85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 w:hRule="atLeast"/>
          <w:jc w:val="center"/>
        </w:trPr>
        <w:tc>
          <w:tcPr>
            <w:tcW w:w="1714" w:type="dxa"/>
            <w:vMerge w:val="continue"/>
            <w:tcBorders>
              <w:left w:val="single" w:color="auto" w:sz="4" w:space="0"/>
              <w:bottom w:val="single" w:color="auto" w:sz="4" w:space="0"/>
              <w:right w:val="single" w:color="auto" w:sz="4" w:space="0"/>
            </w:tcBorders>
            <w:noWrap w:val="0"/>
            <w:vAlign w:val="center"/>
          </w:tcPr>
          <w:p w14:paraId="6F1B1BB2">
            <w:pPr>
              <w:jc w:val="center"/>
              <w:rPr>
                <w:rFonts w:hint="eastAsia" w:ascii="宋体" w:hAnsi="宋体" w:eastAsia="宋体" w:cs="宋体"/>
                <w:color w:val="auto"/>
                <w:sz w:val="21"/>
                <w:szCs w:val="21"/>
                <w:highlight w:val="none"/>
              </w:rPr>
            </w:pPr>
          </w:p>
        </w:tc>
        <w:tc>
          <w:tcPr>
            <w:tcW w:w="5535" w:type="dxa"/>
            <w:tcBorders>
              <w:top w:val="single" w:color="auto" w:sz="4" w:space="0"/>
              <w:left w:val="single" w:color="auto" w:sz="4" w:space="0"/>
              <w:bottom w:val="single" w:color="auto" w:sz="4" w:space="0"/>
              <w:right w:val="single" w:color="auto" w:sz="4" w:space="0"/>
            </w:tcBorders>
            <w:noWrap w:val="0"/>
            <w:vAlign w:val="top"/>
          </w:tcPr>
          <w:p w14:paraId="1946385B">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b w:val="0"/>
                <w:bCs w:val="0"/>
                <w:color w:val="auto"/>
                <w:sz w:val="21"/>
                <w:szCs w:val="21"/>
                <w:highlight w:val="none"/>
              </w:rPr>
            </w:pPr>
            <w:r>
              <w:rPr>
                <w:rFonts w:hint="eastAsia" w:ascii="宋体" w:hAnsi="宋体" w:cs="宋体"/>
                <w:color w:val="auto"/>
                <w:sz w:val="21"/>
                <w:szCs w:val="21"/>
                <w:highlight w:val="none"/>
                <w:lang w:eastAsia="zh-CN"/>
              </w:rPr>
              <w:t>一类环境空气功能区</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I类水体／自然保护地核心保护区</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饮用水水源一级保护区</w:t>
            </w:r>
            <w:r>
              <w:rPr>
                <w:rFonts w:hint="eastAsia" w:ascii="宋体" w:hAnsi="宋体" w:eastAsia="宋体" w:cs="宋体"/>
                <w:color w:val="auto"/>
                <w:sz w:val="21"/>
                <w:szCs w:val="21"/>
                <w:highlight w:val="none"/>
                <w:lang w:val="en-US" w:eastAsia="zh-CN"/>
              </w:rPr>
              <w:t>/第一类海水水质的区域</w:t>
            </w:r>
          </w:p>
        </w:tc>
        <w:tc>
          <w:tcPr>
            <w:tcW w:w="1273" w:type="dxa"/>
            <w:tcBorders>
              <w:top w:val="single" w:color="auto" w:sz="4" w:space="0"/>
              <w:left w:val="single" w:color="auto" w:sz="4" w:space="0"/>
              <w:bottom w:val="single" w:color="auto" w:sz="4" w:space="0"/>
              <w:right w:val="single" w:color="auto" w:sz="4" w:space="0"/>
            </w:tcBorders>
            <w:noWrap w:val="0"/>
            <w:vAlign w:val="center"/>
          </w:tcPr>
          <w:p w14:paraId="0E8F8C1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5B14F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 w:hRule="atLeast"/>
          <w:jc w:val="center"/>
        </w:trPr>
        <w:tc>
          <w:tcPr>
            <w:tcW w:w="1714" w:type="dxa"/>
            <w:vMerge w:val="restart"/>
            <w:tcBorders>
              <w:top w:val="single" w:color="auto" w:sz="4" w:space="0"/>
              <w:left w:val="single" w:color="auto" w:sz="4" w:space="0"/>
              <w:bottom w:val="single" w:color="auto" w:sz="4" w:space="0"/>
              <w:right w:val="single" w:color="auto" w:sz="4" w:space="0"/>
            </w:tcBorders>
            <w:noWrap w:val="0"/>
            <w:vAlign w:val="center"/>
          </w:tcPr>
          <w:p w14:paraId="20C19438">
            <w:pPr>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迟报时间</w:t>
            </w:r>
          </w:p>
        </w:tc>
        <w:tc>
          <w:tcPr>
            <w:tcW w:w="5535" w:type="dxa"/>
            <w:tcBorders>
              <w:top w:val="single" w:color="auto" w:sz="4" w:space="0"/>
              <w:left w:val="single" w:color="auto" w:sz="4" w:space="0"/>
              <w:bottom w:val="single" w:color="auto" w:sz="4" w:space="0"/>
              <w:right w:val="single" w:color="auto" w:sz="4" w:space="0"/>
            </w:tcBorders>
            <w:noWrap w:val="0"/>
            <w:vAlign w:val="center"/>
          </w:tcPr>
          <w:p w14:paraId="71109F00">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迟报时间≤2小时</w:t>
            </w:r>
          </w:p>
        </w:tc>
        <w:tc>
          <w:tcPr>
            <w:tcW w:w="1273" w:type="dxa"/>
            <w:tcBorders>
              <w:top w:val="single" w:color="auto" w:sz="4" w:space="0"/>
              <w:left w:val="single" w:color="auto" w:sz="4" w:space="0"/>
              <w:bottom w:val="single" w:color="auto" w:sz="4" w:space="0"/>
              <w:right w:val="single" w:color="auto" w:sz="4" w:space="0"/>
            </w:tcBorders>
            <w:noWrap w:val="0"/>
            <w:vAlign w:val="top"/>
          </w:tcPr>
          <w:p w14:paraId="336470EB">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r>
      <w:tr w14:paraId="1984D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 w:hRule="atLeast"/>
          <w:jc w:val="center"/>
        </w:trPr>
        <w:tc>
          <w:tcPr>
            <w:tcW w:w="1714" w:type="dxa"/>
            <w:vMerge w:val="continue"/>
            <w:tcBorders>
              <w:top w:val="single" w:color="auto" w:sz="4" w:space="0"/>
              <w:left w:val="single" w:color="auto" w:sz="4" w:space="0"/>
              <w:bottom w:val="single" w:color="auto" w:sz="4" w:space="0"/>
              <w:right w:val="single" w:color="auto" w:sz="4" w:space="0"/>
            </w:tcBorders>
            <w:noWrap w:val="0"/>
            <w:vAlign w:val="center"/>
          </w:tcPr>
          <w:p w14:paraId="69A75F22">
            <w:pPr>
              <w:jc w:val="center"/>
              <w:rPr>
                <w:rFonts w:hint="eastAsia" w:ascii="宋体" w:hAnsi="宋体" w:eastAsia="宋体" w:cs="宋体"/>
                <w:color w:val="auto"/>
                <w:sz w:val="21"/>
                <w:szCs w:val="21"/>
                <w:highlight w:val="none"/>
              </w:rPr>
            </w:pPr>
          </w:p>
        </w:tc>
        <w:tc>
          <w:tcPr>
            <w:tcW w:w="5535" w:type="dxa"/>
            <w:tcBorders>
              <w:top w:val="single" w:color="auto" w:sz="4" w:space="0"/>
              <w:left w:val="single" w:color="auto" w:sz="4" w:space="0"/>
              <w:bottom w:val="single" w:color="auto" w:sz="4" w:space="0"/>
              <w:right w:val="single" w:color="auto" w:sz="4" w:space="0"/>
            </w:tcBorders>
            <w:noWrap w:val="0"/>
            <w:vAlign w:val="center"/>
          </w:tcPr>
          <w:p w14:paraId="2F1A9F5C">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2小时＜迟报时间≤6小时</w:t>
            </w:r>
          </w:p>
        </w:tc>
        <w:tc>
          <w:tcPr>
            <w:tcW w:w="1273" w:type="dxa"/>
            <w:tcBorders>
              <w:top w:val="single" w:color="auto" w:sz="4" w:space="0"/>
              <w:left w:val="single" w:color="auto" w:sz="4" w:space="0"/>
              <w:bottom w:val="single" w:color="auto" w:sz="4" w:space="0"/>
              <w:right w:val="single" w:color="auto" w:sz="4" w:space="0"/>
            </w:tcBorders>
            <w:noWrap w:val="0"/>
            <w:vAlign w:val="top"/>
          </w:tcPr>
          <w:p w14:paraId="5BA46FF3">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r>
      <w:tr w14:paraId="6D26A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 w:hRule="atLeast"/>
          <w:jc w:val="center"/>
        </w:trPr>
        <w:tc>
          <w:tcPr>
            <w:tcW w:w="1714" w:type="dxa"/>
            <w:vMerge w:val="continue"/>
            <w:tcBorders>
              <w:top w:val="single" w:color="auto" w:sz="4" w:space="0"/>
              <w:left w:val="single" w:color="auto" w:sz="4" w:space="0"/>
              <w:bottom w:val="single" w:color="auto" w:sz="4" w:space="0"/>
              <w:right w:val="single" w:color="auto" w:sz="4" w:space="0"/>
            </w:tcBorders>
            <w:noWrap w:val="0"/>
            <w:vAlign w:val="center"/>
          </w:tcPr>
          <w:p w14:paraId="7A281818">
            <w:pPr>
              <w:jc w:val="center"/>
              <w:rPr>
                <w:rFonts w:hint="eastAsia" w:ascii="宋体" w:hAnsi="宋体" w:eastAsia="宋体" w:cs="宋体"/>
                <w:color w:val="auto"/>
                <w:sz w:val="21"/>
                <w:szCs w:val="21"/>
                <w:highlight w:val="none"/>
              </w:rPr>
            </w:pPr>
          </w:p>
        </w:tc>
        <w:tc>
          <w:tcPr>
            <w:tcW w:w="5535" w:type="dxa"/>
            <w:tcBorders>
              <w:top w:val="single" w:color="auto" w:sz="4" w:space="0"/>
              <w:left w:val="single" w:color="auto" w:sz="4" w:space="0"/>
              <w:bottom w:val="single" w:color="auto" w:sz="4" w:space="0"/>
              <w:right w:val="single" w:color="auto" w:sz="4" w:space="0"/>
            </w:tcBorders>
            <w:noWrap w:val="0"/>
            <w:vAlign w:val="center"/>
          </w:tcPr>
          <w:p w14:paraId="4F0DC0A8">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迟报时间＞6小时</w:t>
            </w:r>
          </w:p>
        </w:tc>
        <w:tc>
          <w:tcPr>
            <w:tcW w:w="1273" w:type="dxa"/>
            <w:tcBorders>
              <w:top w:val="single" w:color="auto" w:sz="4" w:space="0"/>
              <w:left w:val="single" w:color="auto" w:sz="4" w:space="0"/>
              <w:bottom w:val="single" w:color="auto" w:sz="4" w:space="0"/>
              <w:right w:val="single" w:color="auto" w:sz="4" w:space="0"/>
            </w:tcBorders>
            <w:noWrap w:val="0"/>
            <w:vAlign w:val="top"/>
          </w:tcPr>
          <w:p w14:paraId="1F896839">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r>
      <w:tr w14:paraId="5F0A2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4" w:type="dxa"/>
            <w:tcBorders>
              <w:top w:val="single" w:color="auto" w:sz="4" w:space="0"/>
              <w:left w:val="single" w:color="auto" w:sz="4" w:space="0"/>
              <w:bottom w:val="single" w:color="auto" w:sz="4" w:space="0"/>
              <w:right w:val="single" w:color="auto" w:sz="4" w:space="0"/>
            </w:tcBorders>
            <w:noWrap w:val="0"/>
            <w:vAlign w:val="center"/>
          </w:tcPr>
          <w:p w14:paraId="643B596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备注</w:t>
            </w:r>
          </w:p>
        </w:tc>
        <w:tc>
          <w:tcPr>
            <w:tcW w:w="6808" w:type="dxa"/>
            <w:gridSpan w:val="2"/>
            <w:tcBorders>
              <w:top w:val="single" w:color="auto" w:sz="4" w:space="0"/>
              <w:left w:val="single" w:color="auto" w:sz="4" w:space="0"/>
              <w:bottom w:val="single" w:color="auto" w:sz="4" w:space="0"/>
              <w:right w:val="single" w:color="auto" w:sz="4" w:space="0"/>
            </w:tcBorders>
            <w:noWrap w:val="0"/>
            <w:vAlign w:val="top"/>
          </w:tcPr>
          <w:p w14:paraId="530B1223">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拟对单位、直接负责的主管人员和其他直接责任人员实施罚款处罚的，应当分别套用计算公式确定罚款数额。</w:t>
            </w:r>
          </w:p>
        </w:tc>
      </w:tr>
    </w:tbl>
    <w:p w14:paraId="1BD33066">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801"/>
        <w:gridCol w:w="5811"/>
        <w:gridCol w:w="1336"/>
      </w:tblGrid>
      <w:tr w14:paraId="46F029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522" w:type="dxa"/>
            <w:gridSpan w:val="3"/>
            <w:tcBorders>
              <w:top w:val="single" w:color="auto" w:sz="4" w:space="0"/>
              <w:left w:val="single" w:color="auto" w:sz="4" w:space="0"/>
              <w:bottom w:val="single" w:color="auto" w:sz="4" w:space="0"/>
              <w:right w:val="single" w:color="auto" w:sz="4" w:space="0"/>
            </w:tcBorders>
            <w:noWrap w:val="0"/>
            <w:vAlign w:val="top"/>
          </w:tcPr>
          <w:p w14:paraId="30E04E7A">
            <w:pPr>
              <w:jc w:val="center"/>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eastAsia="zh-CN"/>
              </w:rPr>
              <w:t>（十三）其他类</w:t>
            </w:r>
          </w:p>
        </w:tc>
      </w:tr>
      <w:tr w14:paraId="33C353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4" w:hRule="atLeast"/>
          <w:jc w:val="center"/>
        </w:trPr>
        <w:tc>
          <w:tcPr>
            <w:tcW w:w="1716" w:type="dxa"/>
            <w:tcBorders>
              <w:top w:val="single" w:color="auto" w:sz="4" w:space="0"/>
              <w:left w:val="single" w:color="auto" w:sz="4" w:space="0"/>
              <w:bottom w:val="single" w:color="auto" w:sz="4" w:space="0"/>
              <w:right w:val="single" w:color="auto" w:sz="4" w:space="0"/>
            </w:tcBorders>
            <w:noWrap w:val="0"/>
            <w:vAlign w:val="center"/>
          </w:tcPr>
          <w:p w14:paraId="789A80C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806" w:type="dxa"/>
            <w:gridSpan w:val="2"/>
            <w:tcBorders>
              <w:top w:val="single" w:color="auto" w:sz="4" w:space="0"/>
              <w:left w:val="single" w:color="auto" w:sz="4" w:space="0"/>
              <w:bottom w:val="single" w:color="auto" w:sz="4" w:space="0"/>
              <w:right w:val="single" w:color="auto" w:sz="4" w:space="0"/>
            </w:tcBorders>
            <w:noWrap w:val="0"/>
            <w:vAlign w:val="top"/>
          </w:tcPr>
          <w:p w14:paraId="1C338D60">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w:t>
            </w:r>
          </w:p>
        </w:tc>
      </w:tr>
      <w:tr w14:paraId="53FA35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716" w:type="dxa"/>
            <w:tcBorders>
              <w:top w:val="single" w:color="auto" w:sz="4" w:space="0"/>
              <w:left w:val="single" w:color="auto" w:sz="4" w:space="0"/>
              <w:bottom w:val="single" w:color="auto" w:sz="4" w:space="0"/>
              <w:right w:val="single" w:color="auto" w:sz="4" w:space="0"/>
            </w:tcBorders>
            <w:noWrap w:val="0"/>
            <w:vAlign w:val="center"/>
          </w:tcPr>
          <w:p w14:paraId="38D1B20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6806" w:type="dxa"/>
            <w:gridSpan w:val="2"/>
            <w:tcBorders>
              <w:top w:val="single" w:color="auto" w:sz="4" w:space="0"/>
              <w:left w:val="single" w:color="auto" w:sz="4" w:space="0"/>
              <w:bottom w:val="single" w:color="auto" w:sz="4" w:space="0"/>
              <w:right w:val="single" w:color="auto" w:sz="4" w:space="0"/>
            </w:tcBorders>
            <w:noWrap w:val="0"/>
            <w:vAlign w:val="center"/>
          </w:tcPr>
          <w:p w14:paraId="4A5F0521">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因发生事故或者其他突发性事件，造成或者可能造成环境污染、生态破坏事件，未立即采取有效措施或者逃逸的</w:t>
            </w:r>
          </w:p>
        </w:tc>
      </w:tr>
      <w:tr w14:paraId="22D2AF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716" w:type="dxa"/>
            <w:tcBorders>
              <w:top w:val="single" w:color="auto" w:sz="4" w:space="0"/>
              <w:left w:val="single" w:color="auto" w:sz="4" w:space="0"/>
              <w:bottom w:val="single" w:color="auto" w:sz="4" w:space="0"/>
              <w:right w:val="single" w:color="auto" w:sz="4" w:space="0"/>
            </w:tcBorders>
            <w:noWrap w:val="0"/>
            <w:vAlign w:val="center"/>
          </w:tcPr>
          <w:p w14:paraId="6F58C1E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6806" w:type="dxa"/>
            <w:gridSpan w:val="2"/>
            <w:tcBorders>
              <w:top w:val="single" w:color="auto" w:sz="4" w:space="0"/>
              <w:left w:val="single" w:color="auto" w:sz="4" w:space="0"/>
              <w:bottom w:val="single" w:color="auto" w:sz="4" w:space="0"/>
              <w:right w:val="single" w:color="auto" w:sz="4" w:space="0"/>
            </w:tcBorders>
            <w:noWrap w:val="0"/>
            <w:vAlign w:val="top"/>
          </w:tcPr>
          <w:p w14:paraId="3669D00D">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《中华人民共和国生态环境法典》第一百二十一条第二款 企业事业单位和其他生产经营者应当按照国家规定储备必要的生态环境应急物资和装备，定期开展应急演练，做好应急准备。在发生或者可能发生突发生态环境事件时，企业事业单位和其他生产经营者应当立即采取措施处理，切断或者控制污染源，防止危害扩大，及时通报可能受到危害者，并向生态环境、应急管理等有关部门报告，接受调查处理。</w:t>
            </w:r>
          </w:p>
          <w:p w14:paraId="48A2ADBE">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《中华人民共和国生态环境法典》第一百二十二条　各级人民政府及其有关部门、企业事业单位和其他生产经营者，在自然灾害、事故灾难、公共卫生事件应急处置过程中，应当采取必要措施，避免或者减少对生态环境造成的危害。</w:t>
            </w:r>
          </w:p>
          <w:p w14:paraId="7C4795AF">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《中华人民共和国生态环境法典》第二百九十二条</w:t>
            </w:r>
            <w:r>
              <w:rPr>
                <w:rFonts w:hint="eastAsia" w:ascii="宋体" w:hAnsi="宋体" w:eastAsia="宋体" w:cs="宋体"/>
                <w:color w:val="auto"/>
                <w:sz w:val="21"/>
                <w:szCs w:val="21"/>
                <w:highlight w:val="none"/>
                <w:lang w:val="en-US" w:eastAsia="zh-CN"/>
              </w:rPr>
              <w:t>第一款</w:t>
            </w:r>
            <w:r>
              <w:rPr>
                <w:rFonts w:hint="eastAsia" w:ascii="宋体" w:hAnsi="宋体" w:eastAsia="宋体" w:cs="宋体"/>
                <w:color w:val="auto"/>
                <w:sz w:val="21"/>
                <w:szCs w:val="21"/>
                <w:highlight w:val="none"/>
              </w:rPr>
              <w:t xml:space="preserve"> 企业事业单位发生事故或者其他突发性事件，造成或者可能造成水污染事故的，应当立即启动本单位的应急预案，采取隔离等应急措施，防止水污染物进入水体，并向事故发生地县级以上地方人民政府或者生态环境主管部门报告。生态环境主管部门接到报告后，应当及时向本级人民政府报告，并抄送水行政、应急管理等有关部门。</w:t>
            </w:r>
          </w:p>
          <w:p w14:paraId="737DACAD">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《中华人民共和国生态环境法典》第三百四十四条第一款 因发生事故或者其他突发性事件，造成或者可能造成海洋环境污染、生态破坏事件的单位和个人，应当立即采取有效措施解除或者减轻危害，及时通报可能受到危害者，并向负有海洋生态环境保护监督管理职责的部门、机构报告，接受调查处理。</w:t>
            </w:r>
          </w:p>
          <w:p w14:paraId="50049E8B">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《中华人民共和国生态环境法典》第五百四十条　因发生事故或者其他突发性事件，造成危险废物严重污染的单位，应当立即采取有效措施消除或者减轻污染危害，及时通报可能受到污染危害者，并向所在地生态环境主管部门和有关部门报告，接受调查处理。</w:t>
            </w:r>
          </w:p>
          <w:p w14:paraId="2FBF5077">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《中华人民共和国生态环境法典》第六百九十四条第三款 因突发性事件造成或者可能造成生态破坏的，有关单位和个人应当立即采取有效措施解除或者减轻危害，及时依法报告、通报，接受调查处理。</w:t>
            </w:r>
          </w:p>
        </w:tc>
      </w:tr>
      <w:tr w14:paraId="5333200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716" w:type="dxa"/>
            <w:tcBorders>
              <w:top w:val="single" w:color="auto" w:sz="4" w:space="0"/>
              <w:left w:val="single" w:color="auto" w:sz="4" w:space="0"/>
              <w:bottom w:val="single" w:color="auto" w:sz="4" w:space="0"/>
              <w:right w:val="single" w:color="auto" w:sz="4" w:space="0"/>
            </w:tcBorders>
            <w:noWrap w:val="0"/>
            <w:vAlign w:val="center"/>
          </w:tcPr>
          <w:p w14:paraId="7F06103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6806" w:type="dxa"/>
            <w:gridSpan w:val="2"/>
            <w:tcBorders>
              <w:top w:val="single" w:color="auto" w:sz="4" w:space="0"/>
              <w:left w:val="single" w:color="auto" w:sz="4" w:space="0"/>
              <w:bottom w:val="single" w:color="auto" w:sz="4" w:space="0"/>
              <w:right w:val="single" w:color="auto" w:sz="4" w:space="0"/>
            </w:tcBorders>
            <w:noWrap w:val="0"/>
            <w:vAlign w:val="top"/>
          </w:tcPr>
          <w:p w14:paraId="7FFB9334">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《中华人民共和国生态环境法典》第一千二百三十七条</w:t>
            </w:r>
            <w:r>
              <w:rPr>
                <w:rFonts w:hint="eastAsia" w:ascii="宋体" w:hAnsi="宋体" w:eastAsia="宋体" w:cs="宋体"/>
                <w:color w:val="auto"/>
                <w:sz w:val="21"/>
                <w:szCs w:val="21"/>
                <w:highlight w:val="none"/>
                <w:lang w:val="en-US" w:eastAsia="zh-CN"/>
              </w:rPr>
              <w:t>第一款第二项、第二款</w:t>
            </w:r>
            <w:r>
              <w:rPr>
                <w:rFonts w:hint="eastAsia" w:ascii="宋体" w:hAnsi="宋体" w:eastAsia="宋体" w:cs="宋体"/>
                <w:color w:val="auto"/>
                <w:sz w:val="21"/>
                <w:szCs w:val="21"/>
                <w:highlight w:val="none"/>
              </w:rPr>
              <w:t>　违反本法规定，因发生事故或者其他突发性事件，造成或者可能造成环境污染、生态破坏事件，有下列情形之一的，由负有生态环境保护监督管理职责的部门、机构按照职责分工责令改正，处以罚款：</w:t>
            </w:r>
          </w:p>
          <w:p w14:paraId="5E0FF9CD">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（二）未立即采取有效措施或者逃逸；</w:t>
            </w:r>
          </w:p>
          <w:p w14:paraId="1EB44477">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有前款第一项情形的，处五万元以上五十万元以下的罚款，对直接负责的主管人员和其他直接责任人员处一万元以上十万元以下的罚款，并可以暂扣或者吊销相关任职资格许可；有前款第二项、第三项情形之一的，处二十万元以上二百万元以下的罚款。</w:t>
            </w:r>
          </w:p>
        </w:tc>
      </w:tr>
      <w:tr w14:paraId="04FAF0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716" w:type="dxa"/>
            <w:tcBorders>
              <w:top w:val="single" w:color="auto" w:sz="4" w:space="0"/>
              <w:left w:val="single" w:color="auto" w:sz="4" w:space="0"/>
              <w:bottom w:val="single" w:color="auto" w:sz="4" w:space="0"/>
              <w:right w:val="single" w:color="auto" w:sz="4" w:space="0"/>
            </w:tcBorders>
            <w:noWrap w:val="0"/>
            <w:vAlign w:val="center"/>
          </w:tcPr>
          <w:p w14:paraId="59D705D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534" w:type="dxa"/>
            <w:tcBorders>
              <w:top w:val="single" w:color="auto" w:sz="4" w:space="0"/>
              <w:left w:val="single" w:color="auto" w:sz="4" w:space="0"/>
              <w:bottom w:val="single" w:color="auto" w:sz="4" w:space="0"/>
              <w:right w:val="single" w:color="auto" w:sz="4" w:space="0"/>
            </w:tcBorders>
            <w:noWrap w:val="0"/>
            <w:vAlign w:val="top"/>
          </w:tcPr>
          <w:p w14:paraId="13496C1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272" w:type="dxa"/>
            <w:tcBorders>
              <w:top w:val="single" w:color="auto" w:sz="4" w:space="0"/>
              <w:left w:val="single" w:color="auto" w:sz="4" w:space="0"/>
              <w:bottom w:val="single" w:color="auto" w:sz="4" w:space="0"/>
              <w:right w:val="single" w:color="auto" w:sz="4" w:space="0"/>
            </w:tcBorders>
            <w:noWrap w:val="0"/>
            <w:vAlign w:val="top"/>
          </w:tcPr>
          <w:p w14:paraId="0921DD1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3EB1B6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716" w:type="dxa"/>
            <w:vMerge w:val="restart"/>
            <w:tcBorders>
              <w:top w:val="single" w:color="auto" w:sz="4" w:space="0"/>
              <w:left w:val="single" w:color="auto" w:sz="4" w:space="0"/>
              <w:bottom w:val="single" w:color="auto" w:sz="4" w:space="0"/>
              <w:right w:val="single" w:color="auto" w:sz="4" w:space="0"/>
            </w:tcBorders>
            <w:noWrap w:val="0"/>
            <w:vAlign w:val="center"/>
          </w:tcPr>
          <w:p w14:paraId="450CA18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污染物</w:t>
            </w:r>
            <w:r>
              <w:rPr>
                <w:rFonts w:hint="eastAsia" w:ascii="宋体" w:hAnsi="宋体" w:eastAsia="宋体" w:cs="宋体"/>
                <w:color w:val="auto"/>
                <w:sz w:val="21"/>
                <w:szCs w:val="21"/>
                <w:highlight w:val="none"/>
              </w:rPr>
              <w:t>类别</w:t>
            </w:r>
          </w:p>
        </w:tc>
        <w:tc>
          <w:tcPr>
            <w:tcW w:w="5534" w:type="dxa"/>
            <w:tcBorders>
              <w:top w:val="single" w:color="auto" w:sz="4" w:space="0"/>
              <w:left w:val="single" w:color="auto" w:sz="4" w:space="0"/>
              <w:bottom w:val="single" w:color="auto" w:sz="4" w:space="0"/>
              <w:right w:val="single" w:color="auto" w:sz="4" w:space="0"/>
            </w:tcBorders>
            <w:noWrap w:val="0"/>
            <w:vAlign w:val="top"/>
          </w:tcPr>
          <w:p w14:paraId="7D2470E6">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一般废气、废水、固体废物、噪声、畜禽养殖废水</w:t>
            </w:r>
          </w:p>
        </w:tc>
        <w:tc>
          <w:tcPr>
            <w:tcW w:w="1272" w:type="dxa"/>
            <w:tcBorders>
              <w:top w:val="single" w:color="auto" w:sz="4" w:space="0"/>
              <w:left w:val="single" w:color="auto" w:sz="4" w:space="0"/>
              <w:bottom w:val="single" w:color="auto" w:sz="4" w:space="0"/>
              <w:right w:val="single" w:color="auto" w:sz="4" w:space="0"/>
            </w:tcBorders>
            <w:noWrap w:val="0"/>
            <w:vAlign w:val="center"/>
          </w:tcPr>
          <w:p w14:paraId="28342FF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391ED9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716" w:type="dxa"/>
            <w:vMerge w:val="continue"/>
            <w:tcBorders>
              <w:top w:val="single" w:color="auto" w:sz="4" w:space="0"/>
              <w:left w:val="single" w:color="auto" w:sz="4" w:space="0"/>
              <w:bottom w:val="single" w:color="auto" w:sz="4" w:space="0"/>
              <w:right w:val="single" w:color="auto" w:sz="4" w:space="0"/>
            </w:tcBorders>
            <w:noWrap w:val="0"/>
            <w:vAlign w:val="center"/>
          </w:tcPr>
          <w:p w14:paraId="56E9716B">
            <w:pPr>
              <w:jc w:val="center"/>
              <w:rPr>
                <w:rFonts w:hint="eastAsia" w:ascii="宋体" w:hAnsi="宋体" w:eastAsia="宋体" w:cs="宋体"/>
                <w:color w:val="auto"/>
                <w:sz w:val="21"/>
                <w:szCs w:val="21"/>
                <w:highlight w:val="none"/>
              </w:rPr>
            </w:pPr>
          </w:p>
        </w:tc>
        <w:tc>
          <w:tcPr>
            <w:tcW w:w="5534" w:type="dxa"/>
            <w:tcBorders>
              <w:top w:val="single" w:color="auto" w:sz="4" w:space="0"/>
              <w:left w:val="single" w:color="auto" w:sz="4" w:space="0"/>
              <w:bottom w:val="single" w:color="auto" w:sz="4" w:space="0"/>
              <w:right w:val="single" w:color="auto" w:sz="4" w:space="0"/>
            </w:tcBorders>
            <w:noWrap w:val="0"/>
            <w:vAlign w:val="top"/>
          </w:tcPr>
          <w:p w14:paraId="492A08D1">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火电、钢铁、石化、水泥、炼焦、有色、化工废气/医疗废水</w:t>
            </w:r>
          </w:p>
        </w:tc>
        <w:tc>
          <w:tcPr>
            <w:tcW w:w="1272" w:type="dxa"/>
            <w:tcBorders>
              <w:top w:val="single" w:color="auto" w:sz="4" w:space="0"/>
              <w:left w:val="single" w:color="auto" w:sz="4" w:space="0"/>
              <w:bottom w:val="single" w:color="auto" w:sz="4" w:space="0"/>
              <w:right w:val="single" w:color="auto" w:sz="4" w:space="0"/>
            </w:tcBorders>
            <w:noWrap w:val="0"/>
            <w:vAlign w:val="center"/>
          </w:tcPr>
          <w:p w14:paraId="7A47BE7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p>
        </w:tc>
      </w:tr>
      <w:tr w14:paraId="3B3CA3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716" w:type="dxa"/>
            <w:vMerge w:val="continue"/>
            <w:tcBorders>
              <w:top w:val="single" w:color="auto" w:sz="4" w:space="0"/>
              <w:left w:val="single" w:color="auto" w:sz="4" w:space="0"/>
              <w:bottom w:val="single" w:color="auto" w:sz="4" w:space="0"/>
              <w:right w:val="single" w:color="auto" w:sz="4" w:space="0"/>
            </w:tcBorders>
            <w:noWrap w:val="0"/>
            <w:vAlign w:val="center"/>
          </w:tcPr>
          <w:p w14:paraId="15EEBB70">
            <w:pPr>
              <w:jc w:val="center"/>
              <w:rPr>
                <w:rFonts w:hint="eastAsia" w:ascii="宋体" w:hAnsi="宋体" w:eastAsia="宋体" w:cs="宋体"/>
                <w:color w:val="auto"/>
                <w:sz w:val="21"/>
                <w:szCs w:val="21"/>
                <w:highlight w:val="none"/>
              </w:rPr>
            </w:pPr>
          </w:p>
        </w:tc>
        <w:tc>
          <w:tcPr>
            <w:tcW w:w="5534" w:type="dxa"/>
            <w:tcBorders>
              <w:top w:val="single" w:color="auto" w:sz="4" w:space="0"/>
              <w:left w:val="single" w:color="auto" w:sz="4" w:space="0"/>
              <w:bottom w:val="single" w:color="auto" w:sz="4" w:space="0"/>
              <w:right w:val="single" w:color="auto" w:sz="4" w:space="0"/>
            </w:tcBorders>
            <w:noWrap w:val="0"/>
            <w:vAlign w:val="top"/>
          </w:tcPr>
          <w:p w14:paraId="346421FA">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含有毒有害物质的废气、废水／含一类污染物或重金属、病原体、放射性物质的废水／危险废物</w:t>
            </w:r>
          </w:p>
        </w:tc>
        <w:tc>
          <w:tcPr>
            <w:tcW w:w="1272" w:type="dxa"/>
            <w:tcBorders>
              <w:top w:val="single" w:color="auto" w:sz="4" w:space="0"/>
              <w:left w:val="single" w:color="auto" w:sz="4" w:space="0"/>
              <w:bottom w:val="single" w:color="auto" w:sz="4" w:space="0"/>
              <w:right w:val="single" w:color="auto" w:sz="4" w:space="0"/>
            </w:tcBorders>
            <w:noWrap w:val="0"/>
            <w:vAlign w:val="center"/>
          </w:tcPr>
          <w:p w14:paraId="4D94442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p>
        </w:tc>
      </w:tr>
      <w:tr w14:paraId="259F45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4" w:hRule="atLeast"/>
          <w:jc w:val="center"/>
        </w:trPr>
        <w:tc>
          <w:tcPr>
            <w:tcW w:w="1716" w:type="dxa"/>
            <w:vMerge w:val="restart"/>
            <w:tcBorders>
              <w:top w:val="single" w:color="auto" w:sz="4" w:space="0"/>
              <w:left w:val="single" w:color="auto" w:sz="4" w:space="0"/>
              <w:bottom w:val="single" w:color="auto" w:sz="4" w:space="0"/>
              <w:right w:val="single" w:color="auto" w:sz="4" w:space="0"/>
            </w:tcBorders>
            <w:noWrap w:val="0"/>
            <w:vAlign w:val="center"/>
          </w:tcPr>
          <w:p w14:paraId="596200FA">
            <w:pPr>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违法行为发生地</w:t>
            </w:r>
          </w:p>
        </w:tc>
        <w:tc>
          <w:tcPr>
            <w:tcW w:w="5534" w:type="dxa"/>
            <w:tcBorders>
              <w:top w:val="single" w:color="auto" w:sz="4" w:space="0"/>
              <w:left w:val="single" w:color="auto" w:sz="4" w:space="0"/>
              <w:bottom w:val="single" w:color="auto" w:sz="4" w:space="0"/>
              <w:right w:val="single" w:color="auto" w:sz="4" w:space="0"/>
            </w:tcBorders>
            <w:noWrap w:val="0"/>
            <w:vAlign w:val="top"/>
          </w:tcPr>
          <w:p w14:paraId="684E43B5">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b w:val="0"/>
                <w:bCs w:val="0"/>
                <w:color w:val="auto"/>
                <w:sz w:val="21"/>
                <w:szCs w:val="21"/>
                <w:highlight w:val="none"/>
              </w:rPr>
            </w:pPr>
            <w:r>
              <w:rPr>
                <w:rFonts w:hint="eastAsia" w:ascii="宋体" w:hAnsi="宋体" w:cs="宋体"/>
                <w:color w:val="auto"/>
                <w:sz w:val="21"/>
                <w:szCs w:val="21"/>
                <w:highlight w:val="none"/>
                <w:lang w:eastAsia="zh-CN"/>
              </w:rPr>
              <w:t>二类环境空气功能区</w:t>
            </w:r>
            <w:r>
              <w:rPr>
                <w:rFonts w:hint="eastAsia" w:ascii="宋体" w:hAnsi="宋体" w:eastAsia="宋体" w:cs="宋体"/>
                <w:color w:val="auto"/>
                <w:sz w:val="21"/>
                <w:szCs w:val="21"/>
                <w:highlight w:val="none"/>
              </w:rPr>
              <w:t>（工业区和农村地区）</w:t>
            </w:r>
            <w:r>
              <w:rPr>
                <w:rFonts w:hint="eastAsia" w:ascii="宋体" w:hAnsi="宋体" w:cs="宋体"/>
                <w:color w:val="auto"/>
                <w:sz w:val="21"/>
                <w:szCs w:val="21"/>
                <w:highlight w:val="none"/>
                <w:lang w:val="en-US" w:eastAsia="zh-CN"/>
              </w:rPr>
              <w:t>/V类水体（或者污水集中处理设施）/</w:t>
            </w:r>
            <w:r>
              <w:rPr>
                <w:rFonts w:hint="eastAsia" w:ascii="宋体" w:hAnsi="宋体" w:eastAsia="宋体" w:cs="宋体"/>
                <w:color w:val="auto"/>
                <w:sz w:val="21"/>
                <w:szCs w:val="21"/>
                <w:highlight w:val="none"/>
                <w:lang w:val="en-US" w:eastAsia="zh-CN"/>
              </w:rPr>
              <w:t>第四类海水水质的区域</w:t>
            </w:r>
          </w:p>
        </w:tc>
        <w:tc>
          <w:tcPr>
            <w:tcW w:w="1272" w:type="dxa"/>
            <w:tcBorders>
              <w:top w:val="single" w:color="auto" w:sz="4" w:space="0"/>
              <w:left w:val="single" w:color="auto" w:sz="4" w:space="0"/>
              <w:bottom w:val="single" w:color="auto" w:sz="4" w:space="0"/>
              <w:right w:val="single" w:color="auto" w:sz="4" w:space="0"/>
            </w:tcBorders>
            <w:noWrap w:val="0"/>
            <w:vAlign w:val="center"/>
          </w:tcPr>
          <w:p w14:paraId="4B28966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01AC6A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4" w:hRule="atLeast"/>
          <w:jc w:val="center"/>
        </w:trPr>
        <w:tc>
          <w:tcPr>
            <w:tcW w:w="1716" w:type="dxa"/>
            <w:vMerge w:val="continue"/>
            <w:tcBorders>
              <w:top w:val="single" w:color="auto" w:sz="4" w:space="0"/>
              <w:left w:val="single" w:color="auto" w:sz="4" w:space="0"/>
              <w:bottom w:val="single" w:color="auto" w:sz="4" w:space="0"/>
              <w:right w:val="single" w:color="auto" w:sz="4" w:space="0"/>
            </w:tcBorders>
            <w:noWrap w:val="0"/>
            <w:vAlign w:val="center"/>
          </w:tcPr>
          <w:p w14:paraId="78C7E5BE">
            <w:pPr>
              <w:jc w:val="center"/>
              <w:rPr>
                <w:rFonts w:hint="eastAsia" w:ascii="宋体" w:hAnsi="宋体" w:eastAsia="宋体" w:cs="宋体"/>
                <w:color w:val="auto"/>
                <w:sz w:val="21"/>
                <w:szCs w:val="21"/>
                <w:highlight w:val="none"/>
              </w:rPr>
            </w:pPr>
          </w:p>
        </w:tc>
        <w:tc>
          <w:tcPr>
            <w:tcW w:w="5534" w:type="dxa"/>
            <w:tcBorders>
              <w:top w:val="single" w:color="auto" w:sz="4" w:space="0"/>
              <w:left w:val="single" w:color="auto" w:sz="4" w:space="0"/>
              <w:bottom w:val="single" w:color="auto" w:sz="4" w:space="0"/>
              <w:right w:val="single" w:color="auto" w:sz="4" w:space="0"/>
            </w:tcBorders>
            <w:noWrap w:val="0"/>
            <w:vAlign w:val="top"/>
          </w:tcPr>
          <w:p w14:paraId="56591134">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b w:val="0"/>
                <w:bCs w:val="0"/>
                <w:color w:val="auto"/>
                <w:sz w:val="21"/>
                <w:szCs w:val="21"/>
                <w:highlight w:val="none"/>
              </w:rPr>
            </w:pPr>
            <w:r>
              <w:rPr>
                <w:rFonts w:hint="eastAsia" w:ascii="宋体" w:hAnsi="宋体" w:cs="宋体"/>
                <w:color w:val="auto"/>
                <w:sz w:val="21"/>
                <w:szCs w:val="21"/>
                <w:highlight w:val="none"/>
                <w:lang w:eastAsia="zh-CN"/>
              </w:rPr>
              <w:t>Ⅳ类</w:t>
            </w:r>
            <w:r>
              <w:rPr>
                <w:rFonts w:hint="eastAsia" w:ascii="宋体" w:hAnsi="宋体" w:eastAsia="宋体" w:cs="宋体"/>
                <w:color w:val="auto"/>
                <w:sz w:val="21"/>
                <w:szCs w:val="21"/>
                <w:highlight w:val="none"/>
              </w:rPr>
              <w:t>水体</w:t>
            </w:r>
            <w:r>
              <w:rPr>
                <w:rFonts w:hint="eastAsia" w:ascii="宋体" w:hAnsi="宋体" w:eastAsia="宋体" w:cs="宋体"/>
                <w:color w:val="auto"/>
                <w:sz w:val="21"/>
                <w:szCs w:val="21"/>
                <w:highlight w:val="none"/>
                <w:lang w:val="en-US" w:eastAsia="zh-CN"/>
              </w:rPr>
              <w:t>/第三类海水水质的区域</w:t>
            </w:r>
          </w:p>
        </w:tc>
        <w:tc>
          <w:tcPr>
            <w:tcW w:w="1272" w:type="dxa"/>
            <w:tcBorders>
              <w:top w:val="single" w:color="auto" w:sz="4" w:space="0"/>
              <w:left w:val="single" w:color="auto" w:sz="4" w:space="0"/>
              <w:bottom w:val="single" w:color="auto" w:sz="4" w:space="0"/>
              <w:right w:val="single" w:color="auto" w:sz="4" w:space="0"/>
            </w:tcBorders>
            <w:noWrap w:val="0"/>
            <w:vAlign w:val="center"/>
          </w:tcPr>
          <w:p w14:paraId="77F05CE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r>
      <w:tr w14:paraId="72A701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4" w:hRule="atLeast"/>
          <w:jc w:val="center"/>
        </w:trPr>
        <w:tc>
          <w:tcPr>
            <w:tcW w:w="1716" w:type="dxa"/>
            <w:vMerge w:val="continue"/>
            <w:tcBorders>
              <w:top w:val="single" w:color="auto" w:sz="4" w:space="0"/>
              <w:left w:val="single" w:color="auto" w:sz="4" w:space="0"/>
              <w:bottom w:val="single" w:color="auto" w:sz="4" w:space="0"/>
              <w:right w:val="single" w:color="auto" w:sz="4" w:space="0"/>
            </w:tcBorders>
            <w:noWrap w:val="0"/>
            <w:vAlign w:val="center"/>
          </w:tcPr>
          <w:p w14:paraId="416B2AFF">
            <w:pPr>
              <w:jc w:val="center"/>
              <w:rPr>
                <w:rFonts w:hint="eastAsia" w:ascii="宋体" w:hAnsi="宋体" w:eastAsia="宋体" w:cs="宋体"/>
                <w:color w:val="auto"/>
                <w:sz w:val="21"/>
                <w:szCs w:val="21"/>
                <w:highlight w:val="none"/>
              </w:rPr>
            </w:pPr>
          </w:p>
        </w:tc>
        <w:tc>
          <w:tcPr>
            <w:tcW w:w="5534" w:type="dxa"/>
            <w:tcBorders>
              <w:top w:val="single" w:color="auto" w:sz="4" w:space="0"/>
              <w:left w:val="single" w:color="auto" w:sz="4" w:space="0"/>
              <w:bottom w:val="single" w:color="auto" w:sz="4" w:space="0"/>
              <w:right w:val="single" w:color="auto" w:sz="4" w:space="0"/>
            </w:tcBorders>
            <w:noWrap w:val="0"/>
            <w:vAlign w:val="top"/>
          </w:tcPr>
          <w:p w14:paraId="3F308DE3">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b w:val="0"/>
                <w:bCs w:val="0"/>
                <w:color w:val="auto"/>
                <w:sz w:val="21"/>
                <w:szCs w:val="21"/>
                <w:highlight w:val="none"/>
              </w:rPr>
            </w:pPr>
            <w:r>
              <w:rPr>
                <w:rFonts w:hint="eastAsia" w:ascii="宋体" w:hAnsi="宋体" w:cs="宋体"/>
                <w:color w:val="auto"/>
                <w:sz w:val="21"/>
                <w:szCs w:val="21"/>
                <w:highlight w:val="none"/>
                <w:lang w:eastAsia="zh-CN"/>
              </w:rPr>
              <w:t>二类环境空气功能区</w:t>
            </w:r>
            <w:r>
              <w:rPr>
                <w:rFonts w:hint="eastAsia" w:ascii="宋体" w:hAnsi="宋体" w:eastAsia="宋体" w:cs="宋体"/>
                <w:color w:val="auto"/>
                <w:sz w:val="21"/>
                <w:szCs w:val="21"/>
                <w:highlight w:val="none"/>
                <w:lang w:eastAsia="zh-CN"/>
              </w:rPr>
              <w:t>（居民区、商业交通居民混合区、文化区）/</w:t>
            </w:r>
            <w:r>
              <w:rPr>
                <w:rFonts w:hint="eastAsia" w:ascii="宋体" w:hAnsi="宋体" w:cs="宋体"/>
                <w:color w:val="auto"/>
                <w:sz w:val="21"/>
                <w:szCs w:val="21"/>
                <w:highlight w:val="none"/>
                <w:lang w:eastAsia="zh-CN"/>
              </w:rPr>
              <w:t>Ⅲ类</w:t>
            </w:r>
            <w:r>
              <w:rPr>
                <w:rFonts w:hint="eastAsia" w:ascii="宋体" w:hAnsi="宋体" w:eastAsia="宋体" w:cs="宋体"/>
                <w:color w:val="auto"/>
                <w:sz w:val="21"/>
                <w:szCs w:val="21"/>
                <w:highlight w:val="none"/>
                <w:lang w:eastAsia="zh-CN"/>
              </w:rPr>
              <w:t>水体/饮用水水源准保护区/自然保护地外的生态保护红线区域</w:t>
            </w:r>
          </w:p>
        </w:tc>
        <w:tc>
          <w:tcPr>
            <w:tcW w:w="1272" w:type="dxa"/>
            <w:tcBorders>
              <w:top w:val="single" w:color="auto" w:sz="4" w:space="0"/>
              <w:left w:val="single" w:color="auto" w:sz="4" w:space="0"/>
              <w:bottom w:val="single" w:color="auto" w:sz="4" w:space="0"/>
              <w:right w:val="single" w:color="auto" w:sz="4" w:space="0"/>
            </w:tcBorders>
            <w:noWrap w:val="0"/>
            <w:vAlign w:val="center"/>
          </w:tcPr>
          <w:p w14:paraId="5EC5E40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2CF1E6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4" w:hRule="atLeast"/>
          <w:jc w:val="center"/>
        </w:trPr>
        <w:tc>
          <w:tcPr>
            <w:tcW w:w="1716" w:type="dxa"/>
            <w:vMerge w:val="continue"/>
            <w:tcBorders>
              <w:top w:val="single" w:color="auto" w:sz="4" w:space="0"/>
              <w:left w:val="single" w:color="auto" w:sz="4" w:space="0"/>
              <w:bottom w:val="single" w:color="auto" w:sz="4" w:space="0"/>
              <w:right w:val="single" w:color="auto" w:sz="4" w:space="0"/>
            </w:tcBorders>
            <w:noWrap w:val="0"/>
            <w:vAlign w:val="center"/>
          </w:tcPr>
          <w:p w14:paraId="72491F18">
            <w:pPr>
              <w:jc w:val="center"/>
              <w:rPr>
                <w:rFonts w:hint="eastAsia" w:ascii="宋体" w:hAnsi="宋体" w:eastAsia="宋体" w:cs="宋体"/>
                <w:color w:val="auto"/>
                <w:sz w:val="21"/>
                <w:szCs w:val="21"/>
                <w:highlight w:val="none"/>
              </w:rPr>
            </w:pPr>
          </w:p>
        </w:tc>
        <w:tc>
          <w:tcPr>
            <w:tcW w:w="5534" w:type="dxa"/>
            <w:tcBorders>
              <w:top w:val="single" w:color="auto" w:sz="4" w:space="0"/>
              <w:left w:val="single" w:color="auto" w:sz="4" w:space="0"/>
              <w:bottom w:val="single" w:color="auto" w:sz="4" w:space="0"/>
              <w:right w:val="single" w:color="auto" w:sz="4" w:space="0"/>
            </w:tcBorders>
            <w:noWrap w:val="0"/>
            <w:vAlign w:val="top"/>
          </w:tcPr>
          <w:p w14:paraId="606645E3">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b w:val="0"/>
                <w:bCs w:val="0"/>
                <w:color w:val="auto"/>
                <w:sz w:val="21"/>
                <w:szCs w:val="21"/>
                <w:highlight w:val="none"/>
              </w:rPr>
            </w:pPr>
            <w:r>
              <w:rPr>
                <w:rFonts w:hint="eastAsia" w:ascii="宋体" w:hAnsi="宋体" w:cs="宋体"/>
                <w:color w:val="auto"/>
                <w:sz w:val="21"/>
                <w:szCs w:val="21"/>
                <w:highlight w:val="none"/>
                <w:lang w:eastAsia="zh-CN"/>
              </w:rPr>
              <w:t>Ⅱ类</w:t>
            </w:r>
            <w:r>
              <w:rPr>
                <w:rFonts w:hint="eastAsia" w:ascii="宋体" w:hAnsi="宋体" w:eastAsia="宋体" w:cs="宋体"/>
                <w:color w:val="auto"/>
                <w:sz w:val="21"/>
                <w:szCs w:val="21"/>
                <w:highlight w:val="none"/>
              </w:rPr>
              <w:t>水体</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自然保护地一般控制区</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饮用水水源二级保护区</w:t>
            </w:r>
            <w:r>
              <w:rPr>
                <w:rFonts w:hint="eastAsia" w:ascii="宋体" w:hAnsi="宋体" w:eastAsia="宋体" w:cs="宋体"/>
                <w:color w:val="auto"/>
                <w:sz w:val="21"/>
                <w:szCs w:val="21"/>
                <w:highlight w:val="none"/>
                <w:lang w:val="en-US" w:eastAsia="zh-CN"/>
              </w:rPr>
              <w:t>/第二类海水水质的区域</w:t>
            </w:r>
          </w:p>
        </w:tc>
        <w:tc>
          <w:tcPr>
            <w:tcW w:w="1272" w:type="dxa"/>
            <w:tcBorders>
              <w:top w:val="single" w:color="auto" w:sz="4" w:space="0"/>
              <w:left w:val="single" w:color="auto" w:sz="4" w:space="0"/>
              <w:bottom w:val="single" w:color="auto" w:sz="4" w:space="0"/>
              <w:right w:val="single" w:color="auto" w:sz="4" w:space="0"/>
            </w:tcBorders>
            <w:noWrap w:val="0"/>
            <w:vAlign w:val="center"/>
          </w:tcPr>
          <w:p w14:paraId="38C607C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r>
      <w:tr w14:paraId="66701D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4" w:hRule="atLeast"/>
          <w:jc w:val="center"/>
        </w:trPr>
        <w:tc>
          <w:tcPr>
            <w:tcW w:w="1716" w:type="dxa"/>
            <w:vMerge w:val="continue"/>
            <w:tcBorders>
              <w:top w:val="single" w:color="auto" w:sz="4" w:space="0"/>
              <w:left w:val="single" w:color="auto" w:sz="4" w:space="0"/>
              <w:bottom w:val="single" w:color="auto" w:sz="4" w:space="0"/>
              <w:right w:val="single" w:color="auto" w:sz="4" w:space="0"/>
            </w:tcBorders>
            <w:noWrap w:val="0"/>
            <w:vAlign w:val="center"/>
          </w:tcPr>
          <w:p w14:paraId="023F8878">
            <w:pPr>
              <w:jc w:val="center"/>
              <w:rPr>
                <w:rFonts w:hint="eastAsia" w:ascii="宋体" w:hAnsi="宋体" w:eastAsia="宋体" w:cs="宋体"/>
                <w:color w:val="auto"/>
                <w:sz w:val="21"/>
                <w:szCs w:val="21"/>
                <w:highlight w:val="none"/>
              </w:rPr>
            </w:pPr>
          </w:p>
        </w:tc>
        <w:tc>
          <w:tcPr>
            <w:tcW w:w="5534" w:type="dxa"/>
            <w:tcBorders>
              <w:top w:val="single" w:color="auto" w:sz="4" w:space="0"/>
              <w:left w:val="single" w:color="auto" w:sz="4" w:space="0"/>
              <w:bottom w:val="single" w:color="auto" w:sz="4" w:space="0"/>
              <w:right w:val="single" w:color="auto" w:sz="4" w:space="0"/>
            </w:tcBorders>
            <w:noWrap w:val="0"/>
            <w:vAlign w:val="top"/>
          </w:tcPr>
          <w:p w14:paraId="1619C0B1">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b w:val="0"/>
                <w:bCs w:val="0"/>
                <w:color w:val="auto"/>
                <w:sz w:val="21"/>
                <w:szCs w:val="21"/>
                <w:highlight w:val="none"/>
              </w:rPr>
            </w:pPr>
            <w:r>
              <w:rPr>
                <w:rFonts w:hint="eastAsia" w:ascii="宋体" w:hAnsi="宋体" w:cs="宋体"/>
                <w:color w:val="auto"/>
                <w:sz w:val="21"/>
                <w:szCs w:val="21"/>
                <w:highlight w:val="none"/>
                <w:lang w:eastAsia="zh-CN"/>
              </w:rPr>
              <w:t>一类环境空气功能区</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I类水体／自然保护地核心保护区</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饮用水水源一级保护区</w:t>
            </w:r>
            <w:r>
              <w:rPr>
                <w:rFonts w:hint="eastAsia" w:ascii="宋体" w:hAnsi="宋体" w:eastAsia="宋体" w:cs="宋体"/>
                <w:color w:val="auto"/>
                <w:sz w:val="21"/>
                <w:szCs w:val="21"/>
                <w:highlight w:val="none"/>
                <w:lang w:val="en-US" w:eastAsia="zh-CN"/>
              </w:rPr>
              <w:t>/第一类海水水质的区域</w:t>
            </w:r>
          </w:p>
        </w:tc>
        <w:tc>
          <w:tcPr>
            <w:tcW w:w="1272" w:type="dxa"/>
            <w:tcBorders>
              <w:top w:val="single" w:color="auto" w:sz="4" w:space="0"/>
              <w:left w:val="single" w:color="auto" w:sz="4" w:space="0"/>
              <w:bottom w:val="single" w:color="auto" w:sz="4" w:space="0"/>
              <w:right w:val="single" w:color="auto" w:sz="4" w:space="0"/>
            </w:tcBorders>
            <w:noWrap w:val="0"/>
            <w:vAlign w:val="center"/>
          </w:tcPr>
          <w:p w14:paraId="4753C24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4D0B72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716" w:type="dxa"/>
            <w:tcBorders>
              <w:top w:val="single" w:color="auto" w:sz="4" w:space="0"/>
              <w:left w:val="single" w:color="auto" w:sz="4" w:space="0"/>
              <w:bottom w:val="single" w:color="auto" w:sz="4" w:space="0"/>
              <w:right w:val="single" w:color="auto" w:sz="4" w:space="0"/>
            </w:tcBorders>
            <w:noWrap w:val="0"/>
            <w:vAlign w:val="center"/>
          </w:tcPr>
          <w:p w14:paraId="632ECB5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备注</w:t>
            </w:r>
          </w:p>
        </w:tc>
        <w:tc>
          <w:tcPr>
            <w:tcW w:w="6806" w:type="dxa"/>
            <w:gridSpan w:val="2"/>
            <w:tcBorders>
              <w:top w:val="single" w:color="auto" w:sz="4" w:space="0"/>
              <w:left w:val="single" w:color="auto" w:sz="4" w:space="0"/>
              <w:bottom w:val="single" w:color="auto" w:sz="4" w:space="0"/>
              <w:right w:val="single" w:color="auto" w:sz="4" w:space="0"/>
            </w:tcBorders>
            <w:noWrap w:val="0"/>
            <w:vAlign w:val="top"/>
          </w:tcPr>
          <w:p w14:paraId="705FD704">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拟对单位、直接负责的主管人员和其他直接责任人员实施罚款处罚的，应当分别套用计算公式确定罚款数额。涉及多种污染物类别时，</w:t>
            </w:r>
            <w:r>
              <w:rPr>
                <w:rFonts w:hint="eastAsia" w:ascii="宋体" w:hAnsi="宋体" w:cs="宋体"/>
                <w:color w:val="auto"/>
                <w:sz w:val="21"/>
                <w:szCs w:val="21"/>
                <w:highlight w:val="none"/>
                <w:lang w:eastAsia="zh-CN"/>
              </w:rPr>
              <w:t>裁量</w:t>
            </w:r>
            <w:r>
              <w:rPr>
                <w:rFonts w:hint="eastAsia" w:ascii="宋体" w:hAnsi="宋体" w:eastAsia="宋体" w:cs="宋体"/>
                <w:color w:val="auto"/>
                <w:sz w:val="21"/>
                <w:szCs w:val="21"/>
                <w:highlight w:val="none"/>
              </w:rPr>
              <w:t>标准以裁量等级最高为准</w:t>
            </w:r>
            <w:r>
              <w:rPr>
                <w:rFonts w:hint="eastAsia" w:ascii="宋体" w:hAnsi="宋体" w:cs="宋体"/>
                <w:color w:val="auto"/>
                <w:sz w:val="21"/>
                <w:szCs w:val="21"/>
                <w:highlight w:val="none"/>
                <w:lang w:eastAsia="zh-CN"/>
              </w:rPr>
              <w:t>。</w:t>
            </w:r>
          </w:p>
        </w:tc>
      </w:tr>
    </w:tbl>
    <w:p w14:paraId="6CD9C052">
      <w:pP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0"/>
        <w:gridCol w:w="5816"/>
        <w:gridCol w:w="1332"/>
      </w:tblGrid>
      <w:tr w14:paraId="3631E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3"/>
            <w:tcBorders>
              <w:top w:val="single" w:color="auto" w:sz="4" w:space="0"/>
              <w:left w:val="single" w:color="auto" w:sz="4" w:space="0"/>
              <w:bottom w:val="single" w:color="auto" w:sz="4" w:space="0"/>
              <w:right w:val="single" w:color="auto" w:sz="4" w:space="0"/>
            </w:tcBorders>
            <w:noWrap w:val="0"/>
            <w:vAlign w:val="top"/>
          </w:tcPr>
          <w:p w14:paraId="1AAE40F8">
            <w:pPr>
              <w:jc w:val="center"/>
              <w:rPr>
                <w:rFonts w:hint="eastAsia" w:ascii="宋体" w:hAnsi="宋体" w:eastAsia="宋体" w:cs="宋体"/>
                <w:color w:val="auto"/>
                <w:sz w:val="21"/>
                <w:szCs w:val="21"/>
                <w:highlight w:val="none"/>
                <w:lang w:eastAsia="zh-CN"/>
              </w:rPr>
            </w:pPr>
            <w:r>
              <w:rPr>
                <w:rFonts w:hint="eastAsia" w:ascii="宋体" w:hAnsi="宋体" w:eastAsia="宋体" w:cs="宋体"/>
                <w:bCs/>
                <w:color w:val="auto"/>
                <w:sz w:val="21"/>
                <w:szCs w:val="21"/>
                <w:highlight w:val="none"/>
                <w:lang w:eastAsia="zh-CN"/>
              </w:rPr>
              <w:t>（十三）其他类</w:t>
            </w:r>
          </w:p>
        </w:tc>
      </w:tr>
      <w:tr w14:paraId="4655B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 w:hRule="atLeast"/>
          <w:jc w:val="center"/>
        </w:trPr>
        <w:tc>
          <w:tcPr>
            <w:tcW w:w="1714" w:type="dxa"/>
            <w:tcBorders>
              <w:top w:val="single" w:color="auto" w:sz="4" w:space="0"/>
              <w:left w:val="single" w:color="auto" w:sz="4" w:space="0"/>
              <w:bottom w:val="single" w:color="auto" w:sz="4" w:space="0"/>
              <w:right w:val="single" w:color="auto" w:sz="4" w:space="0"/>
            </w:tcBorders>
            <w:noWrap w:val="0"/>
            <w:vAlign w:val="center"/>
          </w:tcPr>
          <w:p w14:paraId="08C0640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808" w:type="dxa"/>
            <w:gridSpan w:val="2"/>
            <w:tcBorders>
              <w:top w:val="single" w:color="auto" w:sz="4" w:space="0"/>
              <w:left w:val="single" w:color="auto" w:sz="4" w:space="0"/>
              <w:bottom w:val="single" w:color="auto" w:sz="4" w:space="0"/>
              <w:right w:val="single" w:color="auto" w:sz="4" w:space="0"/>
            </w:tcBorders>
            <w:noWrap w:val="0"/>
            <w:vAlign w:val="top"/>
          </w:tcPr>
          <w:p w14:paraId="4E575E12">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w:t>
            </w:r>
          </w:p>
        </w:tc>
      </w:tr>
      <w:tr w14:paraId="14F5B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714" w:type="dxa"/>
            <w:tcBorders>
              <w:top w:val="single" w:color="auto" w:sz="4" w:space="0"/>
              <w:left w:val="single" w:color="auto" w:sz="4" w:space="0"/>
              <w:bottom w:val="single" w:color="auto" w:sz="4" w:space="0"/>
              <w:right w:val="single" w:color="auto" w:sz="4" w:space="0"/>
            </w:tcBorders>
            <w:noWrap w:val="0"/>
            <w:vAlign w:val="center"/>
          </w:tcPr>
          <w:p w14:paraId="0E077F8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违法行为</w:t>
            </w:r>
          </w:p>
        </w:tc>
        <w:tc>
          <w:tcPr>
            <w:tcW w:w="6808" w:type="dxa"/>
            <w:gridSpan w:val="2"/>
            <w:tcBorders>
              <w:top w:val="single" w:color="auto" w:sz="4" w:space="0"/>
              <w:left w:val="single" w:color="auto" w:sz="4" w:space="0"/>
              <w:bottom w:val="single" w:color="auto" w:sz="4" w:space="0"/>
              <w:right w:val="single" w:color="auto" w:sz="4" w:space="0"/>
            </w:tcBorders>
            <w:noWrap w:val="0"/>
            <w:vAlign w:val="center"/>
          </w:tcPr>
          <w:p w14:paraId="05719353">
            <w:pPr>
              <w:adjustRightInd w:val="0"/>
              <w:ind w:firstLine="420" w:firstLineChars="200"/>
              <w:jc w:val="both"/>
              <w:rPr>
                <w:rFonts w:hint="eastAsia" w:ascii="宋体" w:hAnsi="宋体" w:eastAsia="宋体" w:cs="宋体"/>
                <w:strike/>
                <w:dstrike w:val="0"/>
                <w:color w:val="C00000"/>
                <w:sz w:val="21"/>
                <w:szCs w:val="21"/>
                <w:highlight w:val="none"/>
              </w:rPr>
            </w:pPr>
            <w:r>
              <w:rPr>
                <w:rFonts w:hint="eastAsia" w:ascii="宋体" w:hAnsi="宋体" w:eastAsia="宋体" w:cs="宋体"/>
                <w:color w:val="auto"/>
                <w:sz w:val="21"/>
                <w:szCs w:val="21"/>
                <w:highlight w:val="none"/>
              </w:rPr>
              <w:t>因发生事故或者其他突发性事件，造成或者可能造成环境污染、生态破坏事件，未采取必要应对措施，造成生态灾害危害扩大的</w:t>
            </w:r>
          </w:p>
        </w:tc>
      </w:tr>
      <w:tr w14:paraId="2C84B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4" w:type="dxa"/>
            <w:tcBorders>
              <w:top w:val="single" w:color="auto" w:sz="4" w:space="0"/>
              <w:left w:val="single" w:color="auto" w:sz="4" w:space="0"/>
              <w:bottom w:val="single" w:color="auto" w:sz="4" w:space="0"/>
              <w:right w:val="single" w:color="auto" w:sz="4" w:space="0"/>
            </w:tcBorders>
            <w:noWrap w:val="0"/>
            <w:vAlign w:val="center"/>
          </w:tcPr>
          <w:p w14:paraId="4A97710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违反条款</w:t>
            </w:r>
          </w:p>
        </w:tc>
        <w:tc>
          <w:tcPr>
            <w:tcW w:w="6808" w:type="dxa"/>
            <w:gridSpan w:val="2"/>
            <w:tcBorders>
              <w:top w:val="single" w:color="auto" w:sz="4" w:space="0"/>
              <w:left w:val="single" w:color="auto" w:sz="4" w:space="0"/>
              <w:bottom w:val="single" w:color="auto" w:sz="4" w:space="0"/>
              <w:right w:val="single" w:color="auto" w:sz="4" w:space="0"/>
            </w:tcBorders>
            <w:noWrap w:val="0"/>
            <w:vAlign w:val="top"/>
          </w:tcPr>
          <w:p w14:paraId="4BC8DDA3">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《中华人民共和国生态环境法典》第一百二十一条第二款 企业事业单位和其他生产经营者应当按照国家规定储备必要的生态环境应急物资和装备，定期开展应急演练，做好应急准备。在发生或者可能发生突发生态环境事件时，企业事业单位和其他生产经营者应当立即采取措施处理，切断或者控制污染源，防止危害扩大，及时通报可能受到危害者，并向生态环境、应急管理等有关部门报告，接受调查处理。</w:t>
            </w:r>
          </w:p>
          <w:p w14:paraId="2416AAB5">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《中华人民共和国生态环境法典》第一百二十二条　各级人民政府及其有关部门、企业事业单位和其他生产经营者，在自然灾害、事故灾难、公共卫生事件应急处置过程中，应当采取必要措施，避免或者减少对生态环境造成的危害。</w:t>
            </w:r>
          </w:p>
          <w:p w14:paraId="2EA4C7ED">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《中华人民共和国生态环境法典》第二百九十二条</w:t>
            </w:r>
            <w:r>
              <w:rPr>
                <w:rFonts w:hint="eastAsia" w:ascii="宋体" w:hAnsi="宋体" w:eastAsia="宋体" w:cs="宋体"/>
                <w:color w:val="auto"/>
                <w:sz w:val="21"/>
                <w:szCs w:val="21"/>
                <w:highlight w:val="none"/>
                <w:lang w:val="en-US" w:eastAsia="zh-CN"/>
              </w:rPr>
              <w:t>第一款</w:t>
            </w:r>
            <w:r>
              <w:rPr>
                <w:rFonts w:hint="eastAsia" w:ascii="宋体" w:hAnsi="宋体" w:eastAsia="宋体" w:cs="宋体"/>
                <w:color w:val="auto"/>
                <w:sz w:val="21"/>
                <w:szCs w:val="21"/>
                <w:highlight w:val="none"/>
              </w:rPr>
              <w:t xml:space="preserve"> 企业事业单位发生事故或者其他突发性事件，造成或者可能造成水污染事故的，应当立即启动本单位的应急预案，采取隔离等应急措施，防止水污染物进入水体，并向事故发生地县级以上地方人民政府或者生态环境主管部门报告。生态环境主管部门接到报告后，应当及时向本级人民政府报告，并抄送水行政、应急管理等有关部门。</w:t>
            </w:r>
          </w:p>
          <w:p w14:paraId="7D21F055">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《中华人民共和国生态环境法典》第三百四十四条第一款 因发生事故或者其他突发性事件，造成或者可能造成海洋环境污染、生态破坏事件的单位和个人，应当立即采取有效措施解除或者减轻危害，及时通报可能受到危害者，并向负有海洋生态环境保护监督管理职责的部门、机构报告，接受调查处理。</w:t>
            </w:r>
          </w:p>
          <w:p w14:paraId="401511A2">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《中华人民共和国生态环境法典》第五百四十条　因发生事故或者其他突发性事件，造成危险废物严重污染的单位，应当立即采取有效措施消除或者减轻污染危害，及时通报可能受到污染危害者，并向所在地生态环境主管部门和有关部门报告，接受调查处理。</w:t>
            </w:r>
          </w:p>
          <w:p w14:paraId="58E8EE4F">
            <w:pPr>
              <w:ind w:firstLine="420" w:firstLineChars="200"/>
              <w:rPr>
                <w:rFonts w:hint="eastAsia" w:ascii="宋体" w:hAnsi="宋体" w:eastAsia="宋体" w:cs="宋体"/>
                <w:strike/>
                <w:dstrike w:val="0"/>
                <w:color w:val="C00000"/>
                <w:sz w:val="21"/>
                <w:szCs w:val="21"/>
                <w:highlight w:val="none"/>
              </w:rPr>
            </w:pPr>
            <w:r>
              <w:rPr>
                <w:rFonts w:hint="eastAsia" w:ascii="宋体" w:hAnsi="宋体" w:eastAsia="宋体" w:cs="宋体"/>
                <w:color w:val="auto"/>
                <w:sz w:val="21"/>
                <w:szCs w:val="21"/>
                <w:highlight w:val="none"/>
              </w:rPr>
              <w:t>《中华人民共和国生态环境法典》第六百九十四条第三款 因突发性事件造成或者可能造成生态破坏的，有关单位和个人应当立即采取有效措施解除或者减轻危害，及时依法报告、通报，接受调查处理。</w:t>
            </w:r>
          </w:p>
        </w:tc>
      </w:tr>
      <w:tr w14:paraId="34544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4" w:type="dxa"/>
            <w:tcBorders>
              <w:top w:val="single" w:color="auto" w:sz="4" w:space="0"/>
              <w:left w:val="single" w:color="auto" w:sz="4" w:space="0"/>
              <w:bottom w:val="single" w:color="auto" w:sz="4" w:space="0"/>
              <w:right w:val="single" w:color="auto" w:sz="4" w:space="0"/>
            </w:tcBorders>
            <w:noWrap w:val="0"/>
            <w:vAlign w:val="center"/>
          </w:tcPr>
          <w:p w14:paraId="7678A51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处罚依据</w:t>
            </w:r>
          </w:p>
        </w:tc>
        <w:tc>
          <w:tcPr>
            <w:tcW w:w="6808" w:type="dxa"/>
            <w:gridSpan w:val="2"/>
            <w:tcBorders>
              <w:top w:val="single" w:color="auto" w:sz="4" w:space="0"/>
              <w:left w:val="single" w:color="auto" w:sz="4" w:space="0"/>
              <w:bottom w:val="single" w:color="auto" w:sz="4" w:space="0"/>
              <w:right w:val="single" w:color="auto" w:sz="4" w:space="0"/>
            </w:tcBorders>
            <w:noWrap w:val="0"/>
            <w:vAlign w:val="top"/>
          </w:tcPr>
          <w:p w14:paraId="56CE7F14">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《中华人民共和国生态环境法典》第一千二百三十七条第一款第三项、第二款　违反本法规定，因发生事故或者其他突发性事件，造成或者可能造成环境污染、生态破坏事件，有下列情形之一的，由负有生态环境保护监督管理职责的部门、机构按照职责分工责令改正，处以罚款：</w:t>
            </w:r>
          </w:p>
          <w:p w14:paraId="6FD42FE4">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（三）未采取必要应对措施，造成生态灾害危害扩大。</w:t>
            </w:r>
          </w:p>
          <w:p w14:paraId="5B2447E1">
            <w:pPr>
              <w:ind w:firstLine="420" w:firstLineChars="200"/>
              <w:rPr>
                <w:rFonts w:hint="eastAsia" w:ascii="宋体" w:hAnsi="宋体" w:eastAsia="宋体" w:cs="宋体"/>
                <w:strike/>
                <w:dstrike w:val="0"/>
                <w:color w:val="C00000"/>
                <w:sz w:val="21"/>
                <w:szCs w:val="21"/>
                <w:highlight w:val="none"/>
              </w:rPr>
            </w:pPr>
            <w:r>
              <w:rPr>
                <w:rFonts w:hint="eastAsia" w:ascii="宋体" w:hAnsi="宋体" w:eastAsia="宋体" w:cs="宋体"/>
                <w:color w:val="auto"/>
                <w:sz w:val="21"/>
                <w:szCs w:val="21"/>
                <w:highlight w:val="none"/>
              </w:rPr>
              <w:t>有前款第一项情形的，处五万元以上五十万元以下的罚款，对直接负责的主管人员和其他直接责任人员处一万元以上十万元以下的罚款，并可以暂扣或者吊销相关任职资格许可；有前款第二项、第三项情形之一的，处二十万元以上二百万元以下的罚款。</w:t>
            </w:r>
          </w:p>
        </w:tc>
      </w:tr>
      <w:tr w14:paraId="19938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4" w:type="dxa"/>
            <w:tcBorders>
              <w:top w:val="single" w:color="auto" w:sz="4" w:space="0"/>
              <w:left w:val="single" w:color="auto" w:sz="4" w:space="0"/>
              <w:bottom w:val="single" w:color="auto" w:sz="4" w:space="0"/>
              <w:right w:val="single" w:color="auto" w:sz="4" w:space="0"/>
            </w:tcBorders>
            <w:noWrap w:val="0"/>
            <w:vAlign w:val="center"/>
          </w:tcPr>
          <w:p w14:paraId="22BBF4B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裁量因素</w:t>
            </w:r>
          </w:p>
        </w:tc>
        <w:tc>
          <w:tcPr>
            <w:tcW w:w="5539" w:type="dxa"/>
            <w:tcBorders>
              <w:top w:val="single" w:color="auto" w:sz="4" w:space="0"/>
              <w:left w:val="single" w:color="auto" w:sz="4" w:space="0"/>
              <w:bottom w:val="single" w:color="auto" w:sz="4" w:space="0"/>
              <w:right w:val="single" w:color="auto" w:sz="4" w:space="0"/>
            </w:tcBorders>
            <w:noWrap w:val="0"/>
            <w:vAlign w:val="top"/>
          </w:tcPr>
          <w:p w14:paraId="7989901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裁量因子</w:t>
            </w:r>
          </w:p>
        </w:tc>
        <w:tc>
          <w:tcPr>
            <w:tcW w:w="1269" w:type="dxa"/>
            <w:tcBorders>
              <w:top w:val="single" w:color="auto" w:sz="4" w:space="0"/>
              <w:left w:val="single" w:color="auto" w:sz="4" w:space="0"/>
              <w:bottom w:val="single" w:color="auto" w:sz="4" w:space="0"/>
              <w:right w:val="single" w:color="auto" w:sz="4" w:space="0"/>
            </w:tcBorders>
            <w:noWrap w:val="0"/>
            <w:vAlign w:val="top"/>
          </w:tcPr>
          <w:p w14:paraId="456298C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裁量等级</w:t>
            </w:r>
          </w:p>
        </w:tc>
      </w:tr>
      <w:tr w14:paraId="1074A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4" w:type="dxa"/>
            <w:vMerge w:val="restart"/>
            <w:tcBorders>
              <w:top w:val="single" w:color="auto" w:sz="4" w:space="0"/>
              <w:left w:val="single" w:color="auto" w:sz="4" w:space="0"/>
              <w:bottom w:val="single" w:color="auto" w:sz="4" w:space="0"/>
              <w:right w:val="single" w:color="auto" w:sz="4" w:space="0"/>
            </w:tcBorders>
            <w:noWrap w:val="0"/>
            <w:vAlign w:val="center"/>
          </w:tcPr>
          <w:p w14:paraId="63CD487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污染物</w:t>
            </w:r>
            <w:r>
              <w:rPr>
                <w:rFonts w:hint="eastAsia" w:ascii="宋体" w:hAnsi="宋体" w:eastAsia="宋体" w:cs="宋体"/>
                <w:color w:val="auto"/>
                <w:sz w:val="21"/>
                <w:szCs w:val="21"/>
                <w:highlight w:val="none"/>
              </w:rPr>
              <w:t>类别</w:t>
            </w:r>
          </w:p>
        </w:tc>
        <w:tc>
          <w:tcPr>
            <w:tcW w:w="5539" w:type="dxa"/>
            <w:tcBorders>
              <w:top w:val="single" w:color="auto" w:sz="4" w:space="0"/>
              <w:left w:val="single" w:color="auto" w:sz="4" w:space="0"/>
              <w:bottom w:val="single" w:color="auto" w:sz="4" w:space="0"/>
              <w:right w:val="single" w:color="auto" w:sz="4" w:space="0"/>
            </w:tcBorders>
            <w:noWrap w:val="0"/>
            <w:vAlign w:val="top"/>
          </w:tcPr>
          <w:p w14:paraId="42DCB0EE">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一般废气、废水、固体废物、噪声、畜禽养殖废水</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277B7E7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77F83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4" w:type="dxa"/>
            <w:vMerge w:val="continue"/>
            <w:tcBorders>
              <w:top w:val="single" w:color="auto" w:sz="4" w:space="0"/>
              <w:left w:val="single" w:color="auto" w:sz="4" w:space="0"/>
              <w:bottom w:val="single" w:color="auto" w:sz="4" w:space="0"/>
              <w:right w:val="single" w:color="auto" w:sz="4" w:space="0"/>
            </w:tcBorders>
            <w:noWrap w:val="0"/>
            <w:vAlign w:val="center"/>
          </w:tcPr>
          <w:p w14:paraId="455CD0D0">
            <w:pPr>
              <w:jc w:val="center"/>
              <w:rPr>
                <w:rFonts w:hint="eastAsia" w:ascii="宋体" w:hAnsi="宋体" w:eastAsia="宋体" w:cs="宋体"/>
                <w:color w:val="auto"/>
                <w:sz w:val="21"/>
                <w:szCs w:val="21"/>
                <w:highlight w:val="none"/>
              </w:rPr>
            </w:pPr>
          </w:p>
        </w:tc>
        <w:tc>
          <w:tcPr>
            <w:tcW w:w="5539" w:type="dxa"/>
            <w:tcBorders>
              <w:top w:val="single" w:color="auto" w:sz="4" w:space="0"/>
              <w:left w:val="single" w:color="auto" w:sz="4" w:space="0"/>
              <w:bottom w:val="single" w:color="auto" w:sz="4" w:space="0"/>
              <w:right w:val="single" w:color="auto" w:sz="4" w:space="0"/>
            </w:tcBorders>
            <w:noWrap w:val="0"/>
            <w:vAlign w:val="top"/>
          </w:tcPr>
          <w:p w14:paraId="3B2BCA27">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火电、钢铁、石化、水泥、炼焦、有色、化工废气/医疗废水</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6401CA1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p>
        </w:tc>
      </w:tr>
      <w:tr w14:paraId="1259E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4" w:type="dxa"/>
            <w:vMerge w:val="continue"/>
            <w:tcBorders>
              <w:top w:val="single" w:color="auto" w:sz="4" w:space="0"/>
              <w:left w:val="single" w:color="auto" w:sz="4" w:space="0"/>
              <w:bottom w:val="single" w:color="auto" w:sz="4" w:space="0"/>
              <w:right w:val="single" w:color="auto" w:sz="4" w:space="0"/>
            </w:tcBorders>
            <w:noWrap w:val="0"/>
            <w:vAlign w:val="center"/>
          </w:tcPr>
          <w:p w14:paraId="575B4917">
            <w:pPr>
              <w:jc w:val="center"/>
              <w:rPr>
                <w:rFonts w:hint="eastAsia" w:ascii="宋体" w:hAnsi="宋体" w:eastAsia="宋体" w:cs="宋体"/>
                <w:color w:val="auto"/>
                <w:sz w:val="21"/>
                <w:szCs w:val="21"/>
                <w:highlight w:val="none"/>
              </w:rPr>
            </w:pPr>
          </w:p>
        </w:tc>
        <w:tc>
          <w:tcPr>
            <w:tcW w:w="5539" w:type="dxa"/>
            <w:tcBorders>
              <w:top w:val="single" w:color="auto" w:sz="4" w:space="0"/>
              <w:left w:val="single" w:color="auto" w:sz="4" w:space="0"/>
              <w:bottom w:val="single" w:color="auto" w:sz="4" w:space="0"/>
              <w:right w:val="single" w:color="auto" w:sz="4" w:space="0"/>
            </w:tcBorders>
            <w:noWrap w:val="0"/>
            <w:vAlign w:val="top"/>
          </w:tcPr>
          <w:p w14:paraId="4934C748">
            <w:pPr>
              <w:adjustRightInd w:val="0"/>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含有毒有害物质的废气、废水／含一类污染物或重金属、病原体、放射性物质的废水／危险废物</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0AB4A50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p>
        </w:tc>
      </w:tr>
      <w:tr w14:paraId="46D26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4" w:type="dxa"/>
            <w:vMerge w:val="restart"/>
            <w:tcBorders>
              <w:top w:val="single" w:color="auto" w:sz="4" w:space="0"/>
              <w:left w:val="single" w:color="auto" w:sz="4" w:space="0"/>
              <w:bottom w:val="single" w:color="auto" w:sz="4" w:space="0"/>
              <w:right w:val="single" w:color="auto" w:sz="4" w:space="0"/>
            </w:tcBorders>
            <w:noWrap w:val="0"/>
            <w:vAlign w:val="center"/>
          </w:tcPr>
          <w:p w14:paraId="1B0C164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污染事故等级</w:t>
            </w:r>
          </w:p>
        </w:tc>
        <w:tc>
          <w:tcPr>
            <w:tcW w:w="5539" w:type="dxa"/>
            <w:tcBorders>
              <w:top w:val="single" w:color="auto" w:sz="4" w:space="0"/>
              <w:left w:val="single" w:color="auto" w:sz="4" w:space="0"/>
              <w:bottom w:val="single" w:color="auto" w:sz="4" w:space="0"/>
              <w:right w:val="single" w:color="auto" w:sz="4" w:space="0"/>
            </w:tcBorders>
            <w:noWrap w:val="0"/>
            <w:vAlign w:val="top"/>
          </w:tcPr>
          <w:p w14:paraId="23ABC617">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造成一般环境污染、生态破坏事故的</w:t>
            </w:r>
          </w:p>
        </w:tc>
        <w:tc>
          <w:tcPr>
            <w:tcW w:w="1269" w:type="dxa"/>
            <w:tcBorders>
              <w:top w:val="single" w:color="auto" w:sz="4" w:space="0"/>
              <w:left w:val="single" w:color="auto" w:sz="4" w:space="0"/>
              <w:bottom w:val="single" w:color="auto" w:sz="4" w:space="0"/>
              <w:right w:val="single" w:color="auto" w:sz="4" w:space="0"/>
            </w:tcBorders>
            <w:noWrap w:val="0"/>
            <w:vAlign w:val="top"/>
          </w:tcPr>
          <w:p w14:paraId="43E9102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51C9D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1714" w:type="dxa"/>
            <w:vMerge w:val="continue"/>
            <w:tcBorders>
              <w:top w:val="single" w:color="auto" w:sz="4" w:space="0"/>
              <w:left w:val="single" w:color="auto" w:sz="4" w:space="0"/>
              <w:bottom w:val="single" w:color="auto" w:sz="4" w:space="0"/>
              <w:right w:val="single" w:color="auto" w:sz="4" w:space="0"/>
            </w:tcBorders>
            <w:noWrap w:val="0"/>
            <w:vAlign w:val="center"/>
          </w:tcPr>
          <w:p w14:paraId="37F92346">
            <w:pPr>
              <w:jc w:val="center"/>
              <w:rPr>
                <w:rFonts w:hint="eastAsia" w:ascii="宋体" w:hAnsi="宋体" w:eastAsia="宋体" w:cs="宋体"/>
                <w:color w:val="auto"/>
                <w:sz w:val="21"/>
                <w:szCs w:val="21"/>
                <w:highlight w:val="none"/>
              </w:rPr>
            </w:pPr>
          </w:p>
        </w:tc>
        <w:tc>
          <w:tcPr>
            <w:tcW w:w="5539" w:type="dxa"/>
            <w:tcBorders>
              <w:top w:val="single" w:color="auto" w:sz="4" w:space="0"/>
              <w:left w:val="single" w:color="auto" w:sz="4" w:space="0"/>
              <w:bottom w:val="single" w:color="auto" w:sz="4" w:space="0"/>
              <w:right w:val="single" w:color="auto" w:sz="4" w:space="0"/>
            </w:tcBorders>
            <w:noWrap w:val="0"/>
            <w:vAlign w:val="top"/>
          </w:tcPr>
          <w:p w14:paraId="1E67F5AC">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造成较大环境污染、生态破坏事故的</w:t>
            </w:r>
          </w:p>
        </w:tc>
        <w:tc>
          <w:tcPr>
            <w:tcW w:w="1269" w:type="dxa"/>
            <w:tcBorders>
              <w:top w:val="single" w:color="auto" w:sz="4" w:space="0"/>
              <w:left w:val="single" w:color="auto" w:sz="4" w:space="0"/>
              <w:bottom w:val="single" w:color="auto" w:sz="4" w:space="0"/>
              <w:right w:val="single" w:color="auto" w:sz="4" w:space="0"/>
            </w:tcBorders>
            <w:noWrap w:val="0"/>
            <w:vAlign w:val="top"/>
          </w:tcPr>
          <w:p w14:paraId="2058BF6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1219B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1714" w:type="dxa"/>
            <w:vMerge w:val="continue"/>
            <w:tcBorders>
              <w:top w:val="single" w:color="auto" w:sz="4" w:space="0"/>
              <w:left w:val="single" w:color="auto" w:sz="4" w:space="0"/>
              <w:bottom w:val="single" w:color="auto" w:sz="4" w:space="0"/>
              <w:right w:val="single" w:color="auto" w:sz="4" w:space="0"/>
            </w:tcBorders>
            <w:noWrap w:val="0"/>
            <w:vAlign w:val="center"/>
          </w:tcPr>
          <w:p w14:paraId="51A36854">
            <w:pPr>
              <w:jc w:val="center"/>
              <w:rPr>
                <w:rFonts w:hint="eastAsia" w:ascii="宋体" w:hAnsi="宋体" w:eastAsia="宋体" w:cs="宋体"/>
                <w:color w:val="auto"/>
                <w:sz w:val="21"/>
                <w:szCs w:val="21"/>
                <w:highlight w:val="none"/>
              </w:rPr>
            </w:pPr>
          </w:p>
        </w:tc>
        <w:tc>
          <w:tcPr>
            <w:tcW w:w="5539" w:type="dxa"/>
            <w:tcBorders>
              <w:top w:val="single" w:color="auto" w:sz="4" w:space="0"/>
              <w:left w:val="single" w:color="auto" w:sz="4" w:space="0"/>
              <w:bottom w:val="single" w:color="auto" w:sz="4" w:space="0"/>
              <w:right w:val="single" w:color="auto" w:sz="4" w:space="0"/>
            </w:tcBorders>
            <w:noWrap w:val="0"/>
            <w:vAlign w:val="top"/>
          </w:tcPr>
          <w:p w14:paraId="451FB8E0">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造成</w:t>
            </w:r>
            <w:r>
              <w:rPr>
                <w:rFonts w:hint="eastAsia" w:ascii="宋体" w:hAnsi="宋体" w:eastAsia="宋体" w:cs="宋体"/>
                <w:b w:val="0"/>
                <w:bCs w:val="0"/>
                <w:color w:val="auto"/>
                <w:sz w:val="21"/>
                <w:szCs w:val="21"/>
                <w:highlight w:val="none"/>
                <w:lang w:val="en-US" w:eastAsia="zh-CN"/>
              </w:rPr>
              <w:t>重</w:t>
            </w:r>
            <w:r>
              <w:rPr>
                <w:rFonts w:hint="eastAsia" w:ascii="宋体" w:hAnsi="宋体" w:eastAsia="宋体" w:cs="宋体"/>
                <w:b w:val="0"/>
                <w:bCs w:val="0"/>
                <w:color w:val="auto"/>
                <w:sz w:val="21"/>
                <w:szCs w:val="21"/>
                <w:highlight w:val="none"/>
              </w:rPr>
              <w:t>大环境污染、生态破坏事故的</w:t>
            </w:r>
          </w:p>
        </w:tc>
        <w:tc>
          <w:tcPr>
            <w:tcW w:w="1269" w:type="dxa"/>
            <w:tcBorders>
              <w:top w:val="single" w:color="auto" w:sz="4" w:space="0"/>
              <w:left w:val="single" w:color="auto" w:sz="4" w:space="0"/>
              <w:bottom w:val="single" w:color="auto" w:sz="4" w:space="0"/>
              <w:right w:val="single" w:color="auto" w:sz="4" w:space="0"/>
            </w:tcBorders>
            <w:noWrap w:val="0"/>
            <w:vAlign w:val="top"/>
          </w:tcPr>
          <w:p w14:paraId="0ABFC03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r>
      <w:tr w14:paraId="35FEC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 w:hRule="atLeast"/>
          <w:jc w:val="center"/>
        </w:trPr>
        <w:tc>
          <w:tcPr>
            <w:tcW w:w="1714" w:type="dxa"/>
            <w:vMerge w:val="continue"/>
            <w:tcBorders>
              <w:top w:val="single" w:color="auto" w:sz="4" w:space="0"/>
              <w:left w:val="single" w:color="auto" w:sz="4" w:space="0"/>
              <w:bottom w:val="single" w:color="auto" w:sz="4" w:space="0"/>
              <w:right w:val="single" w:color="auto" w:sz="4" w:space="0"/>
            </w:tcBorders>
            <w:noWrap w:val="0"/>
            <w:vAlign w:val="center"/>
          </w:tcPr>
          <w:p w14:paraId="1E2DF180">
            <w:pPr>
              <w:jc w:val="center"/>
              <w:rPr>
                <w:rFonts w:hint="eastAsia" w:ascii="宋体" w:hAnsi="宋体" w:eastAsia="宋体" w:cs="宋体"/>
                <w:color w:val="auto"/>
                <w:sz w:val="21"/>
                <w:szCs w:val="21"/>
                <w:highlight w:val="none"/>
              </w:rPr>
            </w:pPr>
          </w:p>
        </w:tc>
        <w:tc>
          <w:tcPr>
            <w:tcW w:w="5539" w:type="dxa"/>
            <w:tcBorders>
              <w:top w:val="single" w:color="auto" w:sz="4" w:space="0"/>
              <w:left w:val="single" w:color="auto" w:sz="4" w:space="0"/>
              <w:bottom w:val="single" w:color="auto" w:sz="4" w:space="0"/>
              <w:right w:val="single" w:color="auto" w:sz="4" w:space="0"/>
            </w:tcBorders>
            <w:noWrap w:val="0"/>
            <w:vAlign w:val="top"/>
          </w:tcPr>
          <w:p w14:paraId="2B4B4BAB">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造成</w:t>
            </w:r>
            <w:r>
              <w:rPr>
                <w:rFonts w:hint="eastAsia" w:ascii="宋体" w:hAnsi="宋体" w:eastAsia="宋体" w:cs="宋体"/>
                <w:b w:val="0"/>
                <w:bCs w:val="0"/>
                <w:color w:val="auto"/>
                <w:sz w:val="21"/>
                <w:szCs w:val="21"/>
                <w:highlight w:val="none"/>
                <w:lang w:val="en-US" w:eastAsia="zh-CN"/>
              </w:rPr>
              <w:t>特别重大</w:t>
            </w:r>
            <w:r>
              <w:rPr>
                <w:rFonts w:hint="eastAsia" w:ascii="宋体" w:hAnsi="宋体" w:eastAsia="宋体" w:cs="宋体"/>
                <w:b w:val="0"/>
                <w:bCs w:val="0"/>
                <w:color w:val="auto"/>
                <w:sz w:val="21"/>
                <w:szCs w:val="21"/>
                <w:highlight w:val="none"/>
              </w:rPr>
              <w:t>环境污染、生态破坏事故的</w:t>
            </w:r>
          </w:p>
        </w:tc>
        <w:tc>
          <w:tcPr>
            <w:tcW w:w="1269" w:type="dxa"/>
            <w:tcBorders>
              <w:top w:val="single" w:color="auto" w:sz="4" w:space="0"/>
              <w:left w:val="single" w:color="auto" w:sz="4" w:space="0"/>
              <w:bottom w:val="single" w:color="auto" w:sz="4" w:space="0"/>
              <w:right w:val="single" w:color="auto" w:sz="4" w:space="0"/>
            </w:tcBorders>
            <w:noWrap w:val="0"/>
            <w:vAlign w:val="top"/>
          </w:tcPr>
          <w:p w14:paraId="2461ECB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5238A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 w:hRule="atLeast"/>
          <w:jc w:val="center"/>
        </w:trPr>
        <w:tc>
          <w:tcPr>
            <w:tcW w:w="1714" w:type="dxa"/>
            <w:vMerge w:val="restart"/>
            <w:tcBorders>
              <w:top w:val="single" w:color="auto" w:sz="4" w:space="0"/>
              <w:left w:val="single" w:color="auto" w:sz="4" w:space="0"/>
              <w:bottom w:val="single" w:color="auto" w:sz="4" w:space="0"/>
              <w:right w:val="single" w:color="auto" w:sz="4" w:space="0"/>
            </w:tcBorders>
            <w:noWrap w:val="0"/>
            <w:vAlign w:val="center"/>
          </w:tcPr>
          <w:p w14:paraId="6FAE7383">
            <w:pPr>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违法行为发生地</w:t>
            </w:r>
          </w:p>
        </w:tc>
        <w:tc>
          <w:tcPr>
            <w:tcW w:w="5539" w:type="dxa"/>
            <w:tcBorders>
              <w:top w:val="single" w:color="auto" w:sz="4" w:space="0"/>
              <w:left w:val="single" w:color="auto" w:sz="4" w:space="0"/>
              <w:bottom w:val="single" w:color="auto" w:sz="4" w:space="0"/>
              <w:right w:val="single" w:color="auto" w:sz="4" w:space="0"/>
            </w:tcBorders>
            <w:noWrap w:val="0"/>
            <w:vAlign w:val="top"/>
          </w:tcPr>
          <w:p w14:paraId="4AD43200">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b w:val="0"/>
                <w:bCs w:val="0"/>
                <w:color w:val="auto"/>
                <w:sz w:val="21"/>
                <w:szCs w:val="21"/>
                <w:highlight w:val="none"/>
              </w:rPr>
            </w:pPr>
            <w:r>
              <w:rPr>
                <w:rFonts w:hint="eastAsia" w:ascii="宋体" w:hAnsi="宋体" w:cs="宋体"/>
                <w:color w:val="auto"/>
                <w:sz w:val="21"/>
                <w:szCs w:val="21"/>
                <w:highlight w:val="none"/>
                <w:lang w:eastAsia="zh-CN"/>
              </w:rPr>
              <w:t>二类环境空气功能区</w:t>
            </w:r>
            <w:r>
              <w:rPr>
                <w:rFonts w:hint="eastAsia" w:ascii="宋体" w:hAnsi="宋体" w:eastAsia="宋体" w:cs="宋体"/>
                <w:color w:val="auto"/>
                <w:sz w:val="21"/>
                <w:szCs w:val="21"/>
                <w:highlight w:val="none"/>
              </w:rPr>
              <w:t>（工业区和农村地区）</w:t>
            </w:r>
            <w:r>
              <w:rPr>
                <w:rFonts w:hint="eastAsia" w:ascii="宋体" w:hAnsi="宋体" w:cs="宋体"/>
                <w:color w:val="auto"/>
                <w:sz w:val="21"/>
                <w:szCs w:val="21"/>
                <w:highlight w:val="none"/>
                <w:lang w:val="en-US" w:eastAsia="zh-CN"/>
              </w:rPr>
              <w:t>/V类水体（或者污水集中处理设施）/</w:t>
            </w:r>
            <w:r>
              <w:rPr>
                <w:rFonts w:hint="eastAsia" w:ascii="宋体" w:hAnsi="宋体" w:eastAsia="宋体" w:cs="宋体"/>
                <w:color w:val="auto"/>
                <w:sz w:val="21"/>
                <w:szCs w:val="21"/>
                <w:highlight w:val="none"/>
                <w:lang w:val="en-US" w:eastAsia="zh-CN"/>
              </w:rPr>
              <w:t>第四类海水水质的区域</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1120B4C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r>
      <w:tr w14:paraId="59502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 w:hRule="atLeast"/>
          <w:jc w:val="center"/>
        </w:trPr>
        <w:tc>
          <w:tcPr>
            <w:tcW w:w="1714" w:type="dxa"/>
            <w:vMerge w:val="continue"/>
            <w:tcBorders>
              <w:top w:val="single" w:color="auto" w:sz="4" w:space="0"/>
              <w:left w:val="single" w:color="auto" w:sz="4" w:space="0"/>
              <w:bottom w:val="single" w:color="auto" w:sz="4" w:space="0"/>
              <w:right w:val="single" w:color="auto" w:sz="4" w:space="0"/>
            </w:tcBorders>
            <w:noWrap w:val="0"/>
            <w:vAlign w:val="center"/>
          </w:tcPr>
          <w:p w14:paraId="7E59B8F6">
            <w:pPr>
              <w:jc w:val="center"/>
              <w:rPr>
                <w:rFonts w:hint="eastAsia" w:ascii="宋体" w:hAnsi="宋体" w:eastAsia="宋体" w:cs="宋体"/>
                <w:color w:val="auto"/>
                <w:sz w:val="21"/>
                <w:szCs w:val="21"/>
                <w:highlight w:val="none"/>
              </w:rPr>
            </w:pPr>
          </w:p>
        </w:tc>
        <w:tc>
          <w:tcPr>
            <w:tcW w:w="5539" w:type="dxa"/>
            <w:tcBorders>
              <w:top w:val="single" w:color="auto" w:sz="4" w:space="0"/>
              <w:left w:val="single" w:color="auto" w:sz="4" w:space="0"/>
              <w:bottom w:val="single" w:color="auto" w:sz="4" w:space="0"/>
              <w:right w:val="single" w:color="auto" w:sz="4" w:space="0"/>
            </w:tcBorders>
            <w:noWrap w:val="0"/>
            <w:vAlign w:val="top"/>
          </w:tcPr>
          <w:p w14:paraId="3F9AF0D5">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b w:val="0"/>
                <w:bCs w:val="0"/>
                <w:color w:val="auto"/>
                <w:sz w:val="21"/>
                <w:szCs w:val="21"/>
                <w:highlight w:val="none"/>
              </w:rPr>
            </w:pPr>
            <w:r>
              <w:rPr>
                <w:rFonts w:hint="eastAsia" w:ascii="宋体" w:hAnsi="宋体" w:cs="宋体"/>
                <w:color w:val="auto"/>
                <w:sz w:val="21"/>
                <w:szCs w:val="21"/>
                <w:highlight w:val="none"/>
                <w:lang w:eastAsia="zh-CN"/>
              </w:rPr>
              <w:t>Ⅳ类</w:t>
            </w:r>
            <w:r>
              <w:rPr>
                <w:rFonts w:hint="eastAsia" w:ascii="宋体" w:hAnsi="宋体" w:eastAsia="宋体" w:cs="宋体"/>
                <w:color w:val="auto"/>
                <w:sz w:val="21"/>
                <w:szCs w:val="21"/>
                <w:highlight w:val="none"/>
              </w:rPr>
              <w:t>水体</w:t>
            </w:r>
            <w:r>
              <w:rPr>
                <w:rFonts w:hint="eastAsia" w:ascii="宋体" w:hAnsi="宋体" w:eastAsia="宋体" w:cs="宋体"/>
                <w:color w:val="auto"/>
                <w:sz w:val="21"/>
                <w:szCs w:val="21"/>
                <w:highlight w:val="none"/>
                <w:lang w:val="en-US" w:eastAsia="zh-CN"/>
              </w:rPr>
              <w:t>/第三类海水水质的区域</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7721805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r>
      <w:tr w14:paraId="46DB2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 w:hRule="atLeast"/>
          <w:jc w:val="center"/>
        </w:trPr>
        <w:tc>
          <w:tcPr>
            <w:tcW w:w="1714" w:type="dxa"/>
            <w:vMerge w:val="continue"/>
            <w:tcBorders>
              <w:top w:val="single" w:color="auto" w:sz="4" w:space="0"/>
              <w:left w:val="single" w:color="auto" w:sz="4" w:space="0"/>
              <w:bottom w:val="single" w:color="auto" w:sz="4" w:space="0"/>
              <w:right w:val="single" w:color="auto" w:sz="4" w:space="0"/>
            </w:tcBorders>
            <w:noWrap w:val="0"/>
            <w:vAlign w:val="center"/>
          </w:tcPr>
          <w:p w14:paraId="0819F385">
            <w:pPr>
              <w:jc w:val="center"/>
              <w:rPr>
                <w:rFonts w:hint="eastAsia" w:ascii="宋体" w:hAnsi="宋体" w:eastAsia="宋体" w:cs="宋体"/>
                <w:color w:val="auto"/>
                <w:sz w:val="21"/>
                <w:szCs w:val="21"/>
                <w:highlight w:val="none"/>
              </w:rPr>
            </w:pPr>
          </w:p>
        </w:tc>
        <w:tc>
          <w:tcPr>
            <w:tcW w:w="5539" w:type="dxa"/>
            <w:tcBorders>
              <w:top w:val="single" w:color="auto" w:sz="4" w:space="0"/>
              <w:left w:val="single" w:color="auto" w:sz="4" w:space="0"/>
              <w:bottom w:val="single" w:color="auto" w:sz="4" w:space="0"/>
              <w:right w:val="single" w:color="auto" w:sz="4" w:space="0"/>
            </w:tcBorders>
            <w:noWrap w:val="0"/>
            <w:vAlign w:val="top"/>
          </w:tcPr>
          <w:p w14:paraId="09279667">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b w:val="0"/>
                <w:bCs w:val="0"/>
                <w:color w:val="auto"/>
                <w:sz w:val="21"/>
                <w:szCs w:val="21"/>
                <w:highlight w:val="none"/>
              </w:rPr>
            </w:pPr>
            <w:r>
              <w:rPr>
                <w:rFonts w:hint="eastAsia" w:ascii="宋体" w:hAnsi="宋体" w:cs="宋体"/>
                <w:color w:val="auto"/>
                <w:sz w:val="21"/>
                <w:szCs w:val="21"/>
                <w:highlight w:val="none"/>
                <w:lang w:eastAsia="zh-CN"/>
              </w:rPr>
              <w:t>二类环境空气功能区</w:t>
            </w:r>
            <w:r>
              <w:rPr>
                <w:rFonts w:hint="eastAsia" w:ascii="宋体" w:hAnsi="宋体" w:eastAsia="宋体" w:cs="宋体"/>
                <w:color w:val="auto"/>
                <w:sz w:val="21"/>
                <w:szCs w:val="21"/>
                <w:highlight w:val="none"/>
                <w:lang w:eastAsia="zh-CN"/>
              </w:rPr>
              <w:t>（居民区、商业交通居民混合区、文化区）/</w:t>
            </w:r>
            <w:r>
              <w:rPr>
                <w:rFonts w:hint="eastAsia" w:ascii="宋体" w:hAnsi="宋体" w:cs="宋体"/>
                <w:color w:val="auto"/>
                <w:sz w:val="21"/>
                <w:szCs w:val="21"/>
                <w:highlight w:val="none"/>
                <w:lang w:eastAsia="zh-CN"/>
              </w:rPr>
              <w:t>Ⅲ类</w:t>
            </w:r>
            <w:r>
              <w:rPr>
                <w:rFonts w:hint="eastAsia" w:ascii="宋体" w:hAnsi="宋体" w:eastAsia="宋体" w:cs="宋体"/>
                <w:color w:val="auto"/>
                <w:sz w:val="21"/>
                <w:szCs w:val="21"/>
                <w:highlight w:val="none"/>
                <w:lang w:eastAsia="zh-CN"/>
              </w:rPr>
              <w:t>水体/饮用水水源准保护区/自然保护地外的生态保护红线区域</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0CBF965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090A8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 w:hRule="atLeast"/>
          <w:jc w:val="center"/>
        </w:trPr>
        <w:tc>
          <w:tcPr>
            <w:tcW w:w="1714" w:type="dxa"/>
            <w:vMerge w:val="continue"/>
            <w:tcBorders>
              <w:top w:val="single" w:color="auto" w:sz="4" w:space="0"/>
              <w:left w:val="single" w:color="auto" w:sz="4" w:space="0"/>
              <w:bottom w:val="single" w:color="auto" w:sz="4" w:space="0"/>
              <w:right w:val="single" w:color="auto" w:sz="4" w:space="0"/>
            </w:tcBorders>
            <w:noWrap w:val="0"/>
            <w:vAlign w:val="center"/>
          </w:tcPr>
          <w:p w14:paraId="4BBDA7E0">
            <w:pPr>
              <w:jc w:val="center"/>
              <w:rPr>
                <w:rFonts w:hint="eastAsia" w:ascii="宋体" w:hAnsi="宋体" w:eastAsia="宋体" w:cs="宋体"/>
                <w:color w:val="auto"/>
                <w:sz w:val="21"/>
                <w:szCs w:val="21"/>
                <w:highlight w:val="none"/>
              </w:rPr>
            </w:pPr>
          </w:p>
        </w:tc>
        <w:tc>
          <w:tcPr>
            <w:tcW w:w="5539" w:type="dxa"/>
            <w:tcBorders>
              <w:top w:val="single" w:color="auto" w:sz="4" w:space="0"/>
              <w:left w:val="single" w:color="auto" w:sz="4" w:space="0"/>
              <w:bottom w:val="single" w:color="auto" w:sz="4" w:space="0"/>
              <w:right w:val="single" w:color="auto" w:sz="4" w:space="0"/>
            </w:tcBorders>
            <w:noWrap w:val="0"/>
            <w:vAlign w:val="top"/>
          </w:tcPr>
          <w:p w14:paraId="70DDA396">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b w:val="0"/>
                <w:bCs w:val="0"/>
                <w:color w:val="auto"/>
                <w:sz w:val="21"/>
                <w:szCs w:val="21"/>
                <w:highlight w:val="none"/>
              </w:rPr>
            </w:pPr>
            <w:r>
              <w:rPr>
                <w:rFonts w:hint="eastAsia" w:ascii="宋体" w:hAnsi="宋体" w:cs="宋体"/>
                <w:color w:val="auto"/>
                <w:sz w:val="21"/>
                <w:szCs w:val="21"/>
                <w:highlight w:val="none"/>
                <w:lang w:eastAsia="zh-CN"/>
              </w:rPr>
              <w:t>Ⅱ类</w:t>
            </w:r>
            <w:r>
              <w:rPr>
                <w:rFonts w:hint="eastAsia" w:ascii="宋体" w:hAnsi="宋体" w:eastAsia="宋体" w:cs="宋体"/>
                <w:color w:val="auto"/>
                <w:sz w:val="21"/>
                <w:szCs w:val="21"/>
                <w:highlight w:val="none"/>
              </w:rPr>
              <w:t>水体</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自然保护地一般控制区</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饮用水水源二级保护区</w:t>
            </w:r>
            <w:r>
              <w:rPr>
                <w:rFonts w:hint="eastAsia" w:ascii="宋体" w:hAnsi="宋体" w:eastAsia="宋体" w:cs="宋体"/>
                <w:color w:val="auto"/>
                <w:sz w:val="21"/>
                <w:szCs w:val="21"/>
                <w:highlight w:val="none"/>
                <w:lang w:val="en-US" w:eastAsia="zh-CN"/>
              </w:rPr>
              <w:t>/第二类海水水质的区域</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2638A5B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r>
      <w:tr w14:paraId="14B3C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 w:hRule="atLeast"/>
          <w:jc w:val="center"/>
        </w:trPr>
        <w:tc>
          <w:tcPr>
            <w:tcW w:w="1714" w:type="dxa"/>
            <w:vMerge w:val="continue"/>
            <w:tcBorders>
              <w:top w:val="single" w:color="auto" w:sz="4" w:space="0"/>
              <w:left w:val="single" w:color="auto" w:sz="4" w:space="0"/>
              <w:bottom w:val="single" w:color="auto" w:sz="4" w:space="0"/>
              <w:right w:val="single" w:color="auto" w:sz="4" w:space="0"/>
            </w:tcBorders>
            <w:noWrap w:val="0"/>
            <w:vAlign w:val="center"/>
          </w:tcPr>
          <w:p w14:paraId="37538200">
            <w:pPr>
              <w:jc w:val="center"/>
              <w:rPr>
                <w:rFonts w:hint="eastAsia" w:ascii="宋体" w:hAnsi="宋体" w:eastAsia="宋体" w:cs="宋体"/>
                <w:color w:val="auto"/>
                <w:sz w:val="21"/>
                <w:szCs w:val="21"/>
                <w:highlight w:val="none"/>
              </w:rPr>
            </w:pPr>
          </w:p>
        </w:tc>
        <w:tc>
          <w:tcPr>
            <w:tcW w:w="5539" w:type="dxa"/>
            <w:tcBorders>
              <w:top w:val="single" w:color="auto" w:sz="4" w:space="0"/>
              <w:left w:val="single" w:color="auto" w:sz="4" w:space="0"/>
              <w:bottom w:val="single" w:color="auto" w:sz="4" w:space="0"/>
              <w:right w:val="single" w:color="auto" w:sz="4" w:space="0"/>
            </w:tcBorders>
            <w:noWrap w:val="0"/>
            <w:vAlign w:val="top"/>
          </w:tcPr>
          <w:p w14:paraId="1E5DFF36">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hAnsi="宋体" w:eastAsia="宋体" w:cs="宋体"/>
                <w:b w:val="0"/>
                <w:bCs w:val="0"/>
                <w:color w:val="auto"/>
                <w:sz w:val="21"/>
                <w:szCs w:val="21"/>
                <w:highlight w:val="none"/>
              </w:rPr>
            </w:pPr>
            <w:r>
              <w:rPr>
                <w:rFonts w:hint="eastAsia" w:ascii="宋体" w:hAnsi="宋体" w:cs="宋体"/>
                <w:color w:val="auto"/>
                <w:sz w:val="21"/>
                <w:szCs w:val="21"/>
                <w:highlight w:val="none"/>
                <w:lang w:eastAsia="zh-CN"/>
              </w:rPr>
              <w:t>一类环境空气功能区</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I类水体／自然保护地核心保护区</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饮用水水源一级保护区</w:t>
            </w:r>
            <w:r>
              <w:rPr>
                <w:rFonts w:hint="eastAsia" w:ascii="宋体" w:hAnsi="宋体" w:eastAsia="宋体" w:cs="宋体"/>
                <w:color w:val="auto"/>
                <w:sz w:val="21"/>
                <w:szCs w:val="21"/>
                <w:highlight w:val="none"/>
                <w:lang w:val="en-US" w:eastAsia="zh-CN"/>
              </w:rPr>
              <w:t>/第一类海水水质的区域</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006C744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r>
      <w:tr w14:paraId="18557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 w:hRule="atLeast"/>
          <w:jc w:val="center"/>
        </w:trPr>
        <w:tc>
          <w:tcPr>
            <w:tcW w:w="1714" w:type="dxa"/>
            <w:tcBorders>
              <w:top w:val="single" w:color="auto" w:sz="4" w:space="0"/>
              <w:left w:val="single" w:color="auto" w:sz="4" w:space="0"/>
              <w:bottom w:val="single" w:color="auto" w:sz="4" w:space="0"/>
              <w:right w:val="single" w:color="auto" w:sz="4" w:space="0"/>
            </w:tcBorders>
            <w:noWrap w:val="0"/>
            <w:vAlign w:val="center"/>
          </w:tcPr>
          <w:p w14:paraId="51A1568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备注</w:t>
            </w:r>
          </w:p>
        </w:tc>
        <w:tc>
          <w:tcPr>
            <w:tcW w:w="6808" w:type="dxa"/>
            <w:gridSpan w:val="2"/>
            <w:tcBorders>
              <w:top w:val="single" w:color="auto" w:sz="4" w:space="0"/>
              <w:left w:val="single" w:color="auto" w:sz="4" w:space="0"/>
              <w:bottom w:val="single" w:color="auto" w:sz="4" w:space="0"/>
              <w:right w:val="single" w:color="auto" w:sz="4" w:space="0"/>
            </w:tcBorders>
            <w:noWrap w:val="0"/>
            <w:vAlign w:val="top"/>
          </w:tcPr>
          <w:p w14:paraId="6BC0A9E5">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拟对单位、直接负责的主管人员和其他直接责任人员实施罚款处罚的，应当分别套用计算公式确定罚款数额。涉及多种污染物类别时，</w:t>
            </w:r>
            <w:r>
              <w:rPr>
                <w:rFonts w:hint="eastAsia" w:ascii="宋体" w:hAnsi="宋体" w:cs="宋体"/>
                <w:color w:val="auto"/>
                <w:sz w:val="21"/>
                <w:szCs w:val="21"/>
                <w:highlight w:val="none"/>
                <w:lang w:eastAsia="zh-CN"/>
              </w:rPr>
              <w:t>裁量</w:t>
            </w:r>
            <w:r>
              <w:rPr>
                <w:rFonts w:hint="eastAsia" w:ascii="宋体" w:hAnsi="宋体" w:eastAsia="宋体" w:cs="宋体"/>
                <w:color w:val="auto"/>
                <w:sz w:val="21"/>
                <w:szCs w:val="21"/>
                <w:highlight w:val="none"/>
              </w:rPr>
              <w:t>标准以裁量等级最高为准</w:t>
            </w:r>
            <w:r>
              <w:rPr>
                <w:rFonts w:hint="eastAsia" w:ascii="宋体" w:hAnsi="宋体" w:cs="宋体"/>
                <w:color w:val="auto"/>
                <w:sz w:val="21"/>
                <w:szCs w:val="21"/>
                <w:highlight w:val="none"/>
                <w:lang w:eastAsia="zh-CN"/>
              </w:rPr>
              <w:t>。</w:t>
            </w:r>
          </w:p>
        </w:tc>
      </w:tr>
    </w:tbl>
    <w:p w14:paraId="0350D805">
      <w:pPr>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br w:type="page"/>
      </w:r>
    </w:p>
    <w:tbl>
      <w:tblPr>
        <w:tblStyle w:val="8"/>
        <w:tblW w:w="487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72"/>
        <w:gridCol w:w="5790"/>
        <w:gridCol w:w="1357"/>
      </w:tblGrid>
      <w:tr w14:paraId="08566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19" w:type="dxa"/>
            <w:gridSpan w:val="3"/>
            <w:noWrap w:val="0"/>
            <w:vAlign w:val="center"/>
          </w:tcPr>
          <w:p w14:paraId="43763E60">
            <w:pPr>
              <w:jc w:val="center"/>
              <w:rPr>
                <w:rFonts w:hint="eastAsia" w:ascii="宋体" w:cs="宋体"/>
                <w:color w:val="auto"/>
                <w:szCs w:val="21"/>
              </w:rPr>
            </w:pPr>
            <w:r>
              <w:rPr>
                <w:rFonts w:hint="eastAsia" w:ascii="宋体" w:hAnsi="宋体" w:eastAsia="宋体" w:cs="宋体"/>
                <w:bCs/>
                <w:color w:val="auto"/>
                <w:sz w:val="21"/>
                <w:szCs w:val="21"/>
                <w:highlight w:val="none"/>
                <w:lang w:eastAsia="zh-CN"/>
              </w:rPr>
              <w:t>（十三）其他类</w:t>
            </w:r>
          </w:p>
        </w:tc>
      </w:tr>
      <w:tr w14:paraId="7ABA1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2" w:type="dxa"/>
            <w:noWrap w:val="0"/>
            <w:vAlign w:val="center"/>
          </w:tcPr>
          <w:p w14:paraId="3878A6A7">
            <w:pPr>
              <w:jc w:val="center"/>
              <w:rPr>
                <w:rFonts w:hint="eastAsia" w:ascii="宋体" w:cs="宋体"/>
                <w:color w:val="auto"/>
                <w:szCs w:val="21"/>
              </w:rPr>
            </w:pPr>
            <w:r>
              <w:rPr>
                <w:rFonts w:hint="eastAsia" w:ascii="宋体" w:cs="宋体"/>
                <w:color w:val="auto"/>
                <w:szCs w:val="21"/>
              </w:rPr>
              <w:t>序号</w:t>
            </w:r>
          </w:p>
        </w:tc>
        <w:tc>
          <w:tcPr>
            <w:tcW w:w="7147" w:type="dxa"/>
            <w:gridSpan w:val="2"/>
            <w:noWrap w:val="0"/>
            <w:vAlign w:val="center"/>
          </w:tcPr>
          <w:p w14:paraId="162D1819">
            <w:pPr>
              <w:jc w:val="center"/>
              <w:rPr>
                <w:rFonts w:hint="eastAsia" w:ascii="宋体" w:eastAsia="宋体" w:cs="宋体"/>
                <w:color w:val="auto"/>
                <w:szCs w:val="21"/>
                <w:lang w:val="en-US" w:eastAsia="zh-CN"/>
              </w:rPr>
            </w:pPr>
            <w:r>
              <w:rPr>
                <w:rFonts w:hint="eastAsia" w:ascii="宋体" w:cs="宋体"/>
                <w:color w:val="auto"/>
                <w:szCs w:val="21"/>
              </w:rPr>
              <w:t>1</w:t>
            </w:r>
            <w:r>
              <w:rPr>
                <w:rFonts w:hint="eastAsia" w:ascii="宋体" w:cs="宋体"/>
                <w:color w:val="auto"/>
                <w:szCs w:val="21"/>
                <w:lang w:val="en-US" w:eastAsia="zh-CN"/>
              </w:rPr>
              <w:t>3</w:t>
            </w:r>
          </w:p>
        </w:tc>
      </w:tr>
      <w:tr w14:paraId="45913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2" w:type="dxa"/>
            <w:noWrap w:val="0"/>
            <w:vAlign w:val="center"/>
          </w:tcPr>
          <w:p w14:paraId="5422D2E6">
            <w:pPr>
              <w:jc w:val="center"/>
              <w:rPr>
                <w:rFonts w:hint="eastAsia" w:ascii="宋体" w:cs="宋体"/>
                <w:color w:val="auto"/>
                <w:szCs w:val="21"/>
              </w:rPr>
            </w:pPr>
            <w:r>
              <w:rPr>
                <w:rFonts w:hint="eastAsia" w:ascii="宋体" w:cs="宋体"/>
                <w:color w:val="auto"/>
                <w:szCs w:val="21"/>
              </w:rPr>
              <w:t>违法行为</w:t>
            </w:r>
          </w:p>
        </w:tc>
        <w:tc>
          <w:tcPr>
            <w:tcW w:w="7147" w:type="dxa"/>
            <w:gridSpan w:val="2"/>
            <w:noWrap w:val="0"/>
            <w:vAlign w:val="center"/>
          </w:tcPr>
          <w:p w14:paraId="645C9BB9">
            <w:pPr>
              <w:adjustRightInd w:val="0"/>
              <w:ind w:firstLine="420" w:firstLineChars="200"/>
              <w:jc w:val="both"/>
              <w:rPr>
                <w:rFonts w:hint="eastAsia" w:ascii="宋体" w:cs="宋体"/>
                <w:color w:val="auto"/>
                <w:szCs w:val="21"/>
              </w:rPr>
            </w:pPr>
            <w:r>
              <w:rPr>
                <w:rFonts w:hint="eastAsia" w:ascii="宋体" w:cs="宋体"/>
                <w:color w:val="auto"/>
                <w:szCs w:val="21"/>
              </w:rPr>
              <w:t>采取视频监控措施未按照有关标准、规范覆盖主要生产工序、治理工序、排放口、采样点、监控站房内的；采取用电、用能、用水等过程监控措施未按照有关标准、规范覆盖生产过程中产生和治理污染物环节的</w:t>
            </w:r>
          </w:p>
        </w:tc>
      </w:tr>
      <w:tr w14:paraId="2CB79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2" w:type="dxa"/>
            <w:noWrap w:val="0"/>
            <w:vAlign w:val="center"/>
          </w:tcPr>
          <w:p w14:paraId="1FFAB90B">
            <w:pPr>
              <w:jc w:val="center"/>
              <w:rPr>
                <w:rFonts w:hint="eastAsia" w:ascii="宋体" w:cs="宋体"/>
                <w:color w:val="auto"/>
                <w:szCs w:val="21"/>
              </w:rPr>
            </w:pPr>
            <w:r>
              <w:rPr>
                <w:rFonts w:hint="eastAsia" w:ascii="宋体" w:cs="宋体"/>
                <w:color w:val="auto"/>
                <w:szCs w:val="21"/>
              </w:rPr>
              <w:t>违反条款</w:t>
            </w:r>
          </w:p>
        </w:tc>
        <w:tc>
          <w:tcPr>
            <w:tcW w:w="7147" w:type="dxa"/>
            <w:gridSpan w:val="2"/>
            <w:noWrap w:val="0"/>
            <w:vAlign w:val="center"/>
          </w:tcPr>
          <w:p w14:paraId="44374266">
            <w:pPr>
              <w:adjustRightInd w:val="0"/>
              <w:ind w:firstLine="420" w:firstLineChars="200"/>
              <w:jc w:val="both"/>
              <w:rPr>
                <w:rFonts w:hint="eastAsia" w:ascii="宋体" w:cs="宋体"/>
                <w:color w:val="auto"/>
                <w:szCs w:val="21"/>
              </w:rPr>
            </w:pPr>
            <w:r>
              <w:rPr>
                <w:rFonts w:hint="eastAsia" w:ascii="宋体" w:cs="宋体"/>
                <w:color w:val="auto"/>
                <w:szCs w:val="21"/>
              </w:rPr>
              <w:t>《</w:t>
            </w:r>
            <w:r>
              <w:rPr>
                <w:rFonts w:hint="eastAsia" w:ascii="宋体" w:cs="宋体"/>
                <w:color w:val="auto"/>
                <w:szCs w:val="21"/>
              </w:rPr>
              <w:fldChar w:fldCharType="begin"/>
            </w:r>
            <w:r>
              <w:rPr>
                <w:rFonts w:hint="eastAsia" w:ascii="宋体" w:cs="宋体"/>
                <w:color w:val="auto"/>
                <w:szCs w:val="21"/>
              </w:rPr>
              <w:instrText xml:space="preserve"> HYPERLINK  "https://alphalawyer.cn/ilawregu-search/api/v1/lawregu/redict/697db819c6e263dfcc8bd1b65dac55ff"</w:instrText>
            </w:r>
            <w:r>
              <w:rPr>
                <w:rFonts w:hint="eastAsia" w:ascii="宋体" w:cs="宋体"/>
                <w:color w:val="auto"/>
                <w:szCs w:val="21"/>
              </w:rPr>
              <w:fldChar w:fldCharType="separate"/>
            </w:r>
            <w:r>
              <w:rPr>
                <w:rFonts w:hint="eastAsia" w:ascii="宋体" w:cs="宋体"/>
                <w:color w:val="auto"/>
                <w:szCs w:val="21"/>
              </w:rPr>
              <w:t>福建省固定污染源自动监控管理办法</w:t>
            </w:r>
            <w:r>
              <w:rPr>
                <w:rFonts w:hint="eastAsia" w:ascii="宋体" w:cs="宋体"/>
                <w:color w:val="auto"/>
                <w:szCs w:val="21"/>
              </w:rPr>
              <w:fldChar w:fldCharType="end"/>
            </w:r>
            <w:r>
              <w:rPr>
                <w:rFonts w:hint="eastAsia" w:ascii="宋体" w:cs="宋体"/>
                <w:color w:val="auto"/>
                <w:szCs w:val="21"/>
              </w:rPr>
              <w:t>》第十五条</w:t>
            </w:r>
            <w:r>
              <w:rPr>
                <w:rFonts w:hint="eastAsia" w:ascii="宋体" w:cs="宋体"/>
                <w:color w:val="auto"/>
                <w:szCs w:val="21"/>
                <w:lang w:val="en-US" w:eastAsia="zh-CN"/>
              </w:rPr>
              <w:t xml:space="preserve"> </w:t>
            </w:r>
            <w:r>
              <w:rPr>
                <w:rFonts w:hint="eastAsia" w:ascii="宋体" w:cs="宋体"/>
                <w:color w:val="auto"/>
                <w:szCs w:val="21"/>
              </w:rPr>
              <w:t>排污单位应当按照国家有关规定采取视频监控措施或者用电、用能、用水等过程监控措施。</w:t>
            </w:r>
          </w:p>
          <w:p w14:paraId="5E013374">
            <w:pPr>
              <w:adjustRightInd w:val="0"/>
              <w:ind w:firstLine="420" w:firstLineChars="200"/>
              <w:jc w:val="both"/>
              <w:rPr>
                <w:rFonts w:hint="eastAsia" w:ascii="宋体" w:cs="宋体"/>
                <w:color w:val="auto"/>
                <w:szCs w:val="21"/>
              </w:rPr>
            </w:pPr>
            <w:r>
              <w:rPr>
                <w:rFonts w:hint="eastAsia" w:ascii="宋体" w:cs="宋体"/>
                <w:color w:val="auto"/>
                <w:szCs w:val="21"/>
              </w:rPr>
              <w:t>视频监控范围应当按照有关标准、规范覆盖主要生产工序、治理工序、排放口、采样点、监控站房内等，涉及国家机密、商业秘密和个人隐私的除外。</w:t>
            </w:r>
          </w:p>
          <w:p w14:paraId="72CCD207">
            <w:pPr>
              <w:adjustRightInd w:val="0"/>
              <w:ind w:firstLine="420" w:firstLineChars="200"/>
              <w:jc w:val="both"/>
              <w:rPr>
                <w:rFonts w:hint="eastAsia" w:ascii="宋体" w:cs="宋体"/>
                <w:color w:val="auto"/>
                <w:szCs w:val="21"/>
              </w:rPr>
            </w:pPr>
            <w:r>
              <w:rPr>
                <w:rFonts w:hint="eastAsia" w:ascii="宋体" w:cs="宋体"/>
                <w:color w:val="auto"/>
                <w:szCs w:val="21"/>
              </w:rPr>
              <w:t>用电、用能、用水等过程监控范围应当按照有关标准、规范覆盖生产过程中产生和治理污染物的环节。</w:t>
            </w:r>
          </w:p>
        </w:tc>
      </w:tr>
      <w:tr w14:paraId="1F1AB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2" w:type="dxa"/>
            <w:noWrap w:val="0"/>
            <w:vAlign w:val="center"/>
          </w:tcPr>
          <w:p w14:paraId="78AC97F5">
            <w:pPr>
              <w:jc w:val="center"/>
              <w:rPr>
                <w:rFonts w:hint="eastAsia" w:ascii="宋体" w:cs="宋体"/>
                <w:color w:val="auto"/>
                <w:szCs w:val="21"/>
              </w:rPr>
            </w:pPr>
            <w:r>
              <w:rPr>
                <w:rFonts w:hint="eastAsia" w:ascii="宋体" w:cs="宋体"/>
                <w:color w:val="auto"/>
                <w:szCs w:val="21"/>
              </w:rPr>
              <w:t>处罚依据</w:t>
            </w:r>
          </w:p>
        </w:tc>
        <w:tc>
          <w:tcPr>
            <w:tcW w:w="7147" w:type="dxa"/>
            <w:gridSpan w:val="2"/>
            <w:noWrap w:val="0"/>
            <w:vAlign w:val="center"/>
          </w:tcPr>
          <w:p w14:paraId="451C50CE">
            <w:pPr>
              <w:adjustRightInd w:val="0"/>
              <w:ind w:firstLine="420" w:firstLineChars="200"/>
              <w:jc w:val="both"/>
              <w:rPr>
                <w:rFonts w:hint="eastAsia" w:ascii="宋体" w:cs="宋体"/>
                <w:color w:val="auto"/>
                <w:szCs w:val="21"/>
              </w:rPr>
            </w:pPr>
            <w:r>
              <w:rPr>
                <w:rFonts w:hint="eastAsia" w:ascii="宋体" w:cs="宋体"/>
                <w:color w:val="auto"/>
                <w:szCs w:val="21"/>
              </w:rPr>
              <w:t>《</w:t>
            </w:r>
            <w:r>
              <w:rPr>
                <w:rFonts w:hint="eastAsia" w:ascii="宋体" w:cs="宋体"/>
                <w:color w:val="auto"/>
                <w:szCs w:val="21"/>
              </w:rPr>
              <w:fldChar w:fldCharType="begin"/>
            </w:r>
            <w:r>
              <w:rPr>
                <w:rFonts w:hint="eastAsia" w:ascii="宋体" w:cs="宋体"/>
                <w:color w:val="auto"/>
                <w:szCs w:val="21"/>
              </w:rPr>
              <w:instrText xml:space="preserve"> HYPERLINK  "https://alphalawyer.cn/ilawregu-search/api/v1/lawregu/redict/697db819c6e263dfcc8bd1b65dac55ff"</w:instrText>
            </w:r>
            <w:r>
              <w:rPr>
                <w:rFonts w:hint="eastAsia" w:ascii="宋体" w:cs="宋体"/>
                <w:color w:val="auto"/>
                <w:szCs w:val="21"/>
              </w:rPr>
              <w:fldChar w:fldCharType="separate"/>
            </w:r>
            <w:r>
              <w:rPr>
                <w:rFonts w:hint="eastAsia" w:ascii="宋体" w:cs="宋体"/>
                <w:color w:val="auto"/>
                <w:szCs w:val="21"/>
              </w:rPr>
              <w:t>福建省固定污染源自动监控管理办法</w:t>
            </w:r>
            <w:r>
              <w:rPr>
                <w:rFonts w:hint="eastAsia" w:ascii="宋体" w:cs="宋体"/>
                <w:color w:val="auto"/>
                <w:szCs w:val="21"/>
              </w:rPr>
              <w:fldChar w:fldCharType="end"/>
            </w:r>
            <w:r>
              <w:rPr>
                <w:rFonts w:hint="eastAsia" w:ascii="宋体" w:cs="宋体"/>
                <w:color w:val="auto"/>
                <w:szCs w:val="21"/>
              </w:rPr>
              <w:t>》第二十九条</w:t>
            </w:r>
            <w:r>
              <w:rPr>
                <w:rFonts w:hint="eastAsia" w:ascii="宋体" w:cs="宋体"/>
                <w:color w:val="auto"/>
                <w:szCs w:val="21"/>
                <w:lang w:val="en-US" w:eastAsia="zh-CN"/>
              </w:rPr>
              <w:t xml:space="preserve"> </w:t>
            </w:r>
            <w:r>
              <w:rPr>
                <w:rFonts w:hint="eastAsia" w:ascii="宋体" w:cs="宋体"/>
                <w:color w:val="auto"/>
                <w:szCs w:val="21"/>
              </w:rPr>
              <w:t>违反本办法第十五条规定，排污单位有下列情形之一的，由生态环境主管部门责令改正，处2万元以上20万元以下罚款，并予以通报批评：</w:t>
            </w:r>
          </w:p>
          <w:p w14:paraId="0528062E">
            <w:pPr>
              <w:adjustRightInd w:val="0"/>
              <w:ind w:firstLine="420" w:firstLineChars="200"/>
              <w:jc w:val="both"/>
              <w:rPr>
                <w:rFonts w:hint="eastAsia" w:ascii="宋体" w:cs="宋体"/>
                <w:color w:val="auto"/>
                <w:szCs w:val="21"/>
              </w:rPr>
            </w:pPr>
            <w:r>
              <w:rPr>
                <w:rFonts w:hint="eastAsia" w:ascii="宋体" w:cs="宋体"/>
                <w:color w:val="auto"/>
                <w:szCs w:val="21"/>
              </w:rPr>
              <w:t>（一）采取视频监控措施未按照有关标准、规范覆盖主要生产工序、治理工序、排放口、采样点、监控站房内的；</w:t>
            </w:r>
          </w:p>
          <w:p w14:paraId="068895B1">
            <w:pPr>
              <w:adjustRightInd w:val="0"/>
              <w:ind w:firstLine="420" w:firstLineChars="200"/>
              <w:jc w:val="both"/>
              <w:rPr>
                <w:rFonts w:hint="eastAsia" w:ascii="宋体" w:cs="宋体"/>
                <w:color w:val="auto"/>
                <w:szCs w:val="21"/>
              </w:rPr>
            </w:pPr>
            <w:r>
              <w:rPr>
                <w:rFonts w:hint="eastAsia" w:ascii="宋体" w:cs="宋体"/>
                <w:color w:val="auto"/>
                <w:szCs w:val="21"/>
              </w:rPr>
              <w:t>（二）采取用电、用能、用水等过程监控措施未按照有关标准、规范覆盖生产过程中产生和治理污染物环节的。</w:t>
            </w:r>
          </w:p>
        </w:tc>
      </w:tr>
      <w:tr w14:paraId="178A5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2" w:type="dxa"/>
            <w:noWrap w:val="0"/>
            <w:vAlign w:val="center"/>
          </w:tcPr>
          <w:p w14:paraId="0EF7395B">
            <w:pPr>
              <w:jc w:val="center"/>
              <w:rPr>
                <w:rFonts w:hint="eastAsia" w:ascii="宋体" w:cs="宋体"/>
                <w:color w:val="auto"/>
                <w:szCs w:val="21"/>
              </w:rPr>
            </w:pPr>
            <w:r>
              <w:rPr>
                <w:rFonts w:hint="eastAsia" w:ascii="宋体" w:cs="宋体"/>
                <w:color w:val="auto"/>
                <w:szCs w:val="21"/>
              </w:rPr>
              <w:t>裁量因素</w:t>
            </w:r>
          </w:p>
        </w:tc>
        <w:tc>
          <w:tcPr>
            <w:tcW w:w="5790" w:type="dxa"/>
            <w:noWrap w:val="0"/>
            <w:vAlign w:val="center"/>
          </w:tcPr>
          <w:p w14:paraId="0E49ED17">
            <w:pPr>
              <w:jc w:val="center"/>
              <w:rPr>
                <w:rFonts w:hint="eastAsia" w:ascii="宋体" w:cs="宋体"/>
                <w:color w:val="auto"/>
                <w:szCs w:val="21"/>
              </w:rPr>
            </w:pPr>
            <w:r>
              <w:rPr>
                <w:rFonts w:hint="eastAsia" w:ascii="宋体" w:cs="宋体"/>
                <w:color w:val="auto"/>
                <w:szCs w:val="21"/>
              </w:rPr>
              <w:t>裁量因子</w:t>
            </w:r>
          </w:p>
        </w:tc>
        <w:tc>
          <w:tcPr>
            <w:tcW w:w="1357" w:type="dxa"/>
            <w:noWrap w:val="0"/>
            <w:vAlign w:val="center"/>
          </w:tcPr>
          <w:p w14:paraId="3A297099">
            <w:pPr>
              <w:jc w:val="center"/>
              <w:rPr>
                <w:rFonts w:hint="eastAsia" w:ascii="宋体" w:cs="宋体"/>
                <w:color w:val="auto"/>
                <w:szCs w:val="21"/>
              </w:rPr>
            </w:pPr>
            <w:r>
              <w:rPr>
                <w:rFonts w:hint="eastAsia" w:ascii="宋体" w:cs="宋体"/>
                <w:color w:val="auto"/>
                <w:szCs w:val="21"/>
              </w:rPr>
              <w:t>裁量等级</w:t>
            </w:r>
          </w:p>
        </w:tc>
      </w:tr>
      <w:tr w14:paraId="41B96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2" w:type="dxa"/>
            <w:vMerge w:val="restart"/>
            <w:noWrap w:val="0"/>
            <w:vAlign w:val="center"/>
          </w:tcPr>
          <w:p w14:paraId="2BA7CBF6">
            <w:pPr>
              <w:jc w:val="center"/>
              <w:rPr>
                <w:rFonts w:hint="eastAsia" w:ascii="宋体" w:cs="宋体"/>
                <w:color w:val="auto"/>
                <w:szCs w:val="21"/>
              </w:rPr>
            </w:pPr>
            <w:r>
              <w:rPr>
                <w:rFonts w:hint="eastAsia" w:ascii="宋体" w:hAnsi="宋体" w:cs="宋体"/>
                <w:color w:val="auto"/>
                <w:sz w:val="21"/>
                <w:szCs w:val="21"/>
                <w:highlight w:val="none"/>
                <w:lang w:eastAsia="zh-CN"/>
              </w:rPr>
              <w:t>违法行为发生地</w:t>
            </w:r>
          </w:p>
        </w:tc>
        <w:tc>
          <w:tcPr>
            <w:tcW w:w="5790" w:type="dxa"/>
            <w:noWrap w:val="0"/>
            <w:vAlign w:val="top"/>
          </w:tcPr>
          <w:p w14:paraId="09EF86AF">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cs="宋体"/>
                <w:color w:val="auto"/>
                <w:szCs w:val="21"/>
              </w:rPr>
            </w:pPr>
            <w:r>
              <w:rPr>
                <w:rFonts w:hint="eastAsia" w:ascii="宋体" w:hAnsi="宋体" w:cs="宋体"/>
                <w:color w:val="auto"/>
                <w:sz w:val="21"/>
                <w:szCs w:val="21"/>
                <w:highlight w:val="none"/>
                <w:lang w:eastAsia="zh-CN"/>
              </w:rPr>
              <w:t>二类环境空气功能区</w:t>
            </w:r>
            <w:r>
              <w:rPr>
                <w:rFonts w:hint="eastAsia" w:ascii="宋体" w:hAnsi="宋体" w:eastAsia="宋体" w:cs="宋体"/>
                <w:color w:val="auto"/>
                <w:sz w:val="21"/>
                <w:szCs w:val="21"/>
                <w:highlight w:val="none"/>
              </w:rPr>
              <w:t>（工业区和农村地区）</w:t>
            </w:r>
            <w:r>
              <w:rPr>
                <w:rFonts w:hint="eastAsia" w:ascii="宋体" w:hAnsi="宋体" w:cs="宋体"/>
                <w:color w:val="auto"/>
                <w:sz w:val="21"/>
                <w:szCs w:val="21"/>
                <w:highlight w:val="none"/>
                <w:lang w:val="en-US" w:eastAsia="zh-CN"/>
              </w:rPr>
              <w:t>/V类水体（或者污水集中处理设施）/</w:t>
            </w:r>
            <w:r>
              <w:rPr>
                <w:rFonts w:hint="eastAsia" w:ascii="宋体" w:hAnsi="宋体" w:eastAsia="宋体" w:cs="宋体"/>
                <w:color w:val="auto"/>
                <w:sz w:val="21"/>
                <w:szCs w:val="21"/>
                <w:highlight w:val="none"/>
              </w:rPr>
              <w:t>4类声环境功能区</w:t>
            </w:r>
            <w:r>
              <w:rPr>
                <w:rFonts w:hint="eastAsia" w:ascii="宋体" w:hAnsi="宋体" w:eastAsia="宋体" w:cs="宋体"/>
                <w:color w:val="auto"/>
                <w:sz w:val="21"/>
                <w:szCs w:val="21"/>
                <w:highlight w:val="none"/>
                <w:lang w:val="en-US" w:eastAsia="zh-CN"/>
              </w:rPr>
              <w:t>/第四类海水水质的区域</w:t>
            </w:r>
          </w:p>
        </w:tc>
        <w:tc>
          <w:tcPr>
            <w:tcW w:w="1357" w:type="dxa"/>
            <w:noWrap w:val="0"/>
            <w:vAlign w:val="center"/>
          </w:tcPr>
          <w:p w14:paraId="4A98E4BB">
            <w:pPr>
              <w:jc w:val="center"/>
              <w:rPr>
                <w:rFonts w:hint="eastAsia" w:ascii="宋体" w:cs="宋体"/>
                <w:color w:val="auto"/>
                <w:szCs w:val="21"/>
              </w:rPr>
            </w:pPr>
            <w:r>
              <w:rPr>
                <w:rFonts w:hint="eastAsia" w:ascii="宋体" w:hAnsi="宋体" w:eastAsia="宋体" w:cs="宋体"/>
                <w:color w:val="auto"/>
                <w:sz w:val="21"/>
                <w:szCs w:val="21"/>
                <w:highlight w:val="none"/>
              </w:rPr>
              <w:t>1</w:t>
            </w:r>
          </w:p>
        </w:tc>
      </w:tr>
      <w:tr w14:paraId="47C92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2" w:type="dxa"/>
            <w:vMerge w:val="continue"/>
            <w:noWrap w:val="0"/>
            <w:vAlign w:val="center"/>
          </w:tcPr>
          <w:p w14:paraId="09AD8E37">
            <w:pPr>
              <w:jc w:val="center"/>
              <w:rPr>
                <w:color w:val="auto"/>
              </w:rPr>
            </w:pPr>
          </w:p>
        </w:tc>
        <w:tc>
          <w:tcPr>
            <w:tcW w:w="5790" w:type="dxa"/>
            <w:noWrap w:val="0"/>
            <w:vAlign w:val="top"/>
          </w:tcPr>
          <w:p w14:paraId="03592746">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cs="宋体"/>
                <w:color w:val="auto"/>
                <w:szCs w:val="21"/>
              </w:rPr>
            </w:pPr>
            <w:r>
              <w:rPr>
                <w:rFonts w:hint="eastAsia" w:ascii="宋体" w:hAnsi="宋体" w:cs="宋体"/>
                <w:color w:val="auto"/>
                <w:sz w:val="21"/>
                <w:szCs w:val="21"/>
                <w:highlight w:val="none"/>
                <w:lang w:eastAsia="zh-CN"/>
              </w:rPr>
              <w:t>Ⅳ类</w:t>
            </w:r>
            <w:r>
              <w:rPr>
                <w:rFonts w:hint="eastAsia" w:ascii="宋体" w:hAnsi="宋体" w:eastAsia="宋体" w:cs="宋体"/>
                <w:color w:val="auto"/>
                <w:sz w:val="21"/>
                <w:szCs w:val="21"/>
                <w:highlight w:val="none"/>
              </w:rPr>
              <w:t>水体</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3类声环境功能区</w:t>
            </w:r>
            <w:r>
              <w:rPr>
                <w:rFonts w:hint="eastAsia" w:ascii="宋体" w:hAnsi="宋体" w:eastAsia="宋体" w:cs="宋体"/>
                <w:color w:val="auto"/>
                <w:sz w:val="21"/>
                <w:szCs w:val="21"/>
                <w:highlight w:val="none"/>
                <w:lang w:val="en-US" w:eastAsia="zh-CN"/>
              </w:rPr>
              <w:t>/第三类海水水质的区域</w:t>
            </w:r>
          </w:p>
        </w:tc>
        <w:tc>
          <w:tcPr>
            <w:tcW w:w="1357" w:type="dxa"/>
            <w:noWrap w:val="0"/>
            <w:vAlign w:val="center"/>
          </w:tcPr>
          <w:p w14:paraId="351ECB64">
            <w:pPr>
              <w:jc w:val="center"/>
              <w:rPr>
                <w:rFonts w:hint="eastAsia" w:ascii="宋体" w:cs="宋体"/>
                <w:color w:val="auto"/>
                <w:szCs w:val="21"/>
              </w:rPr>
            </w:pPr>
            <w:r>
              <w:rPr>
                <w:rFonts w:hint="eastAsia" w:ascii="宋体" w:hAnsi="宋体" w:eastAsia="宋体" w:cs="宋体"/>
                <w:color w:val="auto"/>
                <w:sz w:val="21"/>
                <w:szCs w:val="21"/>
                <w:highlight w:val="none"/>
              </w:rPr>
              <w:t>2</w:t>
            </w:r>
          </w:p>
        </w:tc>
      </w:tr>
      <w:tr w14:paraId="26986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2" w:type="dxa"/>
            <w:vMerge w:val="continue"/>
            <w:noWrap w:val="0"/>
            <w:vAlign w:val="center"/>
          </w:tcPr>
          <w:p w14:paraId="25D7A512">
            <w:pPr>
              <w:jc w:val="center"/>
              <w:rPr>
                <w:color w:val="auto"/>
              </w:rPr>
            </w:pPr>
          </w:p>
        </w:tc>
        <w:tc>
          <w:tcPr>
            <w:tcW w:w="5790" w:type="dxa"/>
            <w:noWrap w:val="0"/>
            <w:vAlign w:val="top"/>
          </w:tcPr>
          <w:p w14:paraId="6F1B35D5">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cs="宋体"/>
                <w:color w:val="auto"/>
                <w:szCs w:val="21"/>
              </w:rPr>
            </w:pPr>
            <w:r>
              <w:rPr>
                <w:rFonts w:hint="eastAsia" w:ascii="宋体" w:hAnsi="宋体" w:cs="宋体"/>
                <w:color w:val="auto"/>
                <w:sz w:val="21"/>
                <w:szCs w:val="21"/>
                <w:highlight w:val="none"/>
                <w:lang w:eastAsia="zh-CN"/>
              </w:rPr>
              <w:t>二类环境空气功能区</w:t>
            </w:r>
            <w:r>
              <w:rPr>
                <w:rFonts w:hint="eastAsia" w:ascii="宋体" w:hAnsi="宋体" w:eastAsia="宋体" w:cs="宋体"/>
                <w:color w:val="auto"/>
                <w:sz w:val="21"/>
                <w:szCs w:val="21"/>
                <w:highlight w:val="none"/>
                <w:lang w:eastAsia="zh-CN"/>
              </w:rPr>
              <w:t>（居民区、商业交通居民混合区、文化区）/</w:t>
            </w:r>
            <w:r>
              <w:rPr>
                <w:rFonts w:hint="eastAsia" w:ascii="宋体" w:hAnsi="宋体" w:cs="宋体"/>
                <w:color w:val="auto"/>
                <w:sz w:val="21"/>
                <w:szCs w:val="21"/>
                <w:highlight w:val="none"/>
                <w:lang w:eastAsia="zh-CN"/>
              </w:rPr>
              <w:t>Ⅲ类</w:t>
            </w:r>
            <w:r>
              <w:rPr>
                <w:rFonts w:hint="eastAsia" w:ascii="宋体" w:hAnsi="宋体" w:eastAsia="宋体" w:cs="宋体"/>
                <w:color w:val="auto"/>
                <w:sz w:val="21"/>
                <w:szCs w:val="21"/>
                <w:highlight w:val="none"/>
                <w:lang w:eastAsia="zh-CN"/>
              </w:rPr>
              <w:t>水体/2类声环境功能区/饮用水水源准保护区/自然保护地外的生态保护红线区域</w:t>
            </w:r>
          </w:p>
        </w:tc>
        <w:tc>
          <w:tcPr>
            <w:tcW w:w="1357" w:type="dxa"/>
            <w:noWrap w:val="0"/>
            <w:vAlign w:val="center"/>
          </w:tcPr>
          <w:p w14:paraId="4FD90015">
            <w:pPr>
              <w:jc w:val="center"/>
              <w:rPr>
                <w:rFonts w:hint="eastAsia" w:ascii="宋体" w:cs="宋体"/>
                <w:color w:val="auto"/>
                <w:szCs w:val="21"/>
              </w:rPr>
            </w:pPr>
            <w:r>
              <w:rPr>
                <w:rFonts w:hint="eastAsia" w:ascii="宋体" w:hAnsi="宋体" w:eastAsia="宋体" w:cs="宋体"/>
                <w:color w:val="auto"/>
                <w:sz w:val="21"/>
                <w:szCs w:val="21"/>
                <w:highlight w:val="none"/>
              </w:rPr>
              <w:t>3</w:t>
            </w:r>
          </w:p>
        </w:tc>
      </w:tr>
      <w:tr w14:paraId="04A23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2" w:type="dxa"/>
            <w:vMerge w:val="continue"/>
            <w:noWrap w:val="0"/>
            <w:vAlign w:val="center"/>
          </w:tcPr>
          <w:p w14:paraId="0A36E4D5">
            <w:pPr>
              <w:jc w:val="center"/>
              <w:rPr>
                <w:color w:val="auto"/>
              </w:rPr>
            </w:pPr>
          </w:p>
        </w:tc>
        <w:tc>
          <w:tcPr>
            <w:tcW w:w="5790" w:type="dxa"/>
            <w:noWrap w:val="0"/>
            <w:vAlign w:val="top"/>
          </w:tcPr>
          <w:p w14:paraId="0E32FDFA">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cs="宋体"/>
                <w:color w:val="auto"/>
                <w:szCs w:val="21"/>
              </w:rPr>
            </w:pPr>
            <w:r>
              <w:rPr>
                <w:rFonts w:hint="eastAsia" w:ascii="宋体" w:hAnsi="宋体" w:cs="宋体"/>
                <w:color w:val="auto"/>
                <w:sz w:val="21"/>
                <w:szCs w:val="21"/>
                <w:highlight w:val="none"/>
                <w:lang w:eastAsia="zh-CN"/>
              </w:rPr>
              <w:t>Ⅱ类</w:t>
            </w:r>
            <w:r>
              <w:rPr>
                <w:rFonts w:hint="eastAsia" w:ascii="宋体" w:hAnsi="宋体" w:eastAsia="宋体" w:cs="宋体"/>
                <w:color w:val="auto"/>
                <w:sz w:val="21"/>
                <w:szCs w:val="21"/>
                <w:highlight w:val="none"/>
              </w:rPr>
              <w:t>水体</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1类声环境功能区／自然保护地一般控制区</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饮用水水源二级保护区</w:t>
            </w:r>
            <w:r>
              <w:rPr>
                <w:rFonts w:hint="eastAsia" w:ascii="宋体" w:hAnsi="宋体" w:eastAsia="宋体" w:cs="宋体"/>
                <w:color w:val="auto"/>
                <w:sz w:val="21"/>
                <w:szCs w:val="21"/>
                <w:highlight w:val="none"/>
                <w:lang w:val="en-US" w:eastAsia="zh-CN"/>
              </w:rPr>
              <w:t>/第二类海水水质的区域</w:t>
            </w:r>
          </w:p>
        </w:tc>
        <w:tc>
          <w:tcPr>
            <w:tcW w:w="1357" w:type="dxa"/>
            <w:noWrap w:val="0"/>
            <w:vAlign w:val="center"/>
          </w:tcPr>
          <w:p w14:paraId="6D31F75F">
            <w:pPr>
              <w:jc w:val="center"/>
              <w:rPr>
                <w:rFonts w:hint="eastAsia" w:ascii="宋体" w:cs="宋体"/>
                <w:color w:val="auto"/>
                <w:szCs w:val="21"/>
              </w:rPr>
            </w:pPr>
            <w:r>
              <w:rPr>
                <w:rFonts w:hint="eastAsia" w:ascii="宋体" w:hAnsi="宋体" w:eastAsia="宋体" w:cs="宋体"/>
                <w:color w:val="auto"/>
                <w:sz w:val="21"/>
                <w:szCs w:val="21"/>
                <w:highlight w:val="none"/>
              </w:rPr>
              <w:t>4</w:t>
            </w:r>
          </w:p>
        </w:tc>
      </w:tr>
      <w:tr w14:paraId="264AF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2" w:type="dxa"/>
            <w:vMerge w:val="continue"/>
            <w:noWrap w:val="0"/>
            <w:vAlign w:val="center"/>
          </w:tcPr>
          <w:p w14:paraId="3A7A2ACA">
            <w:pPr>
              <w:jc w:val="center"/>
              <w:rPr>
                <w:color w:val="auto"/>
              </w:rPr>
            </w:pPr>
          </w:p>
        </w:tc>
        <w:tc>
          <w:tcPr>
            <w:tcW w:w="5790" w:type="dxa"/>
            <w:noWrap w:val="0"/>
            <w:vAlign w:val="top"/>
          </w:tcPr>
          <w:p w14:paraId="5E74DA05">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cs="宋体"/>
                <w:color w:val="auto"/>
                <w:szCs w:val="21"/>
              </w:rPr>
            </w:pPr>
            <w:r>
              <w:rPr>
                <w:rFonts w:hint="eastAsia" w:ascii="宋体" w:hAnsi="宋体" w:cs="宋体"/>
                <w:color w:val="auto"/>
                <w:sz w:val="21"/>
                <w:szCs w:val="21"/>
                <w:highlight w:val="none"/>
                <w:lang w:eastAsia="zh-CN"/>
              </w:rPr>
              <w:t>一类环境空气功能区</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I类水体</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0类声环境功能区／自然保护地核心保护区</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饮用水水源一级保护区</w:t>
            </w:r>
            <w:r>
              <w:rPr>
                <w:rFonts w:hint="eastAsia" w:ascii="宋体" w:hAnsi="宋体" w:eastAsia="宋体" w:cs="宋体"/>
                <w:color w:val="auto"/>
                <w:sz w:val="21"/>
                <w:szCs w:val="21"/>
                <w:highlight w:val="none"/>
                <w:lang w:val="en-US" w:eastAsia="zh-CN"/>
              </w:rPr>
              <w:t>/第一类海水水质的区域</w:t>
            </w:r>
          </w:p>
        </w:tc>
        <w:tc>
          <w:tcPr>
            <w:tcW w:w="1357" w:type="dxa"/>
            <w:noWrap w:val="0"/>
            <w:vAlign w:val="center"/>
          </w:tcPr>
          <w:p w14:paraId="24D670F2">
            <w:pPr>
              <w:jc w:val="center"/>
              <w:rPr>
                <w:rFonts w:hint="eastAsia" w:ascii="宋体" w:cs="宋体"/>
                <w:color w:val="auto"/>
                <w:szCs w:val="21"/>
              </w:rPr>
            </w:pPr>
            <w:r>
              <w:rPr>
                <w:rFonts w:hint="eastAsia" w:ascii="宋体" w:hAnsi="宋体" w:eastAsia="宋体" w:cs="宋体"/>
                <w:color w:val="auto"/>
                <w:sz w:val="21"/>
                <w:szCs w:val="21"/>
                <w:highlight w:val="none"/>
              </w:rPr>
              <w:t>5</w:t>
            </w:r>
          </w:p>
        </w:tc>
      </w:tr>
      <w:tr w14:paraId="0FC78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2" w:type="dxa"/>
            <w:vMerge w:val="restart"/>
            <w:noWrap w:val="0"/>
            <w:vAlign w:val="center"/>
          </w:tcPr>
          <w:p w14:paraId="5BEC0BA9">
            <w:pPr>
              <w:jc w:val="center"/>
              <w:rPr>
                <w:color w:val="auto"/>
              </w:rPr>
            </w:pPr>
            <w:r>
              <w:rPr>
                <w:rFonts w:hint="eastAsia" w:ascii="宋体" w:hAnsi="宋体" w:eastAsia="宋体" w:cs="宋体"/>
                <w:color w:val="auto"/>
                <w:sz w:val="21"/>
                <w:szCs w:val="21"/>
                <w:highlight w:val="none"/>
                <w:lang w:val="en-US" w:eastAsia="zh-CN"/>
              </w:rPr>
              <w:t>污染物</w:t>
            </w:r>
            <w:r>
              <w:rPr>
                <w:rFonts w:hint="eastAsia" w:ascii="宋体" w:hAnsi="宋体" w:eastAsia="宋体" w:cs="宋体"/>
                <w:color w:val="auto"/>
                <w:sz w:val="21"/>
                <w:szCs w:val="21"/>
                <w:highlight w:val="none"/>
              </w:rPr>
              <w:t>类别</w:t>
            </w:r>
          </w:p>
        </w:tc>
        <w:tc>
          <w:tcPr>
            <w:tcW w:w="5790" w:type="dxa"/>
            <w:noWrap w:val="0"/>
            <w:vAlign w:val="top"/>
          </w:tcPr>
          <w:p w14:paraId="7418D23D">
            <w:pPr>
              <w:adjustRightInd w:val="0"/>
              <w:ind w:firstLine="420" w:firstLineChars="200"/>
              <w:jc w:val="both"/>
              <w:rPr>
                <w:rFonts w:ascii="宋体" w:cs="宋体"/>
                <w:color w:val="auto"/>
                <w:szCs w:val="21"/>
              </w:rPr>
            </w:pPr>
            <w:r>
              <w:rPr>
                <w:rFonts w:hint="eastAsia" w:ascii="宋体" w:hAnsi="宋体" w:eastAsia="宋体" w:cs="宋体"/>
                <w:color w:val="auto"/>
                <w:sz w:val="21"/>
                <w:szCs w:val="21"/>
                <w:highlight w:val="none"/>
                <w:lang w:val="en-US" w:eastAsia="zh-CN"/>
              </w:rPr>
              <w:t>一般废气、废水、固体废物、噪声、畜禽养殖废水</w:t>
            </w:r>
          </w:p>
        </w:tc>
        <w:tc>
          <w:tcPr>
            <w:tcW w:w="1357" w:type="dxa"/>
            <w:noWrap w:val="0"/>
            <w:vAlign w:val="center"/>
          </w:tcPr>
          <w:p w14:paraId="1B212973">
            <w:pPr>
              <w:jc w:val="center"/>
              <w:rPr>
                <w:rFonts w:hint="eastAsia" w:ascii="宋体" w:cs="宋体"/>
                <w:color w:val="auto"/>
                <w:szCs w:val="21"/>
              </w:rPr>
            </w:pPr>
            <w:r>
              <w:rPr>
                <w:rFonts w:hint="eastAsia" w:ascii="宋体" w:hAnsi="宋体" w:eastAsia="宋体" w:cs="宋体"/>
                <w:color w:val="auto"/>
                <w:sz w:val="21"/>
                <w:szCs w:val="21"/>
                <w:highlight w:val="none"/>
              </w:rPr>
              <w:t>1</w:t>
            </w:r>
          </w:p>
        </w:tc>
      </w:tr>
      <w:tr w14:paraId="0C059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2" w:type="dxa"/>
            <w:vMerge w:val="continue"/>
            <w:noWrap w:val="0"/>
            <w:vAlign w:val="center"/>
          </w:tcPr>
          <w:p w14:paraId="41DD1A3A">
            <w:pPr>
              <w:jc w:val="center"/>
              <w:rPr>
                <w:color w:val="auto"/>
              </w:rPr>
            </w:pPr>
          </w:p>
        </w:tc>
        <w:tc>
          <w:tcPr>
            <w:tcW w:w="5790" w:type="dxa"/>
            <w:noWrap w:val="0"/>
            <w:vAlign w:val="top"/>
          </w:tcPr>
          <w:p w14:paraId="197D5A2E">
            <w:pPr>
              <w:adjustRightInd w:val="0"/>
              <w:ind w:firstLine="420" w:firstLineChars="200"/>
              <w:jc w:val="both"/>
              <w:rPr>
                <w:rFonts w:ascii="宋体" w:cs="宋体"/>
                <w:color w:val="auto"/>
                <w:szCs w:val="21"/>
              </w:rPr>
            </w:pPr>
            <w:r>
              <w:rPr>
                <w:rFonts w:hint="eastAsia" w:ascii="宋体" w:hAnsi="宋体" w:eastAsia="宋体" w:cs="宋体"/>
                <w:color w:val="auto"/>
                <w:sz w:val="21"/>
                <w:szCs w:val="21"/>
                <w:highlight w:val="none"/>
              </w:rPr>
              <w:t>火电、钢铁、石化、水泥、炼焦、有色、化工废气/医疗废水</w:t>
            </w:r>
          </w:p>
        </w:tc>
        <w:tc>
          <w:tcPr>
            <w:tcW w:w="1357" w:type="dxa"/>
            <w:noWrap w:val="0"/>
            <w:vAlign w:val="center"/>
          </w:tcPr>
          <w:p w14:paraId="1F3431D1">
            <w:pPr>
              <w:jc w:val="center"/>
              <w:rPr>
                <w:rFonts w:hint="eastAsia" w:ascii="宋体" w:cs="宋体"/>
                <w:color w:val="auto"/>
                <w:szCs w:val="21"/>
              </w:rPr>
            </w:pPr>
            <w:r>
              <w:rPr>
                <w:rFonts w:hint="eastAsia" w:ascii="宋体" w:hAnsi="宋体" w:eastAsia="宋体" w:cs="宋体"/>
                <w:color w:val="auto"/>
                <w:sz w:val="21"/>
                <w:szCs w:val="21"/>
                <w:highlight w:val="none"/>
                <w:lang w:val="en-US" w:eastAsia="zh-CN"/>
              </w:rPr>
              <w:t>3</w:t>
            </w:r>
          </w:p>
        </w:tc>
      </w:tr>
      <w:tr w14:paraId="3AB98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2" w:type="dxa"/>
            <w:vMerge w:val="continue"/>
            <w:noWrap w:val="0"/>
            <w:vAlign w:val="center"/>
          </w:tcPr>
          <w:p w14:paraId="774CF6A5">
            <w:pPr>
              <w:jc w:val="center"/>
              <w:rPr>
                <w:color w:val="auto"/>
              </w:rPr>
            </w:pPr>
          </w:p>
        </w:tc>
        <w:tc>
          <w:tcPr>
            <w:tcW w:w="5790" w:type="dxa"/>
            <w:noWrap w:val="0"/>
            <w:vAlign w:val="top"/>
          </w:tcPr>
          <w:p w14:paraId="1F238EC7">
            <w:pPr>
              <w:adjustRightInd w:val="0"/>
              <w:ind w:firstLine="420" w:firstLineChars="200"/>
              <w:jc w:val="both"/>
              <w:rPr>
                <w:rFonts w:hint="eastAsia" w:ascii="宋体" w:cs="宋体"/>
                <w:color w:val="auto"/>
                <w:szCs w:val="21"/>
              </w:rPr>
            </w:pPr>
            <w:r>
              <w:rPr>
                <w:rFonts w:hint="eastAsia" w:ascii="宋体" w:hAnsi="宋体" w:eastAsia="宋体" w:cs="宋体"/>
                <w:color w:val="auto"/>
                <w:sz w:val="21"/>
                <w:szCs w:val="21"/>
                <w:highlight w:val="none"/>
              </w:rPr>
              <w:t>含有毒有害物质的废气、废水／含一类污染物或重金属、病原体、放射性物质的废水／危险废物</w:t>
            </w:r>
          </w:p>
        </w:tc>
        <w:tc>
          <w:tcPr>
            <w:tcW w:w="1357" w:type="dxa"/>
            <w:noWrap w:val="0"/>
            <w:vAlign w:val="center"/>
          </w:tcPr>
          <w:p w14:paraId="35B3DF22">
            <w:pPr>
              <w:jc w:val="center"/>
              <w:rPr>
                <w:rFonts w:hint="eastAsia" w:ascii="宋体" w:cs="宋体"/>
                <w:color w:val="auto"/>
                <w:szCs w:val="21"/>
              </w:rPr>
            </w:pPr>
            <w:r>
              <w:rPr>
                <w:rFonts w:hint="eastAsia" w:ascii="宋体" w:hAnsi="宋体" w:eastAsia="宋体" w:cs="宋体"/>
                <w:color w:val="auto"/>
                <w:sz w:val="21"/>
                <w:szCs w:val="21"/>
                <w:highlight w:val="none"/>
                <w:lang w:val="en-US" w:eastAsia="zh-CN"/>
              </w:rPr>
              <w:t>5</w:t>
            </w:r>
          </w:p>
        </w:tc>
      </w:tr>
    </w:tbl>
    <w:p w14:paraId="39208DDC">
      <w:pPr>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br w:type="page"/>
      </w:r>
    </w:p>
    <w:tbl>
      <w:tblPr>
        <w:tblStyle w:val="8"/>
        <w:tblW w:w="486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73"/>
        <w:gridCol w:w="5782"/>
        <w:gridCol w:w="1359"/>
      </w:tblGrid>
      <w:tr w14:paraId="18949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14" w:type="dxa"/>
            <w:gridSpan w:val="3"/>
            <w:noWrap w:val="0"/>
            <w:vAlign w:val="center"/>
          </w:tcPr>
          <w:p w14:paraId="27A27A9B">
            <w:pPr>
              <w:jc w:val="center"/>
              <w:rPr>
                <w:rFonts w:hint="eastAsia" w:ascii="宋体" w:cs="宋体"/>
                <w:color w:val="auto"/>
                <w:szCs w:val="21"/>
              </w:rPr>
            </w:pPr>
            <w:r>
              <w:rPr>
                <w:rFonts w:hint="eastAsia" w:ascii="宋体" w:hAnsi="宋体" w:eastAsia="宋体" w:cs="宋体"/>
                <w:bCs/>
                <w:color w:val="auto"/>
                <w:sz w:val="21"/>
                <w:szCs w:val="21"/>
                <w:highlight w:val="none"/>
                <w:lang w:eastAsia="zh-CN"/>
              </w:rPr>
              <w:t>（十三）其他类</w:t>
            </w:r>
          </w:p>
        </w:tc>
      </w:tr>
      <w:tr w14:paraId="1355B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3" w:type="dxa"/>
            <w:noWrap w:val="0"/>
            <w:vAlign w:val="center"/>
          </w:tcPr>
          <w:p w14:paraId="4F51C2E9">
            <w:pPr>
              <w:jc w:val="center"/>
              <w:rPr>
                <w:rFonts w:hint="eastAsia" w:ascii="宋体" w:cs="宋体"/>
                <w:color w:val="auto"/>
                <w:szCs w:val="21"/>
              </w:rPr>
            </w:pPr>
            <w:r>
              <w:rPr>
                <w:rFonts w:hint="eastAsia" w:ascii="宋体" w:cs="宋体"/>
                <w:color w:val="auto"/>
                <w:szCs w:val="21"/>
              </w:rPr>
              <w:t>序号</w:t>
            </w:r>
          </w:p>
        </w:tc>
        <w:tc>
          <w:tcPr>
            <w:tcW w:w="7141" w:type="dxa"/>
            <w:gridSpan w:val="2"/>
            <w:noWrap w:val="0"/>
            <w:vAlign w:val="center"/>
          </w:tcPr>
          <w:p w14:paraId="412553C6">
            <w:pPr>
              <w:jc w:val="center"/>
              <w:rPr>
                <w:rFonts w:hint="eastAsia" w:ascii="宋体" w:eastAsia="宋体" w:cs="宋体"/>
                <w:color w:val="auto"/>
                <w:szCs w:val="21"/>
                <w:lang w:val="en-US" w:eastAsia="zh-CN"/>
              </w:rPr>
            </w:pPr>
            <w:r>
              <w:rPr>
                <w:rFonts w:hint="eastAsia" w:ascii="宋体" w:cs="宋体"/>
                <w:color w:val="auto"/>
                <w:szCs w:val="21"/>
              </w:rPr>
              <w:t>1</w:t>
            </w:r>
            <w:r>
              <w:rPr>
                <w:rFonts w:hint="eastAsia" w:ascii="宋体" w:cs="宋体"/>
                <w:color w:val="auto"/>
                <w:szCs w:val="21"/>
                <w:lang w:val="en-US" w:eastAsia="zh-CN"/>
              </w:rPr>
              <w:t>4</w:t>
            </w:r>
          </w:p>
        </w:tc>
      </w:tr>
      <w:tr w14:paraId="147AB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3" w:type="dxa"/>
            <w:noWrap w:val="0"/>
            <w:vAlign w:val="center"/>
          </w:tcPr>
          <w:p w14:paraId="17A91492">
            <w:pPr>
              <w:jc w:val="center"/>
              <w:rPr>
                <w:rFonts w:hint="eastAsia" w:ascii="宋体" w:cs="宋体"/>
                <w:color w:val="auto"/>
                <w:szCs w:val="21"/>
              </w:rPr>
            </w:pPr>
            <w:r>
              <w:rPr>
                <w:rFonts w:hint="eastAsia" w:ascii="宋体" w:cs="宋体"/>
                <w:color w:val="auto"/>
                <w:szCs w:val="21"/>
              </w:rPr>
              <w:t>违法行为</w:t>
            </w:r>
          </w:p>
        </w:tc>
        <w:tc>
          <w:tcPr>
            <w:tcW w:w="7141" w:type="dxa"/>
            <w:gridSpan w:val="2"/>
            <w:noWrap w:val="0"/>
            <w:vAlign w:val="center"/>
          </w:tcPr>
          <w:p w14:paraId="0553182C">
            <w:pPr>
              <w:adjustRightInd w:val="0"/>
              <w:ind w:firstLine="420" w:firstLineChars="200"/>
              <w:jc w:val="both"/>
              <w:rPr>
                <w:rFonts w:hint="eastAsia" w:ascii="宋体" w:cs="宋体"/>
                <w:color w:val="auto"/>
                <w:szCs w:val="21"/>
              </w:rPr>
            </w:pPr>
            <w:r>
              <w:rPr>
                <w:rFonts w:ascii="宋体" w:hAnsi="宋体"/>
                <w:color w:val="auto"/>
              </w:rPr>
              <w:t>设备产生的污染物排放自动监测数据每季度有效传输率低于国家或者本省有关规定的；</w:t>
            </w:r>
            <w:r>
              <w:rPr>
                <w:rFonts w:hint="eastAsia" w:ascii="宋体" w:hAnsi="宋体"/>
                <w:color w:val="auto"/>
              </w:rPr>
              <w:t>设备超期未验收、验收后未备案或者未重新验收、未重新备案的；</w:t>
            </w:r>
            <w:r>
              <w:rPr>
                <w:rFonts w:ascii="宋体" w:hAnsi="宋体"/>
                <w:color w:val="auto"/>
              </w:rPr>
              <w:t>设备发生故障后未在规定期限内报告的；设备发生故障后未按照规定采取手工监测的</w:t>
            </w:r>
          </w:p>
        </w:tc>
      </w:tr>
      <w:tr w14:paraId="4AEE4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4" w:hRule="atLeast"/>
          <w:jc w:val="center"/>
        </w:trPr>
        <w:tc>
          <w:tcPr>
            <w:tcW w:w="1573" w:type="dxa"/>
            <w:noWrap w:val="0"/>
            <w:vAlign w:val="center"/>
          </w:tcPr>
          <w:p w14:paraId="324A0FB5">
            <w:pPr>
              <w:jc w:val="center"/>
              <w:rPr>
                <w:rFonts w:hint="eastAsia" w:ascii="宋体" w:cs="宋体"/>
                <w:color w:val="auto"/>
                <w:szCs w:val="21"/>
              </w:rPr>
            </w:pPr>
            <w:r>
              <w:rPr>
                <w:rFonts w:hint="eastAsia" w:ascii="宋体" w:cs="宋体"/>
                <w:color w:val="auto"/>
                <w:szCs w:val="21"/>
              </w:rPr>
              <w:t>违反条款</w:t>
            </w:r>
          </w:p>
        </w:tc>
        <w:tc>
          <w:tcPr>
            <w:tcW w:w="7141" w:type="dxa"/>
            <w:gridSpan w:val="2"/>
            <w:noWrap w:val="0"/>
            <w:vAlign w:val="center"/>
          </w:tcPr>
          <w:p w14:paraId="23304ED8">
            <w:pPr>
              <w:adjustRightInd w:val="0"/>
              <w:ind w:firstLine="420" w:firstLineChars="200"/>
              <w:jc w:val="both"/>
              <w:rPr>
                <w:rFonts w:hint="eastAsia" w:ascii="宋体" w:cs="宋体"/>
                <w:color w:val="auto"/>
                <w:szCs w:val="21"/>
              </w:rPr>
            </w:pPr>
            <w:r>
              <w:rPr>
                <w:rFonts w:hint="eastAsia" w:ascii="宋体" w:cs="宋体"/>
                <w:color w:val="auto"/>
                <w:szCs w:val="21"/>
              </w:rPr>
              <w:t>《</w:t>
            </w:r>
            <w:r>
              <w:rPr>
                <w:rFonts w:hint="eastAsia" w:ascii="宋体" w:cs="宋体"/>
                <w:color w:val="auto"/>
                <w:szCs w:val="21"/>
              </w:rPr>
              <w:fldChar w:fldCharType="begin"/>
            </w:r>
            <w:r>
              <w:rPr>
                <w:rFonts w:hint="eastAsia" w:ascii="宋体" w:cs="宋体"/>
                <w:color w:val="auto"/>
                <w:szCs w:val="21"/>
              </w:rPr>
              <w:instrText xml:space="preserve"> HYPERLINK  "https://alphalawyer.cn/ilawregu-search/api/v1/lawregu/redict/697db819c6e263dfcc8bd1b65dac55ff"</w:instrText>
            </w:r>
            <w:r>
              <w:rPr>
                <w:rFonts w:hint="eastAsia" w:ascii="宋体" w:cs="宋体"/>
                <w:color w:val="auto"/>
                <w:szCs w:val="21"/>
              </w:rPr>
              <w:fldChar w:fldCharType="separate"/>
            </w:r>
            <w:r>
              <w:rPr>
                <w:rFonts w:hint="eastAsia" w:ascii="宋体" w:cs="宋体"/>
                <w:color w:val="auto"/>
                <w:szCs w:val="21"/>
              </w:rPr>
              <w:t>福建省固定污染源自动监控管理办法</w:t>
            </w:r>
            <w:r>
              <w:rPr>
                <w:rFonts w:hint="eastAsia" w:ascii="宋体" w:cs="宋体"/>
                <w:color w:val="auto"/>
                <w:szCs w:val="21"/>
              </w:rPr>
              <w:fldChar w:fldCharType="end"/>
            </w:r>
            <w:r>
              <w:rPr>
                <w:rFonts w:hint="eastAsia" w:ascii="宋体" w:cs="宋体"/>
                <w:color w:val="auto"/>
                <w:szCs w:val="21"/>
              </w:rPr>
              <w:t>》第十六条</w:t>
            </w:r>
            <w:r>
              <w:rPr>
                <w:rFonts w:hint="eastAsia" w:ascii="宋体" w:cs="宋体"/>
                <w:color w:val="auto"/>
                <w:szCs w:val="21"/>
                <w:lang w:val="en-US" w:eastAsia="zh-CN"/>
              </w:rPr>
              <w:t xml:space="preserve"> </w:t>
            </w:r>
            <w:r>
              <w:rPr>
                <w:rFonts w:hint="eastAsia" w:ascii="宋体" w:cs="宋体"/>
                <w:color w:val="auto"/>
                <w:szCs w:val="21"/>
              </w:rPr>
              <w:t>排污单位应当在完成安装污染物排放自动监测设备之日起60日内联网至自动监控信息管理平台，实现传输数据连续、真实、完整、准确，并确保设备产生的污染物排放自动监测数据每季度有效传输率不低于国家或者本省有关规定。</w:t>
            </w:r>
          </w:p>
          <w:p w14:paraId="16E2ECAE">
            <w:pPr>
              <w:adjustRightInd w:val="0"/>
              <w:ind w:firstLine="420" w:firstLineChars="200"/>
              <w:jc w:val="both"/>
              <w:rPr>
                <w:rFonts w:hint="eastAsia" w:ascii="宋体" w:cs="宋体"/>
                <w:color w:val="auto"/>
                <w:szCs w:val="21"/>
              </w:rPr>
            </w:pPr>
            <w:r>
              <w:rPr>
                <w:rFonts w:hint="eastAsia" w:ascii="宋体" w:cs="宋体"/>
                <w:color w:val="auto"/>
                <w:szCs w:val="21"/>
              </w:rPr>
              <w:t>《</w:t>
            </w:r>
            <w:r>
              <w:rPr>
                <w:rFonts w:hint="eastAsia" w:ascii="宋体" w:cs="宋体"/>
                <w:color w:val="auto"/>
                <w:szCs w:val="21"/>
              </w:rPr>
              <w:fldChar w:fldCharType="begin"/>
            </w:r>
            <w:r>
              <w:rPr>
                <w:rFonts w:hint="eastAsia" w:ascii="宋体" w:cs="宋体"/>
                <w:color w:val="auto"/>
                <w:szCs w:val="21"/>
              </w:rPr>
              <w:instrText xml:space="preserve"> HYPERLINK  "https://alphalawyer.cn/ilawregu-search/api/v1/lawregu/redict/697db819c6e263dfcc8bd1b65dac55ff"</w:instrText>
            </w:r>
            <w:r>
              <w:rPr>
                <w:rFonts w:hint="eastAsia" w:ascii="宋体" w:cs="宋体"/>
                <w:color w:val="auto"/>
                <w:szCs w:val="21"/>
              </w:rPr>
              <w:fldChar w:fldCharType="separate"/>
            </w:r>
            <w:r>
              <w:rPr>
                <w:rFonts w:hint="eastAsia" w:ascii="宋体" w:cs="宋体"/>
                <w:color w:val="auto"/>
                <w:szCs w:val="21"/>
              </w:rPr>
              <w:t>福建省固定污染源自动监控管理办法</w:t>
            </w:r>
            <w:r>
              <w:rPr>
                <w:rFonts w:hint="eastAsia" w:ascii="宋体" w:cs="宋体"/>
                <w:color w:val="auto"/>
                <w:szCs w:val="21"/>
              </w:rPr>
              <w:fldChar w:fldCharType="end"/>
            </w:r>
            <w:r>
              <w:rPr>
                <w:rFonts w:hint="eastAsia" w:ascii="宋体" w:cs="宋体"/>
                <w:color w:val="auto"/>
                <w:szCs w:val="21"/>
              </w:rPr>
              <w:t>》第十七条</w:t>
            </w:r>
            <w:r>
              <w:rPr>
                <w:rFonts w:hint="eastAsia" w:ascii="宋体" w:cs="宋体"/>
                <w:color w:val="auto"/>
                <w:szCs w:val="21"/>
                <w:lang w:val="en-US" w:eastAsia="zh-CN"/>
              </w:rPr>
              <w:t xml:space="preserve"> </w:t>
            </w:r>
            <w:r>
              <w:rPr>
                <w:rFonts w:hint="eastAsia" w:ascii="宋体" w:cs="宋体"/>
                <w:color w:val="auto"/>
                <w:szCs w:val="21"/>
              </w:rPr>
              <w:t>排污单位安装完成污染物排放自动监测设备后应当进行调试检测，在联网之日起90日内按照国家技术规范完成连续监控监测污染物排放的仪器、流量（速）计、采样装置和数据采集传输仪等设备的自主验收，并在验收合格后5个工作日内向所在地设区的市人民政府生态环境主管部门备案。</w:t>
            </w:r>
          </w:p>
          <w:p w14:paraId="6E0EEA92">
            <w:pPr>
              <w:adjustRightInd w:val="0"/>
              <w:ind w:firstLine="420" w:firstLineChars="200"/>
              <w:jc w:val="both"/>
              <w:rPr>
                <w:rFonts w:hint="eastAsia" w:ascii="宋体" w:hAnsi="Calibri" w:eastAsia="宋体" w:cs="宋体"/>
                <w:color w:val="auto"/>
                <w:szCs w:val="21"/>
              </w:rPr>
            </w:pPr>
            <w:r>
              <w:rPr>
                <w:rFonts w:hint="eastAsia" w:ascii="宋体" w:cs="宋体"/>
                <w:color w:val="auto"/>
                <w:szCs w:val="21"/>
              </w:rPr>
              <w:t>污染物排放自动监测设备的主要装置或者核心部件更换、采样位置或者安装位置等发生重大变化的，排污单位应当在其变化之日起90日内重新验收，并在验收合格后5个工作日内将变更信息向所在地设区的市人民政府生态环境主管部门重新备案</w:t>
            </w:r>
            <w:r>
              <w:rPr>
                <w:rFonts w:hint="eastAsia" w:ascii="宋体" w:hAnsi="Calibri" w:eastAsia="宋体" w:cs="宋体"/>
                <w:color w:val="auto"/>
                <w:szCs w:val="21"/>
              </w:rPr>
              <w:t>。</w:t>
            </w:r>
          </w:p>
          <w:p w14:paraId="74D1A542">
            <w:pPr>
              <w:adjustRightInd w:val="0"/>
              <w:ind w:firstLine="420" w:firstLineChars="200"/>
              <w:jc w:val="both"/>
              <w:rPr>
                <w:rFonts w:hint="eastAsia" w:ascii="宋体" w:hAnsi="Calibri" w:cs="宋体"/>
                <w:color w:val="auto"/>
                <w:sz w:val="21"/>
                <w:szCs w:val="21"/>
              </w:rPr>
            </w:pPr>
            <w:r>
              <w:rPr>
                <w:rFonts w:hint="eastAsia" w:ascii="宋体" w:cs="宋体"/>
                <w:color w:val="auto"/>
                <w:szCs w:val="21"/>
              </w:rPr>
              <w:t>《</w:t>
            </w:r>
            <w:r>
              <w:rPr>
                <w:rFonts w:hint="eastAsia" w:ascii="宋体" w:cs="宋体"/>
                <w:color w:val="auto"/>
                <w:szCs w:val="21"/>
              </w:rPr>
              <w:fldChar w:fldCharType="begin"/>
            </w:r>
            <w:r>
              <w:rPr>
                <w:rFonts w:hint="eastAsia" w:ascii="宋体" w:cs="宋体"/>
                <w:color w:val="auto"/>
                <w:szCs w:val="21"/>
              </w:rPr>
              <w:instrText xml:space="preserve"> HYPERLINK  "https://alphalawyer.cn/ilawregu-search/api/v1/lawregu/redict/697db819c6e263dfcc8bd1b65dac55ff"</w:instrText>
            </w:r>
            <w:r>
              <w:rPr>
                <w:rFonts w:hint="eastAsia" w:ascii="宋体" w:cs="宋体"/>
                <w:color w:val="auto"/>
                <w:szCs w:val="21"/>
              </w:rPr>
              <w:fldChar w:fldCharType="separate"/>
            </w:r>
            <w:r>
              <w:rPr>
                <w:rFonts w:hint="eastAsia" w:ascii="宋体" w:cs="宋体"/>
                <w:color w:val="auto"/>
                <w:szCs w:val="21"/>
              </w:rPr>
              <w:t>福建省固定污染源自动监控管理办法</w:t>
            </w:r>
            <w:r>
              <w:rPr>
                <w:rFonts w:hint="eastAsia" w:ascii="宋体" w:cs="宋体"/>
                <w:color w:val="auto"/>
                <w:szCs w:val="21"/>
              </w:rPr>
              <w:fldChar w:fldCharType="end"/>
            </w:r>
            <w:r>
              <w:rPr>
                <w:rFonts w:hint="eastAsia" w:ascii="宋体" w:cs="宋体"/>
                <w:color w:val="auto"/>
                <w:szCs w:val="21"/>
              </w:rPr>
              <w:t>》</w:t>
            </w:r>
            <w:r>
              <w:rPr>
                <w:rStyle w:val="9"/>
                <w:rFonts w:hint="eastAsia" w:ascii="宋体" w:hAnsi="Calibri" w:eastAsia="宋体" w:cs="宋体"/>
                <w:color w:val="auto"/>
              </w:rPr>
              <w:t>第二十条</w:t>
            </w:r>
            <w:r>
              <w:rPr>
                <w:rFonts w:hint="eastAsia" w:ascii="宋体" w:cs="宋体"/>
                <w:b w:val="0"/>
                <w:bCs w:val="0"/>
                <w:color w:val="auto"/>
                <w:lang w:eastAsia="zh-CN"/>
              </w:rPr>
              <w:t xml:space="preserve"> </w:t>
            </w:r>
            <w:r>
              <w:rPr>
                <w:rFonts w:hint="eastAsia" w:ascii="宋体" w:hAnsi="Calibri" w:eastAsia="宋体" w:cs="宋体"/>
                <w:color w:val="auto"/>
                <w:szCs w:val="21"/>
              </w:rPr>
              <w:t>排污单位不得擅自停运、拆除、更换、闲置污染物排放自动监测设备，不得擅</w:t>
            </w:r>
            <w:r>
              <w:rPr>
                <w:rFonts w:hint="eastAsia" w:ascii="宋体" w:hAnsi="Calibri" w:cs="宋体"/>
                <w:color w:val="auto"/>
                <w:szCs w:val="21"/>
              </w:rPr>
              <w:t>自改变设备的安装位置。</w:t>
            </w:r>
          </w:p>
          <w:p w14:paraId="4A9E6846">
            <w:pPr>
              <w:adjustRightInd w:val="0"/>
              <w:ind w:firstLine="420" w:firstLineChars="200"/>
              <w:jc w:val="both"/>
              <w:rPr>
                <w:color w:val="auto"/>
              </w:rPr>
            </w:pPr>
            <w:r>
              <w:rPr>
                <w:rFonts w:hint="eastAsia" w:ascii="宋体" w:hAnsi="Calibri" w:cs="宋体"/>
                <w:color w:val="auto"/>
                <w:szCs w:val="21"/>
              </w:rPr>
              <w:t>污染物排放自动监测设备发生故障不能正常使用的，排污单位或者运行维护单位应当在发生故障后12小时内向所在地设区的市人民政府生态环境主管部门派出机构报告，并在5个</w:t>
            </w:r>
            <w:r>
              <w:rPr>
                <w:rFonts w:ascii="宋体" w:hAnsi="宋体"/>
                <w:color w:val="auto"/>
              </w:rPr>
              <w:t>工作日内恢复正常运行。</w:t>
            </w:r>
          </w:p>
          <w:p w14:paraId="023E77AC">
            <w:pPr>
              <w:adjustRightInd w:val="0"/>
              <w:ind w:firstLine="420" w:firstLineChars="200"/>
              <w:jc w:val="both"/>
              <w:rPr>
                <w:rFonts w:hint="eastAsia" w:ascii="宋体" w:cs="宋体"/>
                <w:color w:val="auto"/>
                <w:szCs w:val="21"/>
              </w:rPr>
            </w:pPr>
            <w:r>
              <w:rPr>
                <w:rFonts w:ascii="宋体" w:hAnsi="宋体"/>
                <w:color w:val="auto"/>
              </w:rPr>
              <w:t>在污染物排放自动监测设备发生故障期间，排污单位应当采取手工监测方式，按照有关规定对污染物排放状况进行监测，并向所在地设区的市人民政府生态环境主管部门派出机构报送监测数据，原始监测报告留存备查。</w:t>
            </w:r>
          </w:p>
        </w:tc>
      </w:tr>
      <w:tr w14:paraId="29C5D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573" w:type="dxa"/>
            <w:noWrap w:val="0"/>
            <w:vAlign w:val="center"/>
          </w:tcPr>
          <w:p w14:paraId="5812A154">
            <w:pPr>
              <w:jc w:val="center"/>
              <w:rPr>
                <w:rFonts w:hint="eastAsia" w:ascii="宋体" w:cs="宋体"/>
                <w:color w:val="auto"/>
                <w:szCs w:val="21"/>
              </w:rPr>
            </w:pPr>
            <w:r>
              <w:rPr>
                <w:rFonts w:hint="eastAsia" w:ascii="宋体" w:cs="宋体"/>
                <w:color w:val="auto"/>
                <w:szCs w:val="21"/>
              </w:rPr>
              <w:t>处罚依据</w:t>
            </w:r>
          </w:p>
        </w:tc>
        <w:tc>
          <w:tcPr>
            <w:tcW w:w="7141" w:type="dxa"/>
            <w:gridSpan w:val="2"/>
            <w:noWrap w:val="0"/>
            <w:vAlign w:val="center"/>
          </w:tcPr>
          <w:p w14:paraId="6F313484">
            <w:pPr>
              <w:adjustRightInd w:val="0"/>
              <w:ind w:firstLine="420" w:firstLineChars="200"/>
              <w:jc w:val="both"/>
              <w:rPr>
                <w:rFonts w:hint="eastAsia" w:ascii="宋体" w:cs="宋体"/>
                <w:color w:val="auto"/>
                <w:szCs w:val="21"/>
              </w:rPr>
            </w:pPr>
            <w:r>
              <w:rPr>
                <w:rFonts w:hint="eastAsia" w:ascii="宋体" w:cs="宋体"/>
                <w:color w:val="auto"/>
                <w:szCs w:val="21"/>
              </w:rPr>
              <w:t>《</w:t>
            </w:r>
            <w:r>
              <w:rPr>
                <w:rFonts w:hint="eastAsia" w:ascii="宋体" w:cs="宋体"/>
                <w:color w:val="auto"/>
                <w:szCs w:val="21"/>
              </w:rPr>
              <w:fldChar w:fldCharType="begin"/>
            </w:r>
            <w:r>
              <w:rPr>
                <w:rFonts w:hint="eastAsia" w:ascii="宋体" w:cs="宋体"/>
                <w:color w:val="auto"/>
                <w:szCs w:val="21"/>
              </w:rPr>
              <w:instrText xml:space="preserve"> HYPERLINK  "https://alphalawyer.cn/ilawregu-search/api/v1/lawregu/redict/697db819c6e263dfcc8bd1b65dac55ff"</w:instrText>
            </w:r>
            <w:r>
              <w:rPr>
                <w:rFonts w:hint="eastAsia" w:ascii="宋体" w:cs="宋体"/>
                <w:color w:val="auto"/>
                <w:szCs w:val="21"/>
              </w:rPr>
              <w:fldChar w:fldCharType="separate"/>
            </w:r>
            <w:r>
              <w:rPr>
                <w:rFonts w:hint="eastAsia" w:ascii="宋体" w:cs="宋体"/>
                <w:color w:val="auto"/>
                <w:szCs w:val="21"/>
              </w:rPr>
              <w:t>福建省固定污染源自动监控管理办法</w:t>
            </w:r>
            <w:r>
              <w:rPr>
                <w:rFonts w:hint="eastAsia" w:ascii="宋体" w:cs="宋体"/>
                <w:color w:val="auto"/>
                <w:szCs w:val="21"/>
              </w:rPr>
              <w:fldChar w:fldCharType="end"/>
            </w:r>
            <w:r>
              <w:rPr>
                <w:rFonts w:hint="eastAsia" w:ascii="宋体" w:cs="宋体"/>
                <w:color w:val="auto"/>
                <w:szCs w:val="21"/>
              </w:rPr>
              <w:t>》第三十条</w:t>
            </w:r>
            <w:r>
              <w:rPr>
                <w:rFonts w:hint="eastAsia" w:ascii="宋体" w:cs="宋体"/>
                <w:color w:val="auto"/>
                <w:szCs w:val="21"/>
                <w:lang w:val="en-US" w:eastAsia="zh-CN"/>
              </w:rPr>
              <w:t xml:space="preserve"> </w:t>
            </w:r>
            <w:r>
              <w:rPr>
                <w:rFonts w:hint="eastAsia" w:ascii="宋体" w:cs="宋体"/>
                <w:color w:val="auto"/>
                <w:szCs w:val="21"/>
              </w:rPr>
              <w:t>违反本办法第十六条、第十七条和第二十条规定，有下列情形之一的，由生态环境主管部门责令改正，处2万元以上20万元以下罚款，并予以通报批评：</w:t>
            </w:r>
          </w:p>
          <w:p w14:paraId="21717D51">
            <w:pPr>
              <w:adjustRightInd w:val="0"/>
              <w:ind w:firstLine="420" w:firstLineChars="200"/>
              <w:jc w:val="both"/>
              <w:rPr>
                <w:rFonts w:hint="eastAsia" w:ascii="宋体" w:cs="宋体"/>
                <w:color w:val="auto"/>
                <w:szCs w:val="21"/>
              </w:rPr>
            </w:pPr>
            <w:r>
              <w:rPr>
                <w:rFonts w:hint="eastAsia" w:ascii="宋体" w:cs="宋体"/>
                <w:color w:val="auto"/>
                <w:szCs w:val="21"/>
              </w:rPr>
              <w:t>（一）设备产生的污染物排放自动监测数据每季度有效传输率低于国家或者本省有关规定的；</w:t>
            </w:r>
          </w:p>
          <w:p w14:paraId="162B9CD0">
            <w:pPr>
              <w:adjustRightInd w:val="0"/>
              <w:ind w:firstLine="420" w:firstLineChars="200"/>
              <w:jc w:val="both"/>
              <w:rPr>
                <w:rFonts w:hint="eastAsia" w:ascii="宋体" w:cs="宋体"/>
                <w:color w:val="auto"/>
                <w:szCs w:val="21"/>
              </w:rPr>
            </w:pPr>
            <w:r>
              <w:rPr>
                <w:rFonts w:hint="eastAsia" w:ascii="宋体" w:cs="宋体"/>
                <w:color w:val="auto"/>
                <w:szCs w:val="21"/>
              </w:rPr>
              <w:t>（二）设备超期未验收、验收后未备案或者未重新验收、未重新备案的；</w:t>
            </w:r>
          </w:p>
          <w:p w14:paraId="2713C3F2">
            <w:pPr>
              <w:adjustRightInd w:val="0"/>
              <w:ind w:firstLine="420" w:firstLineChars="200"/>
              <w:jc w:val="both"/>
              <w:rPr>
                <w:rFonts w:hint="eastAsia" w:ascii="宋体" w:cs="宋体"/>
                <w:color w:val="auto"/>
                <w:szCs w:val="21"/>
              </w:rPr>
            </w:pPr>
            <w:r>
              <w:rPr>
                <w:rFonts w:hint="eastAsia" w:ascii="宋体" w:cs="宋体"/>
                <w:color w:val="auto"/>
                <w:szCs w:val="21"/>
              </w:rPr>
              <w:t>（三）设备发生故障后未在规定期限内报告的；</w:t>
            </w:r>
          </w:p>
          <w:p w14:paraId="22BB1A7A">
            <w:pPr>
              <w:adjustRightInd w:val="0"/>
              <w:ind w:firstLine="420" w:firstLineChars="200"/>
              <w:jc w:val="both"/>
              <w:rPr>
                <w:rFonts w:hint="eastAsia" w:ascii="宋体" w:cs="宋体"/>
                <w:color w:val="auto"/>
                <w:szCs w:val="21"/>
              </w:rPr>
            </w:pPr>
            <w:r>
              <w:rPr>
                <w:rFonts w:hint="eastAsia" w:ascii="宋体" w:cs="宋体"/>
                <w:color w:val="auto"/>
                <w:szCs w:val="21"/>
              </w:rPr>
              <w:t>（四）设备发生故障后未按照规定采取手工监测的。</w:t>
            </w:r>
          </w:p>
        </w:tc>
      </w:tr>
      <w:tr w14:paraId="5A3B5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3" w:type="dxa"/>
            <w:noWrap w:val="0"/>
            <w:vAlign w:val="center"/>
          </w:tcPr>
          <w:p w14:paraId="0954824D">
            <w:pPr>
              <w:jc w:val="center"/>
              <w:rPr>
                <w:rFonts w:hint="eastAsia" w:ascii="宋体" w:cs="宋体"/>
                <w:color w:val="auto"/>
                <w:szCs w:val="21"/>
              </w:rPr>
            </w:pPr>
            <w:r>
              <w:rPr>
                <w:rFonts w:hint="eastAsia" w:ascii="宋体" w:cs="宋体"/>
                <w:color w:val="auto"/>
                <w:szCs w:val="21"/>
              </w:rPr>
              <w:t>裁量因素</w:t>
            </w:r>
          </w:p>
        </w:tc>
        <w:tc>
          <w:tcPr>
            <w:tcW w:w="5782" w:type="dxa"/>
            <w:noWrap w:val="0"/>
            <w:vAlign w:val="center"/>
          </w:tcPr>
          <w:p w14:paraId="5B8E0206">
            <w:pPr>
              <w:jc w:val="center"/>
              <w:rPr>
                <w:rFonts w:hint="eastAsia" w:ascii="宋体" w:cs="宋体"/>
                <w:color w:val="auto"/>
                <w:szCs w:val="21"/>
              </w:rPr>
            </w:pPr>
            <w:r>
              <w:rPr>
                <w:rFonts w:hint="eastAsia" w:ascii="宋体" w:cs="宋体"/>
                <w:color w:val="auto"/>
                <w:szCs w:val="21"/>
              </w:rPr>
              <w:t>裁量因子</w:t>
            </w:r>
          </w:p>
        </w:tc>
        <w:tc>
          <w:tcPr>
            <w:tcW w:w="1359" w:type="dxa"/>
            <w:noWrap w:val="0"/>
            <w:vAlign w:val="center"/>
          </w:tcPr>
          <w:p w14:paraId="1DC83B1D">
            <w:pPr>
              <w:jc w:val="center"/>
              <w:rPr>
                <w:rFonts w:hint="eastAsia" w:ascii="宋体" w:cs="宋体"/>
                <w:color w:val="auto"/>
                <w:szCs w:val="21"/>
              </w:rPr>
            </w:pPr>
            <w:r>
              <w:rPr>
                <w:rFonts w:hint="eastAsia" w:ascii="宋体" w:cs="宋体"/>
                <w:color w:val="auto"/>
                <w:szCs w:val="21"/>
              </w:rPr>
              <w:t>裁量等级</w:t>
            </w:r>
          </w:p>
        </w:tc>
      </w:tr>
      <w:tr w14:paraId="24F8C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3" w:type="dxa"/>
            <w:vMerge w:val="restart"/>
            <w:noWrap w:val="0"/>
            <w:vAlign w:val="center"/>
          </w:tcPr>
          <w:p w14:paraId="5C4C896E">
            <w:pPr>
              <w:jc w:val="center"/>
              <w:rPr>
                <w:rFonts w:hint="eastAsia" w:ascii="宋体" w:cs="宋体"/>
                <w:color w:val="auto"/>
                <w:szCs w:val="21"/>
              </w:rPr>
            </w:pPr>
            <w:r>
              <w:rPr>
                <w:rFonts w:hint="eastAsia" w:ascii="宋体" w:hAnsi="宋体" w:cs="宋体"/>
                <w:color w:val="auto"/>
                <w:sz w:val="21"/>
                <w:szCs w:val="21"/>
                <w:highlight w:val="none"/>
                <w:lang w:eastAsia="zh-CN"/>
              </w:rPr>
              <w:t>违法行为发生地</w:t>
            </w:r>
          </w:p>
        </w:tc>
        <w:tc>
          <w:tcPr>
            <w:tcW w:w="5782" w:type="dxa"/>
            <w:noWrap w:val="0"/>
            <w:vAlign w:val="top"/>
          </w:tcPr>
          <w:p w14:paraId="04F2EEF6">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cs="宋体"/>
                <w:color w:val="auto"/>
                <w:szCs w:val="21"/>
              </w:rPr>
            </w:pPr>
            <w:r>
              <w:rPr>
                <w:rFonts w:hint="eastAsia" w:ascii="宋体" w:hAnsi="宋体" w:cs="宋体"/>
                <w:color w:val="auto"/>
                <w:sz w:val="21"/>
                <w:szCs w:val="21"/>
                <w:highlight w:val="none"/>
                <w:lang w:eastAsia="zh-CN"/>
              </w:rPr>
              <w:t>二类环境空气功能区</w:t>
            </w:r>
            <w:r>
              <w:rPr>
                <w:rFonts w:hint="eastAsia" w:ascii="宋体" w:hAnsi="宋体" w:eastAsia="宋体" w:cs="宋体"/>
                <w:color w:val="auto"/>
                <w:sz w:val="21"/>
                <w:szCs w:val="21"/>
                <w:highlight w:val="none"/>
              </w:rPr>
              <w:t>（工业区和农村地区）</w:t>
            </w:r>
            <w:r>
              <w:rPr>
                <w:rFonts w:hint="eastAsia" w:ascii="宋体" w:hAnsi="宋体" w:cs="宋体"/>
                <w:color w:val="auto"/>
                <w:sz w:val="21"/>
                <w:szCs w:val="21"/>
                <w:highlight w:val="none"/>
                <w:lang w:val="en-US" w:eastAsia="zh-CN"/>
              </w:rPr>
              <w:t>/V类水体（或者污水集中处理设施）/</w:t>
            </w:r>
            <w:r>
              <w:rPr>
                <w:rFonts w:hint="eastAsia" w:ascii="宋体" w:hAnsi="宋体" w:eastAsia="宋体" w:cs="宋体"/>
                <w:color w:val="auto"/>
                <w:sz w:val="21"/>
                <w:szCs w:val="21"/>
                <w:highlight w:val="none"/>
              </w:rPr>
              <w:t>4类声环境功能区</w:t>
            </w:r>
            <w:r>
              <w:rPr>
                <w:rFonts w:hint="eastAsia" w:ascii="宋体" w:hAnsi="宋体" w:eastAsia="宋体" w:cs="宋体"/>
                <w:color w:val="auto"/>
                <w:sz w:val="21"/>
                <w:szCs w:val="21"/>
                <w:highlight w:val="none"/>
                <w:lang w:val="en-US" w:eastAsia="zh-CN"/>
              </w:rPr>
              <w:t>/第四类海水水质的区域</w:t>
            </w:r>
          </w:p>
        </w:tc>
        <w:tc>
          <w:tcPr>
            <w:tcW w:w="1359" w:type="dxa"/>
            <w:noWrap w:val="0"/>
            <w:vAlign w:val="center"/>
          </w:tcPr>
          <w:p w14:paraId="2A8874A9">
            <w:pPr>
              <w:jc w:val="center"/>
              <w:rPr>
                <w:rFonts w:hint="eastAsia" w:ascii="宋体" w:cs="宋体"/>
                <w:color w:val="auto"/>
                <w:szCs w:val="21"/>
              </w:rPr>
            </w:pPr>
            <w:r>
              <w:rPr>
                <w:rFonts w:hint="eastAsia" w:ascii="宋体" w:hAnsi="宋体" w:eastAsia="宋体" w:cs="宋体"/>
                <w:color w:val="auto"/>
                <w:sz w:val="21"/>
                <w:szCs w:val="21"/>
                <w:highlight w:val="none"/>
              </w:rPr>
              <w:t>1</w:t>
            </w:r>
          </w:p>
        </w:tc>
      </w:tr>
      <w:tr w14:paraId="0443F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3" w:type="dxa"/>
            <w:vMerge w:val="continue"/>
            <w:noWrap w:val="0"/>
            <w:vAlign w:val="center"/>
          </w:tcPr>
          <w:p w14:paraId="622304C3">
            <w:pPr>
              <w:jc w:val="center"/>
              <w:rPr>
                <w:color w:val="auto"/>
              </w:rPr>
            </w:pPr>
          </w:p>
        </w:tc>
        <w:tc>
          <w:tcPr>
            <w:tcW w:w="5782" w:type="dxa"/>
            <w:noWrap w:val="0"/>
            <w:vAlign w:val="top"/>
          </w:tcPr>
          <w:p w14:paraId="7DB28FC9">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cs="宋体"/>
                <w:color w:val="auto"/>
                <w:szCs w:val="21"/>
              </w:rPr>
            </w:pPr>
            <w:r>
              <w:rPr>
                <w:rFonts w:hint="eastAsia" w:ascii="宋体" w:hAnsi="宋体" w:cs="宋体"/>
                <w:color w:val="auto"/>
                <w:sz w:val="21"/>
                <w:szCs w:val="21"/>
                <w:highlight w:val="none"/>
                <w:lang w:eastAsia="zh-CN"/>
              </w:rPr>
              <w:t>Ⅳ类</w:t>
            </w:r>
            <w:r>
              <w:rPr>
                <w:rFonts w:hint="eastAsia" w:ascii="宋体" w:hAnsi="宋体" w:eastAsia="宋体" w:cs="宋体"/>
                <w:color w:val="auto"/>
                <w:sz w:val="21"/>
                <w:szCs w:val="21"/>
                <w:highlight w:val="none"/>
              </w:rPr>
              <w:t>水体</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3类声环境功能区</w:t>
            </w:r>
            <w:r>
              <w:rPr>
                <w:rFonts w:hint="eastAsia" w:ascii="宋体" w:hAnsi="宋体" w:eastAsia="宋体" w:cs="宋体"/>
                <w:color w:val="auto"/>
                <w:sz w:val="21"/>
                <w:szCs w:val="21"/>
                <w:highlight w:val="none"/>
                <w:lang w:val="en-US" w:eastAsia="zh-CN"/>
              </w:rPr>
              <w:t>/第三类海水水质的区域</w:t>
            </w:r>
          </w:p>
        </w:tc>
        <w:tc>
          <w:tcPr>
            <w:tcW w:w="1359" w:type="dxa"/>
            <w:noWrap w:val="0"/>
            <w:vAlign w:val="center"/>
          </w:tcPr>
          <w:p w14:paraId="46E02AF2">
            <w:pPr>
              <w:jc w:val="center"/>
              <w:rPr>
                <w:rFonts w:hint="eastAsia" w:ascii="宋体" w:cs="宋体"/>
                <w:color w:val="auto"/>
                <w:szCs w:val="21"/>
              </w:rPr>
            </w:pPr>
            <w:r>
              <w:rPr>
                <w:rFonts w:hint="eastAsia" w:ascii="宋体" w:hAnsi="宋体" w:eastAsia="宋体" w:cs="宋体"/>
                <w:color w:val="auto"/>
                <w:sz w:val="21"/>
                <w:szCs w:val="21"/>
                <w:highlight w:val="none"/>
              </w:rPr>
              <w:t>2</w:t>
            </w:r>
          </w:p>
        </w:tc>
      </w:tr>
      <w:tr w14:paraId="21612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3" w:type="dxa"/>
            <w:vMerge w:val="continue"/>
            <w:noWrap w:val="0"/>
            <w:vAlign w:val="center"/>
          </w:tcPr>
          <w:p w14:paraId="707C59CC">
            <w:pPr>
              <w:jc w:val="center"/>
              <w:rPr>
                <w:color w:val="auto"/>
              </w:rPr>
            </w:pPr>
          </w:p>
        </w:tc>
        <w:tc>
          <w:tcPr>
            <w:tcW w:w="5782" w:type="dxa"/>
            <w:noWrap w:val="0"/>
            <w:vAlign w:val="top"/>
          </w:tcPr>
          <w:p w14:paraId="5179A637">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cs="宋体"/>
                <w:color w:val="auto"/>
                <w:szCs w:val="21"/>
              </w:rPr>
            </w:pPr>
            <w:r>
              <w:rPr>
                <w:rFonts w:hint="eastAsia" w:ascii="宋体" w:hAnsi="宋体" w:cs="宋体"/>
                <w:color w:val="auto"/>
                <w:sz w:val="21"/>
                <w:szCs w:val="21"/>
                <w:highlight w:val="none"/>
                <w:lang w:eastAsia="zh-CN"/>
              </w:rPr>
              <w:t>二类环境空气功能区</w:t>
            </w:r>
            <w:r>
              <w:rPr>
                <w:rFonts w:hint="eastAsia" w:ascii="宋体" w:hAnsi="宋体" w:eastAsia="宋体" w:cs="宋体"/>
                <w:color w:val="auto"/>
                <w:sz w:val="21"/>
                <w:szCs w:val="21"/>
                <w:highlight w:val="none"/>
                <w:lang w:eastAsia="zh-CN"/>
              </w:rPr>
              <w:t>（居民区、商业交通居民混合区、文化区）/</w:t>
            </w:r>
            <w:r>
              <w:rPr>
                <w:rFonts w:hint="eastAsia" w:ascii="宋体" w:hAnsi="宋体" w:cs="宋体"/>
                <w:color w:val="auto"/>
                <w:sz w:val="21"/>
                <w:szCs w:val="21"/>
                <w:highlight w:val="none"/>
                <w:lang w:eastAsia="zh-CN"/>
              </w:rPr>
              <w:t>Ⅲ类</w:t>
            </w:r>
            <w:r>
              <w:rPr>
                <w:rFonts w:hint="eastAsia" w:ascii="宋体" w:hAnsi="宋体" w:eastAsia="宋体" w:cs="宋体"/>
                <w:color w:val="auto"/>
                <w:sz w:val="21"/>
                <w:szCs w:val="21"/>
                <w:highlight w:val="none"/>
                <w:lang w:eastAsia="zh-CN"/>
              </w:rPr>
              <w:t>水体/2类声环境功能区/饮用水水源准保护区/自然保护地外的生态保护红线区域</w:t>
            </w:r>
          </w:p>
        </w:tc>
        <w:tc>
          <w:tcPr>
            <w:tcW w:w="1359" w:type="dxa"/>
            <w:noWrap w:val="0"/>
            <w:vAlign w:val="center"/>
          </w:tcPr>
          <w:p w14:paraId="33B11BC6">
            <w:pPr>
              <w:jc w:val="center"/>
              <w:rPr>
                <w:rFonts w:hint="eastAsia" w:ascii="宋体" w:cs="宋体"/>
                <w:color w:val="auto"/>
                <w:szCs w:val="21"/>
              </w:rPr>
            </w:pPr>
            <w:r>
              <w:rPr>
                <w:rFonts w:hint="eastAsia" w:ascii="宋体" w:hAnsi="宋体" w:eastAsia="宋体" w:cs="宋体"/>
                <w:color w:val="auto"/>
                <w:sz w:val="21"/>
                <w:szCs w:val="21"/>
                <w:highlight w:val="none"/>
              </w:rPr>
              <w:t>3</w:t>
            </w:r>
          </w:p>
        </w:tc>
      </w:tr>
      <w:tr w14:paraId="334CC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3" w:type="dxa"/>
            <w:vMerge w:val="continue"/>
            <w:noWrap w:val="0"/>
            <w:vAlign w:val="center"/>
          </w:tcPr>
          <w:p w14:paraId="399EA6A1">
            <w:pPr>
              <w:jc w:val="center"/>
              <w:rPr>
                <w:color w:val="auto"/>
              </w:rPr>
            </w:pPr>
          </w:p>
        </w:tc>
        <w:tc>
          <w:tcPr>
            <w:tcW w:w="5782" w:type="dxa"/>
            <w:noWrap w:val="0"/>
            <w:vAlign w:val="top"/>
          </w:tcPr>
          <w:p w14:paraId="1C8FD4E0">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cs="宋体"/>
                <w:color w:val="auto"/>
                <w:szCs w:val="21"/>
              </w:rPr>
            </w:pPr>
            <w:r>
              <w:rPr>
                <w:rFonts w:hint="eastAsia" w:ascii="宋体" w:hAnsi="宋体" w:cs="宋体"/>
                <w:color w:val="auto"/>
                <w:sz w:val="21"/>
                <w:szCs w:val="21"/>
                <w:highlight w:val="none"/>
                <w:lang w:eastAsia="zh-CN"/>
              </w:rPr>
              <w:t>Ⅱ类</w:t>
            </w:r>
            <w:r>
              <w:rPr>
                <w:rFonts w:hint="eastAsia" w:ascii="宋体" w:hAnsi="宋体" w:eastAsia="宋体" w:cs="宋体"/>
                <w:color w:val="auto"/>
                <w:sz w:val="21"/>
                <w:szCs w:val="21"/>
                <w:highlight w:val="none"/>
              </w:rPr>
              <w:t>水体</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1类声环境功能区／自然保护地一般控制区</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饮用水水源二级保护区</w:t>
            </w:r>
            <w:r>
              <w:rPr>
                <w:rFonts w:hint="eastAsia" w:ascii="宋体" w:hAnsi="宋体" w:eastAsia="宋体" w:cs="宋体"/>
                <w:color w:val="auto"/>
                <w:sz w:val="21"/>
                <w:szCs w:val="21"/>
                <w:highlight w:val="none"/>
                <w:lang w:val="en-US" w:eastAsia="zh-CN"/>
              </w:rPr>
              <w:t>/第二类海水水质的区域</w:t>
            </w:r>
          </w:p>
        </w:tc>
        <w:tc>
          <w:tcPr>
            <w:tcW w:w="1359" w:type="dxa"/>
            <w:noWrap w:val="0"/>
            <w:vAlign w:val="center"/>
          </w:tcPr>
          <w:p w14:paraId="007F8BBD">
            <w:pPr>
              <w:jc w:val="center"/>
              <w:rPr>
                <w:rFonts w:hint="eastAsia" w:ascii="宋体" w:cs="宋体"/>
                <w:color w:val="auto"/>
                <w:szCs w:val="21"/>
              </w:rPr>
            </w:pPr>
            <w:r>
              <w:rPr>
                <w:rFonts w:hint="eastAsia" w:ascii="宋体" w:hAnsi="宋体" w:eastAsia="宋体" w:cs="宋体"/>
                <w:color w:val="auto"/>
                <w:sz w:val="21"/>
                <w:szCs w:val="21"/>
                <w:highlight w:val="none"/>
              </w:rPr>
              <w:t>4</w:t>
            </w:r>
          </w:p>
        </w:tc>
      </w:tr>
      <w:tr w14:paraId="4125E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3" w:type="dxa"/>
            <w:vMerge w:val="continue"/>
            <w:noWrap w:val="0"/>
            <w:vAlign w:val="center"/>
          </w:tcPr>
          <w:p w14:paraId="55F8669C">
            <w:pPr>
              <w:jc w:val="center"/>
              <w:rPr>
                <w:color w:val="auto"/>
              </w:rPr>
            </w:pPr>
          </w:p>
        </w:tc>
        <w:tc>
          <w:tcPr>
            <w:tcW w:w="5782" w:type="dxa"/>
            <w:noWrap w:val="0"/>
            <w:vAlign w:val="top"/>
          </w:tcPr>
          <w:p w14:paraId="5E23833C">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cs="宋体"/>
                <w:color w:val="auto"/>
                <w:szCs w:val="21"/>
              </w:rPr>
            </w:pPr>
            <w:r>
              <w:rPr>
                <w:rFonts w:hint="eastAsia" w:ascii="宋体" w:hAnsi="宋体" w:cs="宋体"/>
                <w:color w:val="auto"/>
                <w:sz w:val="21"/>
                <w:szCs w:val="21"/>
                <w:highlight w:val="none"/>
                <w:lang w:eastAsia="zh-CN"/>
              </w:rPr>
              <w:t>一类环境空气功能区</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I类水体</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0类声环境功能区／自然保护地核心保护区</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饮用水水源一级保护区</w:t>
            </w:r>
            <w:r>
              <w:rPr>
                <w:rFonts w:hint="eastAsia" w:ascii="宋体" w:hAnsi="宋体" w:eastAsia="宋体" w:cs="宋体"/>
                <w:color w:val="auto"/>
                <w:sz w:val="21"/>
                <w:szCs w:val="21"/>
                <w:highlight w:val="none"/>
                <w:lang w:val="en-US" w:eastAsia="zh-CN"/>
              </w:rPr>
              <w:t>/第一类海水水质的区域</w:t>
            </w:r>
          </w:p>
        </w:tc>
        <w:tc>
          <w:tcPr>
            <w:tcW w:w="1359" w:type="dxa"/>
            <w:noWrap w:val="0"/>
            <w:vAlign w:val="center"/>
          </w:tcPr>
          <w:p w14:paraId="56F36B6B">
            <w:pPr>
              <w:jc w:val="center"/>
              <w:rPr>
                <w:rFonts w:hint="eastAsia" w:ascii="宋体" w:cs="宋体"/>
                <w:color w:val="auto"/>
                <w:szCs w:val="21"/>
              </w:rPr>
            </w:pPr>
            <w:r>
              <w:rPr>
                <w:rFonts w:hint="eastAsia" w:ascii="宋体" w:hAnsi="宋体" w:eastAsia="宋体" w:cs="宋体"/>
                <w:color w:val="auto"/>
                <w:sz w:val="21"/>
                <w:szCs w:val="21"/>
                <w:highlight w:val="none"/>
              </w:rPr>
              <w:t>5</w:t>
            </w:r>
          </w:p>
        </w:tc>
      </w:tr>
      <w:tr w14:paraId="101CA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3" w:type="dxa"/>
            <w:vMerge w:val="restart"/>
            <w:noWrap w:val="0"/>
            <w:vAlign w:val="center"/>
          </w:tcPr>
          <w:p w14:paraId="7FAD1879">
            <w:pPr>
              <w:jc w:val="center"/>
              <w:rPr>
                <w:color w:val="auto"/>
              </w:rPr>
            </w:pPr>
            <w:r>
              <w:rPr>
                <w:rFonts w:hint="eastAsia" w:ascii="宋体" w:hAnsi="宋体" w:eastAsia="宋体" w:cs="宋体"/>
                <w:color w:val="auto"/>
                <w:sz w:val="21"/>
                <w:szCs w:val="21"/>
                <w:highlight w:val="none"/>
                <w:lang w:val="en-US" w:eastAsia="zh-CN"/>
              </w:rPr>
              <w:t>污染物</w:t>
            </w:r>
            <w:r>
              <w:rPr>
                <w:rFonts w:hint="eastAsia" w:ascii="宋体" w:hAnsi="宋体" w:eastAsia="宋体" w:cs="宋体"/>
                <w:color w:val="auto"/>
                <w:sz w:val="21"/>
                <w:szCs w:val="21"/>
                <w:highlight w:val="none"/>
              </w:rPr>
              <w:t>类别</w:t>
            </w:r>
          </w:p>
        </w:tc>
        <w:tc>
          <w:tcPr>
            <w:tcW w:w="5782" w:type="dxa"/>
            <w:noWrap w:val="0"/>
            <w:vAlign w:val="top"/>
          </w:tcPr>
          <w:p w14:paraId="21F153D7">
            <w:pPr>
              <w:adjustRightInd w:val="0"/>
              <w:ind w:firstLine="420" w:firstLineChars="200"/>
              <w:jc w:val="both"/>
              <w:rPr>
                <w:rFonts w:ascii="宋体" w:cs="宋体"/>
                <w:color w:val="auto"/>
                <w:szCs w:val="21"/>
              </w:rPr>
            </w:pPr>
            <w:r>
              <w:rPr>
                <w:rFonts w:hint="eastAsia" w:ascii="宋体" w:hAnsi="宋体" w:eastAsia="宋体" w:cs="宋体"/>
                <w:color w:val="auto"/>
                <w:sz w:val="21"/>
                <w:szCs w:val="21"/>
                <w:highlight w:val="none"/>
                <w:lang w:val="en-US" w:eastAsia="zh-CN"/>
              </w:rPr>
              <w:t>一般废气、废水、固体废物、噪声、畜禽养殖废水</w:t>
            </w:r>
          </w:p>
        </w:tc>
        <w:tc>
          <w:tcPr>
            <w:tcW w:w="1359" w:type="dxa"/>
            <w:noWrap w:val="0"/>
            <w:vAlign w:val="center"/>
          </w:tcPr>
          <w:p w14:paraId="0469229B">
            <w:pPr>
              <w:jc w:val="center"/>
              <w:rPr>
                <w:rFonts w:hint="eastAsia" w:ascii="宋体" w:cs="宋体"/>
                <w:color w:val="auto"/>
                <w:szCs w:val="21"/>
              </w:rPr>
            </w:pPr>
            <w:r>
              <w:rPr>
                <w:rFonts w:hint="eastAsia" w:ascii="宋体" w:hAnsi="宋体" w:eastAsia="宋体" w:cs="宋体"/>
                <w:color w:val="auto"/>
                <w:sz w:val="21"/>
                <w:szCs w:val="21"/>
                <w:highlight w:val="none"/>
              </w:rPr>
              <w:t>1</w:t>
            </w:r>
          </w:p>
        </w:tc>
      </w:tr>
      <w:tr w14:paraId="7C6CA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3" w:type="dxa"/>
            <w:vMerge w:val="continue"/>
            <w:noWrap w:val="0"/>
            <w:vAlign w:val="center"/>
          </w:tcPr>
          <w:p w14:paraId="39027207">
            <w:pPr>
              <w:jc w:val="center"/>
              <w:rPr>
                <w:color w:val="auto"/>
              </w:rPr>
            </w:pPr>
          </w:p>
        </w:tc>
        <w:tc>
          <w:tcPr>
            <w:tcW w:w="5782" w:type="dxa"/>
            <w:noWrap w:val="0"/>
            <w:vAlign w:val="top"/>
          </w:tcPr>
          <w:p w14:paraId="3BDA2564">
            <w:pPr>
              <w:adjustRightInd w:val="0"/>
              <w:ind w:firstLine="420" w:firstLineChars="200"/>
              <w:jc w:val="both"/>
              <w:rPr>
                <w:rFonts w:ascii="宋体" w:cs="宋体"/>
                <w:color w:val="auto"/>
                <w:szCs w:val="21"/>
              </w:rPr>
            </w:pPr>
            <w:r>
              <w:rPr>
                <w:rFonts w:hint="eastAsia" w:ascii="宋体" w:hAnsi="宋体" w:eastAsia="宋体" w:cs="宋体"/>
                <w:color w:val="auto"/>
                <w:sz w:val="21"/>
                <w:szCs w:val="21"/>
                <w:highlight w:val="none"/>
              </w:rPr>
              <w:t>火电、钢铁、石化、水泥、炼焦、有色、化工废气/医疗废水</w:t>
            </w:r>
          </w:p>
        </w:tc>
        <w:tc>
          <w:tcPr>
            <w:tcW w:w="1359" w:type="dxa"/>
            <w:noWrap w:val="0"/>
            <w:vAlign w:val="center"/>
          </w:tcPr>
          <w:p w14:paraId="35D4BEF2">
            <w:pPr>
              <w:jc w:val="center"/>
              <w:rPr>
                <w:rFonts w:hint="eastAsia" w:ascii="宋体" w:cs="宋体"/>
                <w:color w:val="auto"/>
                <w:szCs w:val="21"/>
              </w:rPr>
            </w:pPr>
            <w:r>
              <w:rPr>
                <w:rFonts w:hint="eastAsia" w:ascii="宋体" w:hAnsi="宋体" w:eastAsia="宋体" w:cs="宋体"/>
                <w:color w:val="auto"/>
                <w:sz w:val="21"/>
                <w:szCs w:val="21"/>
                <w:highlight w:val="none"/>
                <w:lang w:val="en-US" w:eastAsia="zh-CN"/>
              </w:rPr>
              <w:t>3</w:t>
            </w:r>
          </w:p>
        </w:tc>
      </w:tr>
      <w:tr w14:paraId="3C361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3" w:type="dxa"/>
            <w:vMerge w:val="continue"/>
            <w:noWrap w:val="0"/>
            <w:vAlign w:val="center"/>
          </w:tcPr>
          <w:p w14:paraId="2E205AEF">
            <w:pPr>
              <w:jc w:val="center"/>
              <w:rPr>
                <w:color w:val="auto"/>
              </w:rPr>
            </w:pPr>
          </w:p>
        </w:tc>
        <w:tc>
          <w:tcPr>
            <w:tcW w:w="5782" w:type="dxa"/>
            <w:noWrap w:val="0"/>
            <w:vAlign w:val="top"/>
          </w:tcPr>
          <w:p w14:paraId="3D9AB5C6">
            <w:pPr>
              <w:adjustRightInd w:val="0"/>
              <w:ind w:firstLine="420" w:firstLineChars="200"/>
              <w:jc w:val="both"/>
              <w:rPr>
                <w:rFonts w:hint="eastAsia" w:ascii="宋体" w:cs="宋体"/>
                <w:color w:val="auto"/>
                <w:szCs w:val="21"/>
              </w:rPr>
            </w:pPr>
            <w:r>
              <w:rPr>
                <w:rFonts w:hint="eastAsia" w:ascii="宋体" w:hAnsi="宋体" w:eastAsia="宋体" w:cs="宋体"/>
                <w:color w:val="auto"/>
                <w:sz w:val="21"/>
                <w:szCs w:val="21"/>
                <w:highlight w:val="none"/>
              </w:rPr>
              <w:t>含有毒有害物质的废气、废水／含一类污染物或重金属、病原体、放射性物质的废水／危险废物</w:t>
            </w:r>
          </w:p>
        </w:tc>
        <w:tc>
          <w:tcPr>
            <w:tcW w:w="1359" w:type="dxa"/>
            <w:noWrap w:val="0"/>
            <w:vAlign w:val="center"/>
          </w:tcPr>
          <w:p w14:paraId="719B6DFA">
            <w:pPr>
              <w:jc w:val="center"/>
              <w:rPr>
                <w:rFonts w:hint="eastAsia" w:ascii="宋体" w:cs="宋体"/>
                <w:color w:val="auto"/>
                <w:szCs w:val="21"/>
              </w:rPr>
            </w:pPr>
            <w:r>
              <w:rPr>
                <w:rFonts w:hint="eastAsia" w:ascii="宋体" w:hAnsi="宋体" w:eastAsia="宋体" w:cs="宋体"/>
                <w:color w:val="auto"/>
                <w:sz w:val="21"/>
                <w:szCs w:val="21"/>
                <w:highlight w:val="none"/>
                <w:lang w:val="en-US" w:eastAsia="zh-CN"/>
              </w:rPr>
              <w:t>5</w:t>
            </w:r>
          </w:p>
        </w:tc>
      </w:tr>
    </w:tbl>
    <w:p w14:paraId="0B6C212D">
      <w:pPr>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br w:type="page"/>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09"/>
        <w:gridCol w:w="6064"/>
        <w:gridCol w:w="1275"/>
      </w:tblGrid>
      <w:tr w14:paraId="65D53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48" w:type="dxa"/>
            <w:gridSpan w:val="3"/>
            <w:noWrap w:val="0"/>
            <w:vAlign w:val="center"/>
          </w:tcPr>
          <w:p w14:paraId="2EA89C4A">
            <w:pPr>
              <w:jc w:val="center"/>
              <w:rPr>
                <w:rFonts w:hint="eastAsia" w:ascii="宋体" w:cs="宋体"/>
                <w:color w:val="auto"/>
                <w:szCs w:val="21"/>
              </w:rPr>
            </w:pPr>
            <w:r>
              <w:rPr>
                <w:rFonts w:hint="eastAsia" w:ascii="宋体" w:hAnsi="宋体" w:eastAsia="宋体" w:cs="宋体"/>
                <w:bCs/>
                <w:color w:val="auto"/>
                <w:sz w:val="21"/>
                <w:szCs w:val="21"/>
                <w:highlight w:val="none"/>
                <w:lang w:eastAsia="zh-CN"/>
              </w:rPr>
              <w:t>（十三）其他类</w:t>
            </w:r>
          </w:p>
        </w:tc>
      </w:tr>
      <w:tr w14:paraId="48D21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09" w:type="dxa"/>
            <w:noWrap w:val="0"/>
            <w:vAlign w:val="center"/>
          </w:tcPr>
          <w:p w14:paraId="341F5E72">
            <w:pPr>
              <w:jc w:val="center"/>
              <w:rPr>
                <w:rFonts w:hint="eastAsia" w:ascii="宋体" w:cs="宋体"/>
                <w:color w:val="auto"/>
                <w:szCs w:val="21"/>
              </w:rPr>
            </w:pPr>
            <w:r>
              <w:rPr>
                <w:rFonts w:hint="eastAsia" w:ascii="宋体" w:cs="宋体"/>
                <w:color w:val="auto"/>
                <w:szCs w:val="21"/>
              </w:rPr>
              <w:t>序号</w:t>
            </w:r>
          </w:p>
        </w:tc>
        <w:tc>
          <w:tcPr>
            <w:tcW w:w="7339" w:type="dxa"/>
            <w:gridSpan w:val="2"/>
            <w:noWrap w:val="0"/>
            <w:vAlign w:val="center"/>
          </w:tcPr>
          <w:p w14:paraId="59B73435">
            <w:pPr>
              <w:jc w:val="center"/>
              <w:rPr>
                <w:rFonts w:hint="default" w:ascii="宋体" w:eastAsia="宋体" w:cs="宋体"/>
                <w:color w:val="auto"/>
                <w:szCs w:val="21"/>
                <w:lang w:val="en-US" w:eastAsia="zh-CN"/>
              </w:rPr>
            </w:pPr>
            <w:r>
              <w:rPr>
                <w:rFonts w:hint="eastAsia" w:ascii="宋体" w:cs="宋体"/>
                <w:color w:val="auto"/>
                <w:szCs w:val="21"/>
                <w:lang w:val="en-US" w:eastAsia="zh-CN"/>
              </w:rPr>
              <w:t>15</w:t>
            </w:r>
          </w:p>
        </w:tc>
      </w:tr>
      <w:tr w14:paraId="742D9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09" w:type="dxa"/>
            <w:noWrap w:val="0"/>
            <w:vAlign w:val="center"/>
          </w:tcPr>
          <w:p w14:paraId="45CA73A0">
            <w:pPr>
              <w:jc w:val="center"/>
              <w:rPr>
                <w:rFonts w:hint="eastAsia" w:ascii="宋体" w:cs="宋体"/>
                <w:color w:val="auto"/>
                <w:szCs w:val="21"/>
              </w:rPr>
            </w:pPr>
            <w:r>
              <w:rPr>
                <w:rFonts w:hint="eastAsia" w:ascii="宋体" w:cs="宋体"/>
                <w:color w:val="auto"/>
                <w:szCs w:val="21"/>
              </w:rPr>
              <w:t>违法行为</w:t>
            </w:r>
          </w:p>
        </w:tc>
        <w:tc>
          <w:tcPr>
            <w:tcW w:w="7339" w:type="dxa"/>
            <w:gridSpan w:val="2"/>
            <w:noWrap w:val="0"/>
            <w:vAlign w:val="center"/>
          </w:tcPr>
          <w:p w14:paraId="64526A85">
            <w:pPr>
              <w:adjustRightInd w:val="0"/>
              <w:ind w:firstLine="420" w:firstLineChars="200"/>
              <w:jc w:val="both"/>
              <w:rPr>
                <w:rFonts w:hint="eastAsia" w:ascii="宋体" w:cs="宋体"/>
                <w:color w:val="auto"/>
                <w:szCs w:val="21"/>
              </w:rPr>
            </w:pPr>
            <w:r>
              <w:rPr>
                <w:rFonts w:hint="eastAsia" w:ascii="宋体" w:cs="宋体"/>
                <w:color w:val="auto"/>
                <w:szCs w:val="21"/>
              </w:rPr>
              <w:t>排污单位或者运行维护单位不如实标记设备、数据等异常情况的；排污单位未按照规定对自动监控信息管理平台分类推送的异常情况警告信息予以核实、处理或者反馈的</w:t>
            </w:r>
          </w:p>
        </w:tc>
      </w:tr>
      <w:tr w14:paraId="2EF9E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09" w:type="dxa"/>
            <w:noWrap w:val="0"/>
            <w:vAlign w:val="center"/>
          </w:tcPr>
          <w:p w14:paraId="656B9F08">
            <w:pPr>
              <w:jc w:val="center"/>
              <w:rPr>
                <w:rFonts w:hint="eastAsia" w:ascii="宋体" w:cs="宋体"/>
                <w:color w:val="auto"/>
                <w:szCs w:val="21"/>
              </w:rPr>
            </w:pPr>
            <w:r>
              <w:rPr>
                <w:rFonts w:hint="eastAsia" w:ascii="宋体" w:cs="宋体"/>
                <w:color w:val="auto"/>
                <w:szCs w:val="21"/>
              </w:rPr>
              <w:t>违反条款</w:t>
            </w:r>
          </w:p>
        </w:tc>
        <w:tc>
          <w:tcPr>
            <w:tcW w:w="7339" w:type="dxa"/>
            <w:gridSpan w:val="2"/>
            <w:noWrap w:val="0"/>
            <w:vAlign w:val="center"/>
          </w:tcPr>
          <w:p w14:paraId="3F43AD30">
            <w:pPr>
              <w:adjustRightInd w:val="0"/>
              <w:ind w:firstLine="420" w:firstLineChars="200"/>
              <w:jc w:val="both"/>
              <w:rPr>
                <w:rFonts w:hint="eastAsia" w:ascii="宋体" w:cs="宋体"/>
                <w:color w:val="auto"/>
                <w:szCs w:val="21"/>
              </w:rPr>
            </w:pPr>
            <w:r>
              <w:rPr>
                <w:rFonts w:hint="eastAsia" w:ascii="宋体" w:cs="宋体"/>
                <w:color w:val="auto"/>
                <w:szCs w:val="21"/>
              </w:rPr>
              <w:t>《</w:t>
            </w:r>
            <w:r>
              <w:rPr>
                <w:rFonts w:hint="eastAsia" w:ascii="宋体" w:cs="宋体"/>
                <w:color w:val="auto"/>
                <w:szCs w:val="21"/>
              </w:rPr>
              <w:fldChar w:fldCharType="begin"/>
            </w:r>
            <w:r>
              <w:rPr>
                <w:rFonts w:hint="eastAsia" w:ascii="宋体" w:cs="宋体"/>
                <w:color w:val="auto"/>
                <w:szCs w:val="21"/>
              </w:rPr>
              <w:instrText xml:space="preserve"> HYPERLINK  "https://alphalawyer.cn/ilawregu-search/api/v1/lawregu/redict/697db819c6e263dfcc8bd1b65dac55ff"</w:instrText>
            </w:r>
            <w:r>
              <w:rPr>
                <w:rFonts w:hint="eastAsia" w:ascii="宋体" w:cs="宋体"/>
                <w:color w:val="auto"/>
                <w:szCs w:val="21"/>
              </w:rPr>
              <w:fldChar w:fldCharType="separate"/>
            </w:r>
            <w:r>
              <w:rPr>
                <w:rFonts w:hint="eastAsia" w:ascii="宋体" w:cs="宋体"/>
                <w:color w:val="auto"/>
                <w:szCs w:val="21"/>
              </w:rPr>
              <w:t>福建省固定污染源自动监控管理办法</w:t>
            </w:r>
            <w:r>
              <w:rPr>
                <w:rFonts w:hint="eastAsia" w:ascii="宋体" w:cs="宋体"/>
                <w:color w:val="auto"/>
                <w:szCs w:val="21"/>
              </w:rPr>
              <w:fldChar w:fldCharType="end"/>
            </w:r>
            <w:r>
              <w:rPr>
                <w:rFonts w:hint="eastAsia" w:ascii="宋体" w:cs="宋体"/>
                <w:color w:val="auto"/>
                <w:szCs w:val="21"/>
              </w:rPr>
              <w:t>》第二十一条</w:t>
            </w:r>
            <w:r>
              <w:rPr>
                <w:rFonts w:hint="eastAsia" w:ascii="宋体" w:cs="宋体"/>
                <w:color w:val="auto"/>
                <w:szCs w:val="21"/>
                <w:lang w:val="en-US" w:eastAsia="zh-CN"/>
              </w:rPr>
              <w:t xml:space="preserve"> </w:t>
            </w:r>
            <w:r>
              <w:rPr>
                <w:rFonts w:hint="eastAsia" w:ascii="宋体" w:cs="宋体"/>
                <w:color w:val="auto"/>
                <w:szCs w:val="21"/>
              </w:rPr>
              <w:t>污染物排放自动监测设备故障维修、维护保养、校准、校验等异常状态下产生的自动监测数据，排污单位应当自行或者委托运行维护单位按照国家和本省有关规定，在自动监控信息管理平台上如实标记设备、数据等异常情况，并进行检查、修复。</w:t>
            </w:r>
          </w:p>
          <w:p w14:paraId="5A1FAE63">
            <w:pPr>
              <w:adjustRightInd w:val="0"/>
              <w:ind w:firstLine="420" w:firstLineChars="200"/>
              <w:jc w:val="both"/>
              <w:rPr>
                <w:rFonts w:hint="eastAsia" w:ascii="宋体" w:cs="宋体"/>
                <w:color w:val="auto"/>
                <w:szCs w:val="21"/>
              </w:rPr>
            </w:pPr>
            <w:r>
              <w:rPr>
                <w:rFonts w:hint="eastAsia" w:ascii="宋体" w:cs="宋体"/>
                <w:color w:val="auto"/>
                <w:szCs w:val="21"/>
              </w:rPr>
              <w:t>排污单位对自动监控信息管理平台分类推送的异常情况警告信息，应当按照国家和本省有关规定核实、处理，并在核实处理后24小时内向自动监控信息管理平台反馈。</w:t>
            </w:r>
          </w:p>
        </w:tc>
      </w:tr>
      <w:tr w14:paraId="472E7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09" w:type="dxa"/>
            <w:noWrap w:val="0"/>
            <w:vAlign w:val="center"/>
          </w:tcPr>
          <w:p w14:paraId="13CFE9C7">
            <w:pPr>
              <w:jc w:val="center"/>
              <w:rPr>
                <w:rFonts w:hint="eastAsia" w:ascii="宋体" w:cs="宋体"/>
                <w:color w:val="auto"/>
                <w:szCs w:val="21"/>
              </w:rPr>
            </w:pPr>
            <w:r>
              <w:rPr>
                <w:rFonts w:hint="eastAsia" w:ascii="宋体" w:cs="宋体"/>
                <w:color w:val="auto"/>
                <w:szCs w:val="21"/>
              </w:rPr>
              <w:t>处罚依据</w:t>
            </w:r>
          </w:p>
        </w:tc>
        <w:tc>
          <w:tcPr>
            <w:tcW w:w="7339" w:type="dxa"/>
            <w:gridSpan w:val="2"/>
            <w:noWrap w:val="0"/>
            <w:vAlign w:val="center"/>
          </w:tcPr>
          <w:p w14:paraId="03C7B1C6">
            <w:pPr>
              <w:adjustRightInd w:val="0"/>
              <w:ind w:firstLine="420" w:firstLineChars="200"/>
              <w:jc w:val="both"/>
              <w:rPr>
                <w:rFonts w:hint="eastAsia" w:ascii="宋体" w:cs="宋体"/>
                <w:color w:val="auto"/>
                <w:szCs w:val="21"/>
              </w:rPr>
            </w:pPr>
            <w:r>
              <w:rPr>
                <w:rFonts w:hint="eastAsia" w:ascii="宋体" w:cs="宋体"/>
                <w:color w:val="auto"/>
                <w:szCs w:val="21"/>
              </w:rPr>
              <w:t>《</w:t>
            </w:r>
            <w:r>
              <w:rPr>
                <w:rFonts w:hint="eastAsia" w:ascii="宋体" w:cs="宋体"/>
                <w:color w:val="auto"/>
                <w:szCs w:val="21"/>
              </w:rPr>
              <w:fldChar w:fldCharType="begin"/>
            </w:r>
            <w:r>
              <w:rPr>
                <w:rFonts w:hint="eastAsia" w:ascii="宋体" w:cs="宋体"/>
                <w:color w:val="auto"/>
                <w:szCs w:val="21"/>
              </w:rPr>
              <w:instrText xml:space="preserve"> HYPERLINK  "https://alphalawyer.cn/ilawregu-search/api/v1/lawregu/redict/697db819c6e263dfcc8bd1b65dac55ff"</w:instrText>
            </w:r>
            <w:r>
              <w:rPr>
                <w:rFonts w:hint="eastAsia" w:ascii="宋体" w:cs="宋体"/>
                <w:color w:val="auto"/>
                <w:szCs w:val="21"/>
              </w:rPr>
              <w:fldChar w:fldCharType="separate"/>
            </w:r>
            <w:r>
              <w:rPr>
                <w:rFonts w:hint="eastAsia" w:ascii="宋体" w:cs="宋体"/>
                <w:color w:val="auto"/>
                <w:szCs w:val="21"/>
              </w:rPr>
              <w:t>福建省固定污染源自动监控管理办法</w:t>
            </w:r>
            <w:r>
              <w:rPr>
                <w:rFonts w:hint="eastAsia" w:ascii="宋体" w:cs="宋体"/>
                <w:color w:val="auto"/>
                <w:szCs w:val="21"/>
              </w:rPr>
              <w:fldChar w:fldCharType="end"/>
            </w:r>
            <w:r>
              <w:rPr>
                <w:rFonts w:hint="eastAsia" w:ascii="宋体" w:cs="宋体"/>
                <w:color w:val="auto"/>
                <w:szCs w:val="21"/>
              </w:rPr>
              <w:t>》第三十一条</w:t>
            </w:r>
            <w:r>
              <w:rPr>
                <w:rFonts w:hint="eastAsia" w:ascii="宋体" w:cs="宋体"/>
                <w:color w:val="auto"/>
                <w:szCs w:val="21"/>
                <w:lang w:val="en-US" w:eastAsia="zh-CN"/>
              </w:rPr>
              <w:t xml:space="preserve"> </w:t>
            </w:r>
            <w:r>
              <w:rPr>
                <w:rFonts w:hint="eastAsia" w:ascii="宋体" w:cs="宋体"/>
                <w:color w:val="auto"/>
                <w:szCs w:val="21"/>
              </w:rPr>
              <w:t>违反本办法第二十一条规定，有下列情形之一的，由生态环境主管部门责令改正，处2万元以上20万元以下罚款，并予以通报批评：</w:t>
            </w:r>
          </w:p>
          <w:p w14:paraId="499340E6">
            <w:pPr>
              <w:adjustRightInd w:val="0"/>
              <w:ind w:firstLine="420" w:firstLineChars="200"/>
              <w:jc w:val="both"/>
              <w:rPr>
                <w:rFonts w:hint="eastAsia" w:ascii="宋体" w:cs="宋体"/>
                <w:color w:val="auto"/>
                <w:szCs w:val="21"/>
              </w:rPr>
            </w:pPr>
            <w:r>
              <w:rPr>
                <w:rFonts w:hint="eastAsia" w:ascii="宋体" w:cs="宋体"/>
                <w:color w:val="auto"/>
                <w:szCs w:val="21"/>
              </w:rPr>
              <w:t>（一）排污单位或者运行维护单位不如实标记设备、数据等异常情况的；</w:t>
            </w:r>
          </w:p>
          <w:p w14:paraId="51716105">
            <w:pPr>
              <w:adjustRightInd w:val="0"/>
              <w:ind w:firstLine="420" w:firstLineChars="200"/>
              <w:jc w:val="both"/>
              <w:rPr>
                <w:rFonts w:hint="eastAsia" w:ascii="宋体" w:cs="宋体"/>
                <w:color w:val="auto"/>
                <w:szCs w:val="21"/>
              </w:rPr>
            </w:pPr>
            <w:r>
              <w:rPr>
                <w:rFonts w:hint="eastAsia" w:ascii="宋体" w:cs="宋体"/>
                <w:color w:val="auto"/>
                <w:szCs w:val="21"/>
              </w:rPr>
              <w:t>（二）排污单位未按照规定对自动监控信息管理平台分类推送的异常情况警告信息予以核实、处理或者反馈的。</w:t>
            </w:r>
          </w:p>
        </w:tc>
      </w:tr>
      <w:tr w14:paraId="6BB22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09" w:type="dxa"/>
            <w:noWrap w:val="0"/>
            <w:vAlign w:val="center"/>
          </w:tcPr>
          <w:p w14:paraId="5E7A27EB">
            <w:pPr>
              <w:jc w:val="center"/>
              <w:rPr>
                <w:rFonts w:hint="eastAsia" w:ascii="宋体" w:cs="宋体"/>
                <w:color w:val="auto"/>
                <w:szCs w:val="21"/>
              </w:rPr>
            </w:pPr>
            <w:r>
              <w:rPr>
                <w:rFonts w:hint="eastAsia" w:ascii="宋体" w:cs="宋体"/>
                <w:color w:val="auto"/>
                <w:szCs w:val="21"/>
              </w:rPr>
              <w:t>裁量因素</w:t>
            </w:r>
          </w:p>
        </w:tc>
        <w:tc>
          <w:tcPr>
            <w:tcW w:w="6064" w:type="dxa"/>
            <w:noWrap w:val="0"/>
            <w:vAlign w:val="center"/>
          </w:tcPr>
          <w:p w14:paraId="50D508E3">
            <w:pPr>
              <w:jc w:val="center"/>
              <w:rPr>
                <w:rFonts w:hint="eastAsia" w:ascii="宋体" w:cs="宋体"/>
                <w:color w:val="auto"/>
                <w:szCs w:val="21"/>
              </w:rPr>
            </w:pPr>
            <w:r>
              <w:rPr>
                <w:rFonts w:hint="eastAsia" w:ascii="宋体" w:cs="宋体"/>
                <w:color w:val="auto"/>
                <w:szCs w:val="21"/>
              </w:rPr>
              <w:t>裁量因子</w:t>
            </w:r>
          </w:p>
        </w:tc>
        <w:tc>
          <w:tcPr>
            <w:tcW w:w="1275" w:type="dxa"/>
            <w:noWrap w:val="0"/>
            <w:vAlign w:val="center"/>
          </w:tcPr>
          <w:p w14:paraId="3480A2AF">
            <w:pPr>
              <w:jc w:val="center"/>
              <w:rPr>
                <w:rFonts w:hint="eastAsia" w:ascii="宋体" w:cs="宋体"/>
                <w:color w:val="auto"/>
                <w:szCs w:val="21"/>
              </w:rPr>
            </w:pPr>
            <w:r>
              <w:rPr>
                <w:rFonts w:hint="eastAsia" w:ascii="宋体" w:cs="宋体"/>
                <w:color w:val="auto"/>
                <w:szCs w:val="21"/>
              </w:rPr>
              <w:t>裁量等级</w:t>
            </w:r>
          </w:p>
        </w:tc>
      </w:tr>
      <w:tr w14:paraId="680D1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09" w:type="dxa"/>
            <w:vMerge w:val="restart"/>
            <w:noWrap w:val="0"/>
            <w:vAlign w:val="center"/>
          </w:tcPr>
          <w:p w14:paraId="19B5CB47">
            <w:pPr>
              <w:jc w:val="center"/>
              <w:rPr>
                <w:rFonts w:hint="eastAsia" w:ascii="宋体" w:cs="宋体"/>
                <w:color w:val="auto"/>
                <w:szCs w:val="21"/>
              </w:rPr>
            </w:pPr>
            <w:r>
              <w:rPr>
                <w:rFonts w:hint="eastAsia" w:ascii="宋体" w:hAnsi="宋体" w:cs="宋体"/>
                <w:color w:val="auto"/>
                <w:sz w:val="21"/>
                <w:szCs w:val="21"/>
                <w:highlight w:val="none"/>
                <w:lang w:eastAsia="zh-CN"/>
              </w:rPr>
              <w:t>违法行为发生地</w:t>
            </w:r>
          </w:p>
        </w:tc>
        <w:tc>
          <w:tcPr>
            <w:tcW w:w="6064" w:type="dxa"/>
            <w:noWrap w:val="0"/>
            <w:vAlign w:val="top"/>
          </w:tcPr>
          <w:p w14:paraId="07651051">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cs="宋体"/>
                <w:color w:val="auto"/>
                <w:szCs w:val="21"/>
              </w:rPr>
            </w:pPr>
            <w:r>
              <w:rPr>
                <w:rFonts w:hint="eastAsia" w:ascii="宋体" w:hAnsi="宋体" w:cs="宋体"/>
                <w:color w:val="auto"/>
                <w:sz w:val="21"/>
                <w:szCs w:val="21"/>
                <w:highlight w:val="none"/>
                <w:lang w:eastAsia="zh-CN"/>
              </w:rPr>
              <w:t>二类环境空气功能区</w:t>
            </w:r>
            <w:r>
              <w:rPr>
                <w:rFonts w:hint="eastAsia" w:ascii="宋体" w:hAnsi="宋体" w:eastAsia="宋体" w:cs="宋体"/>
                <w:color w:val="auto"/>
                <w:sz w:val="21"/>
                <w:szCs w:val="21"/>
                <w:highlight w:val="none"/>
              </w:rPr>
              <w:t>（工业区和农村地区）</w:t>
            </w:r>
            <w:r>
              <w:rPr>
                <w:rFonts w:hint="eastAsia" w:ascii="宋体" w:hAnsi="宋体" w:cs="宋体"/>
                <w:color w:val="auto"/>
                <w:sz w:val="21"/>
                <w:szCs w:val="21"/>
                <w:highlight w:val="none"/>
                <w:lang w:val="en-US" w:eastAsia="zh-CN"/>
              </w:rPr>
              <w:t>/V类水体（或者污水集中处理设施）/</w:t>
            </w:r>
            <w:r>
              <w:rPr>
                <w:rFonts w:hint="eastAsia" w:ascii="宋体" w:hAnsi="宋体" w:eastAsia="宋体" w:cs="宋体"/>
                <w:color w:val="auto"/>
                <w:sz w:val="21"/>
                <w:szCs w:val="21"/>
                <w:highlight w:val="none"/>
              </w:rPr>
              <w:t>4类声环境功能区</w:t>
            </w:r>
            <w:r>
              <w:rPr>
                <w:rFonts w:hint="eastAsia" w:ascii="宋体" w:hAnsi="宋体" w:eastAsia="宋体" w:cs="宋体"/>
                <w:color w:val="auto"/>
                <w:sz w:val="21"/>
                <w:szCs w:val="21"/>
                <w:highlight w:val="none"/>
                <w:lang w:val="en-US" w:eastAsia="zh-CN"/>
              </w:rPr>
              <w:t>/第四类海水水质的区域</w:t>
            </w:r>
          </w:p>
        </w:tc>
        <w:tc>
          <w:tcPr>
            <w:tcW w:w="1275" w:type="dxa"/>
            <w:noWrap w:val="0"/>
            <w:vAlign w:val="center"/>
          </w:tcPr>
          <w:p w14:paraId="413BCD15">
            <w:pPr>
              <w:jc w:val="center"/>
              <w:rPr>
                <w:rFonts w:hint="eastAsia" w:ascii="宋体" w:cs="宋体"/>
                <w:color w:val="auto"/>
                <w:szCs w:val="21"/>
              </w:rPr>
            </w:pPr>
            <w:r>
              <w:rPr>
                <w:rFonts w:hint="eastAsia" w:ascii="宋体" w:hAnsi="宋体" w:eastAsia="宋体" w:cs="宋体"/>
                <w:color w:val="auto"/>
                <w:sz w:val="21"/>
                <w:szCs w:val="21"/>
                <w:highlight w:val="none"/>
              </w:rPr>
              <w:t>1</w:t>
            </w:r>
          </w:p>
        </w:tc>
      </w:tr>
      <w:tr w14:paraId="3256B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09" w:type="dxa"/>
            <w:vMerge w:val="continue"/>
            <w:noWrap w:val="0"/>
            <w:vAlign w:val="center"/>
          </w:tcPr>
          <w:p w14:paraId="4B30553B">
            <w:pPr>
              <w:jc w:val="center"/>
              <w:rPr>
                <w:color w:val="auto"/>
              </w:rPr>
            </w:pPr>
          </w:p>
        </w:tc>
        <w:tc>
          <w:tcPr>
            <w:tcW w:w="6064" w:type="dxa"/>
            <w:noWrap w:val="0"/>
            <w:vAlign w:val="top"/>
          </w:tcPr>
          <w:p w14:paraId="10E8E598">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cs="宋体"/>
                <w:color w:val="auto"/>
                <w:szCs w:val="21"/>
              </w:rPr>
            </w:pPr>
            <w:r>
              <w:rPr>
                <w:rFonts w:hint="eastAsia" w:ascii="宋体" w:hAnsi="宋体" w:cs="宋体"/>
                <w:color w:val="auto"/>
                <w:sz w:val="21"/>
                <w:szCs w:val="21"/>
                <w:highlight w:val="none"/>
                <w:lang w:eastAsia="zh-CN"/>
              </w:rPr>
              <w:t>Ⅳ类</w:t>
            </w:r>
            <w:r>
              <w:rPr>
                <w:rFonts w:hint="eastAsia" w:ascii="宋体" w:hAnsi="宋体" w:eastAsia="宋体" w:cs="宋体"/>
                <w:color w:val="auto"/>
                <w:sz w:val="21"/>
                <w:szCs w:val="21"/>
                <w:highlight w:val="none"/>
              </w:rPr>
              <w:t>水体</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3类声环境功能区</w:t>
            </w:r>
            <w:r>
              <w:rPr>
                <w:rFonts w:hint="eastAsia" w:ascii="宋体" w:hAnsi="宋体" w:eastAsia="宋体" w:cs="宋体"/>
                <w:color w:val="auto"/>
                <w:sz w:val="21"/>
                <w:szCs w:val="21"/>
                <w:highlight w:val="none"/>
                <w:lang w:val="en-US" w:eastAsia="zh-CN"/>
              </w:rPr>
              <w:t>/第三类海水水质的区域</w:t>
            </w:r>
          </w:p>
        </w:tc>
        <w:tc>
          <w:tcPr>
            <w:tcW w:w="1275" w:type="dxa"/>
            <w:noWrap w:val="0"/>
            <w:vAlign w:val="center"/>
          </w:tcPr>
          <w:p w14:paraId="530941C9">
            <w:pPr>
              <w:jc w:val="center"/>
              <w:rPr>
                <w:rFonts w:hint="eastAsia" w:ascii="宋体" w:cs="宋体"/>
                <w:color w:val="auto"/>
                <w:szCs w:val="21"/>
              </w:rPr>
            </w:pPr>
            <w:r>
              <w:rPr>
                <w:rFonts w:hint="eastAsia" w:ascii="宋体" w:hAnsi="宋体" w:eastAsia="宋体" w:cs="宋体"/>
                <w:color w:val="auto"/>
                <w:sz w:val="21"/>
                <w:szCs w:val="21"/>
                <w:highlight w:val="none"/>
              </w:rPr>
              <w:t>2</w:t>
            </w:r>
          </w:p>
        </w:tc>
      </w:tr>
      <w:tr w14:paraId="2F3EB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09" w:type="dxa"/>
            <w:vMerge w:val="continue"/>
            <w:noWrap w:val="0"/>
            <w:vAlign w:val="center"/>
          </w:tcPr>
          <w:p w14:paraId="4D7CDA47">
            <w:pPr>
              <w:jc w:val="center"/>
              <w:rPr>
                <w:color w:val="auto"/>
              </w:rPr>
            </w:pPr>
          </w:p>
        </w:tc>
        <w:tc>
          <w:tcPr>
            <w:tcW w:w="6064" w:type="dxa"/>
            <w:noWrap w:val="0"/>
            <w:vAlign w:val="top"/>
          </w:tcPr>
          <w:p w14:paraId="1499961B">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cs="宋体"/>
                <w:color w:val="auto"/>
                <w:szCs w:val="21"/>
              </w:rPr>
            </w:pPr>
            <w:r>
              <w:rPr>
                <w:rFonts w:hint="eastAsia" w:ascii="宋体" w:hAnsi="宋体" w:cs="宋体"/>
                <w:color w:val="auto"/>
                <w:sz w:val="21"/>
                <w:szCs w:val="21"/>
                <w:highlight w:val="none"/>
                <w:lang w:eastAsia="zh-CN"/>
              </w:rPr>
              <w:t>二类环境空气功能区</w:t>
            </w:r>
            <w:r>
              <w:rPr>
                <w:rFonts w:hint="eastAsia" w:ascii="宋体" w:hAnsi="宋体" w:eastAsia="宋体" w:cs="宋体"/>
                <w:color w:val="auto"/>
                <w:sz w:val="21"/>
                <w:szCs w:val="21"/>
                <w:highlight w:val="none"/>
                <w:lang w:eastAsia="zh-CN"/>
              </w:rPr>
              <w:t>（居民区、商业交通居民混合区、文化区）/</w:t>
            </w:r>
            <w:r>
              <w:rPr>
                <w:rFonts w:hint="eastAsia" w:ascii="宋体" w:hAnsi="宋体" w:cs="宋体"/>
                <w:color w:val="auto"/>
                <w:sz w:val="21"/>
                <w:szCs w:val="21"/>
                <w:highlight w:val="none"/>
                <w:lang w:eastAsia="zh-CN"/>
              </w:rPr>
              <w:t>Ⅲ类</w:t>
            </w:r>
            <w:r>
              <w:rPr>
                <w:rFonts w:hint="eastAsia" w:ascii="宋体" w:hAnsi="宋体" w:eastAsia="宋体" w:cs="宋体"/>
                <w:color w:val="auto"/>
                <w:sz w:val="21"/>
                <w:szCs w:val="21"/>
                <w:highlight w:val="none"/>
                <w:lang w:eastAsia="zh-CN"/>
              </w:rPr>
              <w:t>水体/2类声环境功能区/饮用水水源准保护区/自然保护地外的生态保护红线区域</w:t>
            </w:r>
          </w:p>
        </w:tc>
        <w:tc>
          <w:tcPr>
            <w:tcW w:w="1275" w:type="dxa"/>
            <w:noWrap w:val="0"/>
            <w:vAlign w:val="center"/>
          </w:tcPr>
          <w:p w14:paraId="10CA7D87">
            <w:pPr>
              <w:jc w:val="center"/>
              <w:rPr>
                <w:rFonts w:hint="eastAsia" w:ascii="宋体" w:cs="宋体"/>
                <w:color w:val="auto"/>
                <w:szCs w:val="21"/>
              </w:rPr>
            </w:pPr>
            <w:r>
              <w:rPr>
                <w:rFonts w:hint="eastAsia" w:ascii="宋体" w:hAnsi="宋体" w:eastAsia="宋体" w:cs="宋体"/>
                <w:color w:val="auto"/>
                <w:sz w:val="21"/>
                <w:szCs w:val="21"/>
                <w:highlight w:val="none"/>
              </w:rPr>
              <w:t>3</w:t>
            </w:r>
          </w:p>
        </w:tc>
      </w:tr>
      <w:tr w14:paraId="28B97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09" w:type="dxa"/>
            <w:vMerge w:val="continue"/>
            <w:noWrap w:val="0"/>
            <w:vAlign w:val="center"/>
          </w:tcPr>
          <w:p w14:paraId="3A760E9B">
            <w:pPr>
              <w:jc w:val="center"/>
              <w:rPr>
                <w:color w:val="auto"/>
              </w:rPr>
            </w:pPr>
          </w:p>
        </w:tc>
        <w:tc>
          <w:tcPr>
            <w:tcW w:w="6064" w:type="dxa"/>
            <w:noWrap w:val="0"/>
            <w:vAlign w:val="top"/>
          </w:tcPr>
          <w:p w14:paraId="1F3AC2A0">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cs="宋体"/>
                <w:color w:val="auto"/>
                <w:szCs w:val="21"/>
              </w:rPr>
            </w:pPr>
            <w:r>
              <w:rPr>
                <w:rFonts w:hint="eastAsia" w:ascii="宋体" w:hAnsi="宋体" w:cs="宋体"/>
                <w:color w:val="auto"/>
                <w:sz w:val="21"/>
                <w:szCs w:val="21"/>
                <w:highlight w:val="none"/>
                <w:lang w:eastAsia="zh-CN"/>
              </w:rPr>
              <w:t>Ⅱ类</w:t>
            </w:r>
            <w:r>
              <w:rPr>
                <w:rFonts w:hint="eastAsia" w:ascii="宋体" w:hAnsi="宋体" w:eastAsia="宋体" w:cs="宋体"/>
                <w:color w:val="auto"/>
                <w:sz w:val="21"/>
                <w:szCs w:val="21"/>
                <w:highlight w:val="none"/>
              </w:rPr>
              <w:t>水体</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1类声环境功能区／自然保护地一般控制区</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饮用水水源二级保护区</w:t>
            </w:r>
            <w:r>
              <w:rPr>
                <w:rFonts w:hint="eastAsia" w:ascii="宋体" w:hAnsi="宋体" w:eastAsia="宋体" w:cs="宋体"/>
                <w:color w:val="auto"/>
                <w:sz w:val="21"/>
                <w:szCs w:val="21"/>
                <w:highlight w:val="none"/>
                <w:lang w:val="en-US" w:eastAsia="zh-CN"/>
              </w:rPr>
              <w:t>/第二类海水水质的区域</w:t>
            </w:r>
          </w:p>
        </w:tc>
        <w:tc>
          <w:tcPr>
            <w:tcW w:w="1275" w:type="dxa"/>
            <w:noWrap w:val="0"/>
            <w:vAlign w:val="center"/>
          </w:tcPr>
          <w:p w14:paraId="071DE00A">
            <w:pPr>
              <w:jc w:val="center"/>
              <w:rPr>
                <w:rFonts w:hint="eastAsia" w:ascii="宋体" w:cs="宋体"/>
                <w:color w:val="auto"/>
                <w:szCs w:val="21"/>
              </w:rPr>
            </w:pPr>
            <w:r>
              <w:rPr>
                <w:rFonts w:hint="eastAsia" w:ascii="宋体" w:hAnsi="宋体" w:eastAsia="宋体" w:cs="宋体"/>
                <w:color w:val="auto"/>
                <w:sz w:val="21"/>
                <w:szCs w:val="21"/>
                <w:highlight w:val="none"/>
              </w:rPr>
              <w:t>4</w:t>
            </w:r>
          </w:p>
        </w:tc>
      </w:tr>
      <w:tr w14:paraId="50231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09" w:type="dxa"/>
            <w:vMerge w:val="continue"/>
            <w:noWrap w:val="0"/>
            <w:vAlign w:val="center"/>
          </w:tcPr>
          <w:p w14:paraId="25133AE3">
            <w:pPr>
              <w:jc w:val="center"/>
              <w:rPr>
                <w:color w:val="auto"/>
              </w:rPr>
            </w:pPr>
          </w:p>
        </w:tc>
        <w:tc>
          <w:tcPr>
            <w:tcW w:w="6064" w:type="dxa"/>
            <w:noWrap w:val="0"/>
            <w:vAlign w:val="top"/>
          </w:tcPr>
          <w:p w14:paraId="054DF7B0">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cs="宋体"/>
                <w:color w:val="auto"/>
                <w:szCs w:val="21"/>
              </w:rPr>
            </w:pPr>
            <w:r>
              <w:rPr>
                <w:rFonts w:hint="eastAsia" w:ascii="宋体" w:hAnsi="宋体" w:cs="宋体"/>
                <w:color w:val="auto"/>
                <w:sz w:val="21"/>
                <w:szCs w:val="21"/>
                <w:highlight w:val="none"/>
                <w:lang w:eastAsia="zh-CN"/>
              </w:rPr>
              <w:t>一类环境空气功能区</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I类水体</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0类声环境功能区／自然保护地核心保护区</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饮用水水源一级保护区</w:t>
            </w:r>
            <w:r>
              <w:rPr>
                <w:rFonts w:hint="eastAsia" w:ascii="宋体" w:hAnsi="宋体" w:eastAsia="宋体" w:cs="宋体"/>
                <w:color w:val="auto"/>
                <w:sz w:val="21"/>
                <w:szCs w:val="21"/>
                <w:highlight w:val="none"/>
                <w:lang w:val="en-US" w:eastAsia="zh-CN"/>
              </w:rPr>
              <w:t>/第一类海水水质的区域</w:t>
            </w:r>
          </w:p>
        </w:tc>
        <w:tc>
          <w:tcPr>
            <w:tcW w:w="1275" w:type="dxa"/>
            <w:noWrap w:val="0"/>
            <w:vAlign w:val="center"/>
          </w:tcPr>
          <w:p w14:paraId="5D2B6868">
            <w:pPr>
              <w:jc w:val="center"/>
              <w:rPr>
                <w:rFonts w:hint="eastAsia" w:ascii="宋体" w:cs="宋体"/>
                <w:color w:val="auto"/>
                <w:szCs w:val="21"/>
              </w:rPr>
            </w:pPr>
            <w:r>
              <w:rPr>
                <w:rFonts w:hint="eastAsia" w:ascii="宋体" w:hAnsi="宋体" w:eastAsia="宋体" w:cs="宋体"/>
                <w:color w:val="auto"/>
                <w:sz w:val="21"/>
                <w:szCs w:val="21"/>
                <w:highlight w:val="none"/>
              </w:rPr>
              <w:t>5</w:t>
            </w:r>
          </w:p>
        </w:tc>
      </w:tr>
      <w:tr w14:paraId="7F954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09" w:type="dxa"/>
            <w:vMerge w:val="restart"/>
            <w:noWrap w:val="0"/>
            <w:vAlign w:val="center"/>
          </w:tcPr>
          <w:p w14:paraId="1962D9DD">
            <w:pPr>
              <w:jc w:val="center"/>
              <w:rPr>
                <w:color w:val="auto"/>
              </w:rPr>
            </w:pPr>
            <w:r>
              <w:rPr>
                <w:rFonts w:hint="eastAsia" w:ascii="宋体" w:hAnsi="宋体" w:eastAsia="宋体" w:cs="宋体"/>
                <w:color w:val="auto"/>
                <w:sz w:val="21"/>
                <w:szCs w:val="21"/>
                <w:highlight w:val="none"/>
                <w:lang w:val="en-US" w:eastAsia="zh-CN"/>
              </w:rPr>
              <w:t>污染物</w:t>
            </w:r>
            <w:r>
              <w:rPr>
                <w:rFonts w:hint="eastAsia" w:ascii="宋体" w:hAnsi="宋体" w:eastAsia="宋体" w:cs="宋体"/>
                <w:color w:val="auto"/>
                <w:sz w:val="21"/>
                <w:szCs w:val="21"/>
                <w:highlight w:val="none"/>
              </w:rPr>
              <w:t>类别</w:t>
            </w:r>
          </w:p>
        </w:tc>
        <w:tc>
          <w:tcPr>
            <w:tcW w:w="6064" w:type="dxa"/>
            <w:noWrap w:val="0"/>
            <w:vAlign w:val="top"/>
          </w:tcPr>
          <w:p w14:paraId="743E90A9">
            <w:pPr>
              <w:adjustRightInd w:val="0"/>
              <w:ind w:firstLine="420" w:firstLineChars="200"/>
              <w:jc w:val="both"/>
              <w:rPr>
                <w:rFonts w:ascii="宋体" w:cs="宋体"/>
                <w:color w:val="auto"/>
                <w:szCs w:val="21"/>
              </w:rPr>
            </w:pPr>
            <w:r>
              <w:rPr>
                <w:rFonts w:hint="eastAsia" w:ascii="宋体" w:hAnsi="宋体" w:eastAsia="宋体" w:cs="宋体"/>
                <w:color w:val="auto"/>
                <w:sz w:val="21"/>
                <w:szCs w:val="21"/>
                <w:highlight w:val="none"/>
                <w:lang w:val="en-US" w:eastAsia="zh-CN"/>
              </w:rPr>
              <w:t>一般废气、废水、固体废物、噪声、畜禽养殖废水</w:t>
            </w:r>
          </w:p>
        </w:tc>
        <w:tc>
          <w:tcPr>
            <w:tcW w:w="1275" w:type="dxa"/>
            <w:noWrap w:val="0"/>
            <w:vAlign w:val="center"/>
          </w:tcPr>
          <w:p w14:paraId="7B48235B">
            <w:pPr>
              <w:jc w:val="center"/>
              <w:rPr>
                <w:rFonts w:hint="eastAsia" w:ascii="宋体" w:cs="宋体"/>
                <w:color w:val="auto"/>
                <w:szCs w:val="21"/>
              </w:rPr>
            </w:pPr>
            <w:r>
              <w:rPr>
                <w:rFonts w:hint="eastAsia" w:ascii="宋体" w:hAnsi="宋体" w:eastAsia="宋体" w:cs="宋体"/>
                <w:color w:val="auto"/>
                <w:sz w:val="21"/>
                <w:szCs w:val="21"/>
                <w:highlight w:val="none"/>
              </w:rPr>
              <w:t>1</w:t>
            </w:r>
          </w:p>
        </w:tc>
      </w:tr>
      <w:tr w14:paraId="3B6D6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09" w:type="dxa"/>
            <w:vMerge w:val="continue"/>
            <w:noWrap w:val="0"/>
            <w:vAlign w:val="center"/>
          </w:tcPr>
          <w:p w14:paraId="776BA25E">
            <w:pPr>
              <w:jc w:val="center"/>
              <w:rPr>
                <w:color w:val="auto"/>
              </w:rPr>
            </w:pPr>
          </w:p>
        </w:tc>
        <w:tc>
          <w:tcPr>
            <w:tcW w:w="6064" w:type="dxa"/>
            <w:noWrap w:val="0"/>
            <w:vAlign w:val="top"/>
          </w:tcPr>
          <w:p w14:paraId="4F59EADF">
            <w:pPr>
              <w:adjustRightInd w:val="0"/>
              <w:ind w:firstLine="420" w:firstLineChars="200"/>
              <w:jc w:val="both"/>
              <w:rPr>
                <w:rFonts w:ascii="宋体" w:cs="宋体"/>
                <w:color w:val="auto"/>
                <w:szCs w:val="21"/>
              </w:rPr>
            </w:pPr>
            <w:r>
              <w:rPr>
                <w:rFonts w:hint="eastAsia" w:ascii="宋体" w:hAnsi="宋体" w:eastAsia="宋体" w:cs="宋体"/>
                <w:color w:val="auto"/>
                <w:sz w:val="21"/>
                <w:szCs w:val="21"/>
                <w:highlight w:val="none"/>
              </w:rPr>
              <w:t>火电、钢铁、石化、水泥、炼焦、有色、化工废气/医疗废水</w:t>
            </w:r>
          </w:p>
        </w:tc>
        <w:tc>
          <w:tcPr>
            <w:tcW w:w="1275" w:type="dxa"/>
            <w:noWrap w:val="0"/>
            <w:vAlign w:val="center"/>
          </w:tcPr>
          <w:p w14:paraId="5F8CEB0D">
            <w:pPr>
              <w:jc w:val="center"/>
              <w:rPr>
                <w:rFonts w:hint="eastAsia" w:ascii="宋体" w:cs="宋体"/>
                <w:color w:val="auto"/>
                <w:szCs w:val="21"/>
              </w:rPr>
            </w:pPr>
            <w:r>
              <w:rPr>
                <w:rFonts w:hint="eastAsia" w:ascii="宋体" w:hAnsi="宋体" w:eastAsia="宋体" w:cs="宋体"/>
                <w:color w:val="auto"/>
                <w:sz w:val="21"/>
                <w:szCs w:val="21"/>
                <w:highlight w:val="none"/>
                <w:lang w:val="en-US" w:eastAsia="zh-CN"/>
              </w:rPr>
              <w:t>3</w:t>
            </w:r>
          </w:p>
        </w:tc>
      </w:tr>
      <w:tr w14:paraId="25699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09" w:type="dxa"/>
            <w:vMerge w:val="continue"/>
            <w:noWrap w:val="0"/>
            <w:vAlign w:val="center"/>
          </w:tcPr>
          <w:p w14:paraId="496A9CFF">
            <w:pPr>
              <w:jc w:val="center"/>
              <w:rPr>
                <w:color w:val="auto"/>
              </w:rPr>
            </w:pPr>
          </w:p>
        </w:tc>
        <w:tc>
          <w:tcPr>
            <w:tcW w:w="6064" w:type="dxa"/>
            <w:noWrap w:val="0"/>
            <w:vAlign w:val="top"/>
          </w:tcPr>
          <w:p w14:paraId="18E05A7E">
            <w:pPr>
              <w:adjustRightInd w:val="0"/>
              <w:ind w:firstLine="420" w:firstLineChars="200"/>
              <w:jc w:val="both"/>
              <w:rPr>
                <w:rFonts w:hint="eastAsia" w:ascii="宋体" w:cs="宋体"/>
                <w:color w:val="auto"/>
                <w:szCs w:val="21"/>
              </w:rPr>
            </w:pPr>
            <w:r>
              <w:rPr>
                <w:rFonts w:hint="eastAsia" w:ascii="宋体" w:hAnsi="宋体" w:eastAsia="宋体" w:cs="宋体"/>
                <w:color w:val="auto"/>
                <w:sz w:val="21"/>
                <w:szCs w:val="21"/>
                <w:highlight w:val="none"/>
              </w:rPr>
              <w:t>含有毒有害物质的废气、废水／含一类污染物或重金属、病原体、放射性物质的废水／危险废物</w:t>
            </w:r>
          </w:p>
        </w:tc>
        <w:tc>
          <w:tcPr>
            <w:tcW w:w="1275" w:type="dxa"/>
            <w:noWrap w:val="0"/>
            <w:vAlign w:val="center"/>
          </w:tcPr>
          <w:p w14:paraId="22B7BA2E">
            <w:pPr>
              <w:jc w:val="center"/>
              <w:rPr>
                <w:rFonts w:hint="eastAsia" w:ascii="宋体" w:cs="宋体"/>
                <w:color w:val="auto"/>
                <w:szCs w:val="21"/>
              </w:rPr>
            </w:pPr>
            <w:r>
              <w:rPr>
                <w:rFonts w:hint="eastAsia" w:ascii="宋体" w:hAnsi="宋体" w:eastAsia="宋体" w:cs="宋体"/>
                <w:color w:val="auto"/>
                <w:sz w:val="21"/>
                <w:szCs w:val="21"/>
                <w:highlight w:val="none"/>
                <w:lang w:val="en-US" w:eastAsia="zh-CN"/>
              </w:rPr>
              <w:t>5</w:t>
            </w:r>
          </w:p>
        </w:tc>
      </w:tr>
    </w:tbl>
    <w:p w14:paraId="6B9A00B2">
      <w:pPr>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br w:type="page"/>
      </w:r>
    </w:p>
    <w:tbl>
      <w:tblPr>
        <w:tblStyle w:val="8"/>
        <w:tblW w:w="505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26"/>
        <w:gridCol w:w="6130"/>
        <w:gridCol w:w="1290"/>
      </w:tblGrid>
      <w:tr w14:paraId="1E21A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9048" w:type="dxa"/>
            <w:gridSpan w:val="3"/>
            <w:noWrap w:val="0"/>
            <w:vAlign w:val="center"/>
          </w:tcPr>
          <w:p w14:paraId="1B63B5AE">
            <w:pPr>
              <w:jc w:val="center"/>
              <w:rPr>
                <w:rFonts w:hint="eastAsia" w:ascii="宋体" w:cs="宋体"/>
                <w:color w:val="auto"/>
                <w:szCs w:val="21"/>
              </w:rPr>
            </w:pPr>
            <w:r>
              <w:rPr>
                <w:rFonts w:hint="eastAsia" w:ascii="宋体" w:hAnsi="宋体" w:eastAsia="宋体" w:cs="宋体"/>
                <w:bCs/>
                <w:color w:val="auto"/>
                <w:sz w:val="21"/>
                <w:szCs w:val="21"/>
                <w:highlight w:val="none"/>
                <w:lang w:eastAsia="zh-CN"/>
              </w:rPr>
              <w:t>（十三）其他类</w:t>
            </w:r>
          </w:p>
        </w:tc>
      </w:tr>
      <w:tr w14:paraId="5B38F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1627" w:type="dxa"/>
            <w:noWrap w:val="0"/>
            <w:vAlign w:val="center"/>
          </w:tcPr>
          <w:p w14:paraId="76B20FA1">
            <w:pPr>
              <w:jc w:val="center"/>
              <w:rPr>
                <w:rFonts w:hint="eastAsia" w:ascii="宋体" w:cs="宋体"/>
                <w:color w:val="auto"/>
                <w:szCs w:val="21"/>
              </w:rPr>
            </w:pPr>
            <w:r>
              <w:rPr>
                <w:rFonts w:hint="eastAsia" w:ascii="宋体" w:cs="宋体"/>
                <w:color w:val="auto"/>
                <w:szCs w:val="21"/>
              </w:rPr>
              <w:t>序号</w:t>
            </w:r>
          </w:p>
        </w:tc>
        <w:tc>
          <w:tcPr>
            <w:tcW w:w="7421" w:type="dxa"/>
            <w:gridSpan w:val="2"/>
            <w:noWrap w:val="0"/>
            <w:vAlign w:val="center"/>
          </w:tcPr>
          <w:p w14:paraId="30E44F09">
            <w:pPr>
              <w:jc w:val="center"/>
              <w:rPr>
                <w:rFonts w:hint="eastAsia" w:ascii="宋体" w:eastAsia="宋体" w:cs="宋体"/>
                <w:color w:val="auto"/>
                <w:szCs w:val="21"/>
                <w:lang w:val="en-US" w:eastAsia="zh-CN"/>
              </w:rPr>
            </w:pPr>
            <w:r>
              <w:rPr>
                <w:rFonts w:hint="eastAsia" w:ascii="宋体" w:cs="宋体"/>
                <w:color w:val="auto"/>
                <w:szCs w:val="21"/>
              </w:rPr>
              <w:t>1</w:t>
            </w:r>
            <w:r>
              <w:rPr>
                <w:rFonts w:hint="eastAsia" w:ascii="宋体" w:cs="宋体"/>
                <w:color w:val="auto"/>
                <w:szCs w:val="21"/>
                <w:lang w:val="en-US" w:eastAsia="zh-CN"/>
              </w:rPr>
              <w:t>6</w:t>
            </w:r>
          </w:p>
        </w:tc>
      </w:tr>
      <w:tr w14:paraId="54654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27" w:type="dxa"/>
            <w:noWrap w:val="0"/>
            <w:vAlign w:val="center"/>
          </w:tcPr>
          <w:p w14:paraId="7B4E77F7">
            <w:pPr>
              <w:jc w:val="center"/>
              <w:rPr>
                <w:rFonts w:hint="eastAsia" w:ascii="宋体" w:cs="宋体"/>
                <w:color w:val="auto"/>
                <w:szCs w:val="21"/>
              </w:rPr>
            </w:pPr>
            <w:r>
              <w:rPr>
                <w:rFonts w:hint="eastAsia" w:ascii="宋体" w:cs="宋体"/>
                <w:color w:val="auto"/>
                <w:szCs w:val="21"/>
              </w:rPr>
              <w:t>违法行为</w:t>
            </w:r>
          </w:p>
        </w:tc>
        <w:tc>
          <w:tcPr>
            <w:tcW w:w="7421" w:type="dxa"/>
            <w:gridSpan w:val="2"/>
            <w:noWrap w:val="0"/>
            <w:vAlign w:val="center"/>
          </w:tcPr>
          <w:p w14:paraId="63F94028">
            <w:pPr>
              <w:adjustRightInd w:val="0"/>
              <w:ind w:firstLine="420" w:firstLineChars="200"/>
              <w:jc w:val="both"/>
              <w:rPr>
                <w:rFonts w:hint="eastAsia" w:ascii="宋体" w:cs="宋体"/>
                <w:color w:val="auto"/>
                <w:szCs w:val="21"/>
              </w:rPr>
            </w:pPr>
            <w:r>
              <w:rPr>
                <w:rFonts w:ascii="宋体" w:hAnsi="宋体"/>
                <w:color w:val="auto"/>
              </w:rPr>
              <w:t>排污单位未将验收备案、比对监测、校准维护、设施故障以及处理记录等自动监控管理台账资料上传至自动监控信息管理平台的</w:t>
            </w:r>
          </w:p>
        </w:tc>
      </w:tr>
      <w:tr w14:paraId="5F481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1627" w:type="dxa"/>
            <w:noWrap w:val="0"/>
            <w:vAlign w:val="center"/>
          </w:tcPr>
          <w:p w14:paraId="194C1DB0">
            <w:pPr>
              <w:jc w:val="center"/>
              <w:rPr>
                <w:rFonts w:hint="eastAsia" w:ascii="宋体" w:cs="宋体"/>
                <w:color w:val="auto"/>
                <w:szCs w:val="21"/>
              </w:rPr>
            </w:pPr>
            <w:r>
              <w:rPr>
                <w:rFonts w:hint="eastAsia" w:ascii="宋体" w:cs="宋体"/>
                <w:color w:val="auto"/>
                <w:szCs w:val="21"/>
              </w:rPr>
              <w:t>违反条款</w:t>
            </w:r>
          </w:p>
        </w:tc>
        <w:tc>
          <w:tcPr>
            <w:tcW w:w="7421" w:type="dxa"/>
            <w:gridSpan w:val="2"/>
            <w:noWrap w:val="0"/>
            <w:vAlign w:val="center"/>
          </w:tcPr>
          <w:p w14:paraId="2E8E4FBC">
            <w:pPr>
              <w:adjustRightInd w:val="0"/>
              <w:ind w:firstLine="420" w:firstLineChars="200"/>
              <w:jc w:val="both"/>
              <w:rPr>
                <w:rFonts w:hint="eastAsia" w:ascii="宋体" w:cs="宋体"/>
                <w:color w:val="auto"/>
                <w:szCs w:val="21"/>
              </w:rPr>
            </w:pPr>
            <w:r>
              <w:rPr>
                <w:rFonts w:hint="eastAsia" w:ascii="宋体" w:cs="宋体"/>
                <w:color w:val="auto"/>
                <w:szCs w:val="21"/>
              </w:rPr>
              <w:t>《</w:t>
            </w:r>
            <w:r>
              <w:rPr>
                <w:rFonts w:hint="eastAsia" w:ascii="宋体" w:cs="宋体"/>
                <w:color w:val="auto"/>
                <w:szCs w:val="21"/>
              </w:rPr>
              <w:fldChar w:fldCharType="begin"/>
            </w:r>
            <w:r>
              <w:rPr>
                <w:rFonts w:hint="eastAsia" w:ascii="宋体" w:cs="宋体"/>
                <w:color w:val="auto"/>
                <w:szCs w:val="21"/>
              </w:rPr>
              <w:instrText xml:space="preserve"> HYPERLINK  "https://alphalawyer.cn/ilawregu-search/api/v1/lawregu/redict/697db819c6e263dfcc8bd1b65dac55ff"</w:instrText>
            </w:r>
            <w:r>
              <w:rPr>
                <w:rFonts w:hint="eastAsia" w:ascii="宋体" w:cs="宋体"/>
                <w:color w:val="auto"/>
                <w:szCs w:val="21"/>
              </w:rPr>
              <w:fldChar w:fldCharType="separate"/>
            </w:r>
            <w:r>
              <w:rPr>
                <w:rFonts w:hint="eastAsia" w:ascii="宋体" w:cs="宋体"/>
                <w:color w:val="auto"/>
                <w:szCs w:val="21"/>
              </w:rPr>
              <w:t>福建省固定污染源自动监控管理办法</w:t>
            </w:r>
            <w:r>
              <w:rPr>
                <w:rFonts w:hint="eastAsia" w:ascii="宋体" w:cs="宋体"/>
                <w:color w:val="auto"/>
                <w:szCs w:val="21"/>
              </w:rPr>
              <w:fldChar w:fldCharType="end"/>
            </w:r>
            <w:r>
              <w:rPr>
                <w:rFonts w:hint="eastAsia" w:ascii="宋体" w:cs="宋体"/>
                <w:color w:val="auto"/>
                <w:szCs w:val="21"/>
              </w:rPr>
              <w:t>》第二十二条</w:t>
            </w:r>
            <w:r>
              <w:rPr>
                <w:rFonts w:hint="eastAsia" w:ascii="宋体" w:cs="宋体"/>
                <w:color w:val="auto"/>
                <w:szCs w:val="21"/>
                <w:lang w:val="en-US" w:eastAsia="zh-CN"/>
              </w:rPr>
              <w:t xml:space="preserve"> </w:t>
            </w:r>
            <w:r>
              <w:rPr>
                <w:rFonts w:hint="eastAsia" w:ascii="宋体" w:cs="宋体"/>
                <w:color w:val="auto"/>
                <w:szCs w:val="21"/>
              </w:rPr>
              <w:t>排污单位或者其委托的第三方运行维护单位应当按照国家和本省有关规定，将验收备案、比对监测、校准维护、设施故障以及处理记录等自动监控管理台账资料上传至自动监控信息管理平台，并确保记录信息的完整、真实。</w:t>
            </w:r>
          </w:p>
          <w:p w14:paraId="057395C2">
            <w:pPr>
              <w:adjustRightInd w:val="0"/>
              <w:ind w:firstLine="420" w:firstLineChars="200"/>
              <w:jc w:val="both"/>
              <w:rPr>
                <w:rFonts w:hint="eastAsia" w:ascii="宋体" w:cs="宋体"/>
                <w:color w:val="auto"/>
                <w:szCs w:val="21"/>
              </w:rPr>
            </w:pPr>
            <w:r>
              <w:rPr>
                <w:rFonts w:hint="eastAsia" w:ascii="宋体" w:cs="宋体"/>
                <w:color w:val="auto"/>
                <w:szCs w:val="21"/>
              </w:rPr>
              <w:t>自动监控管理台账资料保存期限不得少于5年。</w:t>
            </w:r>
          </w:p>
        </w:tc>
      </w:tr>
      <w:tr w14:paraId="30785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27" w:type="dxa"/>
            <w:noWrap w:val="0"/>
            <w:vAlign w:val="center"/>
          </w:tcPr>
          <w:p w14:paraId="71084802">
            <w:pPr>
              <w:jc w:val="center"/>
              <w:rPr>
                <w:rFonts w:hint="eastAsia" w:ascii="宋体" w:cs="宋体"/>
                <w:color w:val="auto"/>
                <w:szCs w:val="21"/>
              </w:rPr>
            </w:pPr>
            <w:r>
              <w:rPr>
                <w:rFonts w:hint="eastAsia" w:ascii="宋体" w:cs="宋体"/>
                <w:color w:val="auto"/>
                <w:szCs w:val="21"/>
              </w:rPr>
              <w:t>处罚依据</w:t>
            </w:r>
          </w:p>
        </w:tc>
        <w:tc>
          <w:tcPr>
            <w:tcW w:w="7421" w:type="dxa"/>
            <w:gridSpan w:val="2"/>
            <w:noWrap w:val="0"/>
            <w:vAlign w:val="center"/>
          </w:tcPr>
          <w:p w14:paraId="3319A165">
            <w:pPr>
              <w:adjustRightInd w:val="0"/>
              <w:ind w:firstLine="420" w:firstLineChars="200"/>
              <w:jc w:val="both"/>
              <w:rPr>
                <w:rFonts w:hint="eastAsia" w:ascii="宋体" w:cs="宋体"/>
                <w:color w:val="auto"/>
                <w:szCs w:val="21"/>
              </w:rPr>
            </w:pPr>
            <w:r>
              <w:rPr>
                <w:rFonts w:hint="eastAsia" w:ascii="宋体" w:cs="宋体"/>
                <w:color w:val="auto"/>
                <w:szCs w:val="21"/>
              </w:rPr>
              <w:t>《</w:t>
            </w:r>
            <w:r>
              <w:rPr>
                <w:rFonts w:hint="eastAsia" w:ascii="宋体" w:cs="宋体"/>
                <w:color w:val="auto"/>
                <w:szCs w:val="21"/>
              </w:rPr>
              <w:fldChar w:fldCharType="begin"/>
            </w:r>
            <w:r>
              <w:rPr>
                <w:rFonts w:hint="eastAsia" w:ascii="宋体" w:cs="宋体"/>
                <w:color w:val="auto"/>
                <w:szCs w:val="21"/>
              </w:rPr>
              <w:instrText xml:space="preserve"> HYPERLINK  "https://alphalawyer.cn/ilawregu-search/api/v1/lawregu/redict/697db819c6e263dfcc8bd1b65dac55ff"</w:instrText>
            </w:r>
            <w:r>
              <w:rPr>
                <w:rFonts w:hint="eastAsia" w:ascii="宋体" w:cs="宋体"/>
                <w:color w:val="auto"/>
                <w:szCs w:val="21"/>
              </w:rPr>
              <w:fldChar w:fldCharType="separate"/>
            </w:r>
            <w:r>
              <w:rPr>
                <w:rFonts w:hint="eastAsia" w:ascii="宋体" w:cs="宋体"/>
                <w:color w:val="auto"/>
                <w:szCs w:val="21"/>
              </w:rPr>
              <w:t>福建省固定污染源自动监控管理办法</w:t>
            </w:r>
            <w:r>
              <w:rPr>
                <w:rFonts w:hint="eastAsia" w:ascii="宋体" w:cs="宋体"/>
                <w:color w:val="auto"/>
                <w:szCs w:val="21"/>
              </w:rPr>
              <w:fldChar w:fldCharType="end"/>
            </w:r>
            <w:r>
              <w:rPr>
                <w:rFonts w:hint="eastAsia" w:ascii="宋体" w:cs="宋体"/>
                <w:color w:val="auto"/>
                <w:szCs w:val="21"/>
              </w:rPr>
              <w:t>》第三十二条</w:t>
            </w:r>
            <w:r>
              <w:rPr>
                <w:rFonts w:hint="eastAsia" w:ascii="宋体" w:cs="宋体"/>
                <w:color w:val="auto"/>
                <w:szCs w:val="21"/>
                <w:lang w:val="en-US" w:eastAsia="zh-CN"/>
              </w:rPr>
              <w:t xml:space="preserve"> </w:t>
            </w:r>
            <w:r>
              <w:rPr>
                <w:rFonts w:hint="eastAsia" w:ascii="宋体" w:cs="宋体"/>
                <w:color w:val="auto"/>
                <w:szCs w:val="21"/>
              </w:rPr>
              <w:t>违反本办法第二十二条规定，排污单位未将验收备案、比对监测、校准维护、设施故障以及处理记录等自动监控管理台账资料上传至自动监控信息管理平台的，由生态环境主管部门责令改正，处每次5000元以上2万元以下罚款，并予以通报批评。</w:t>
            </w:r>
          </w:p>
        </w:tc>
      </w:tr>
      <w:tr w14:paraId="00F8D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1627" w:type="dxa"/>
            <w:noWrap w:val="0"/>
            <w:vAlign w:val="center"/>
          </w:tcPr>
          <w:p w14:paraId="37892621">
            <w:pPr>
              <w:jc w:val="center"/>
              <w:rPr>
                <w:rFonts w:hint="eastAsia" w:ascii="宋体" w:cs="宋体"/>
                <w:color w:val="auto"/>
                <w:szCs w:val="21"/>
              </w:rPr>
            </w:pPr>
            <w:r>
              <w:rPr>
                <w:rFonts w:hint="eastAsia" w:ascii="宋体" w:cs="宋体"/>
                <w:color w:val="auto"/>
                <w:szCs w:val="21"/>
              </w:rPr>
              <w:t>裁量因素</w:t>
            </w:r>
          </w:p>
        </w:tc>
        <w:tc>
          <w:tcPr>
            <w:tcW w:w="6131" w:type="dxa"/>
            <w:noWrap w:val="0"/>
            <w:vAlign w:val="center"/>
          </w:tcPr>
          <w:p w14:paraId="332EF089">
            <w:pPr>
              <w:jc w:val="center"/>
              <w:rPr>
                <w:rFonts w:hint="eastAsia" w:ascii="宋体" w:cs="宋体"/>
                <w:color w:val="auto"/>
                <w:szCs w:val="21"/>
              </w:rPr>
            </w:pPr>
            <w:r>
              <w:rPr>
                <w:rFonts w:hint="eastAsia" w:ascii="宋体" w:cs="宋体"/>
                <w:color w:val="auto"/>
                <w:szCs w:val="21"/>
              </w:rPr>
              <w:t>裁量因子</w:t>
            </w:r>
          </w:p>
        </w:tc>
        <w:tc>
          <w:tcPr>
            <w:tcW w:w="1290" w:type="dxa"/>
            <w:noWrap w:val="0"/>
            <w:vAlign w:val="center"/>
          </w:tcPr>
          <w:p w14:paraId="14614F8F">
            <w:pPr>
              <w:jc w:val="center"/>
              <w:rPr>
                <w:rFonts w:hint="eastAsia" w:ascii="宋体" w:cs="宋体"/>
                <w:color w:val="auto"/>
                <w:szCs w:val="21"/>
              </w:rPr>
            </w:pPr>
            <w:r>
              <w:rPr>
                <w:rFonts w:hint="eastAsia" w:ascii="宋体" w:cs="宋体"/>
                <w:color w:val="auto"/>
                <w:szCs w:val="21"/>
              </w:rPr>
              <w:t>裁量等级</w:t>
            </w:r>
          </w:p>
        </w:tc>
      </w:tr>
      <w:tr w14:paraId="04F33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27" w:type="dxa"/>
            <w:vMerge w:val="restart"/>
            <w:noWrap w:val="0"/>
            <w:vAlign w:val="center"/>
          </w:tcPr>
          <w:p w14:paraId="5215F08E">
            <w:pPr>
              <w:jc w:val="center"/>
              <w:rPr>
                <w:rFonts w:hint="eastAsia" w:ascii="宋体" w:cs="宋体"/>
                <w:color w:val="auto"/>
                <w:szCs w:val="21"/>
              </w:rPr>
            </w:pPr>
            <w:r>
              <w:rPr>
                <w:rFonts w:hint="eastAsia" w:ascii="宋体" w:hAnsi="宋体" w:cs="宋体"/>
                <w:color w:val="auto"/>
                <w:sz w:val="21"/>
                <w:szCs w:val="21"/>
                <w:highlight w:val="none"/>
                <w:lang w:eastAsia="zh-CN"/>
              </w:rPr>
              <w:t>违法行为发生地</w:t>
            </w:r>
          </w:p>
        </w:tc>
        <w:tc>
          <w:tcPr>
            <w:tcW w:w="6131" w:type="dxa"/>
            <w:noWrap w:val="0"/>
            <w:vAlign w:val="top"/>
          </w:tcPr>
          <w:p w14:paraId="62D49785">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cs="宋体"/>
                <w:color w:val="auto"/>
                <w:szCs w:val="21"/>
              </w:rPr>
            </w:pPr>
            <w:r>
              <w:rPr>
                <w:rFonts w:hint="eastAsia" w:ascii="宋体" w:hAnsi="宋体" w:cs="宋体"/>
                <w:color w:val="auto"/>
                <w:sz w:val="21"/>
                <w:szCs w:val="21"/>
                <w:highlight w:val="none"/>
                <w:lang w:eastAsia="zh-CN"/>
              </w:rPr>
              <w:t>二类环境空气功能区</w:t>
            </w:r>
            <w:r>
              <w:rPr>
                <w:rFonts w:hint="eastAsia" w:ascii="宋体" w:hAnsi="宋体" w:eastAsia="宋体" w:cs="宋体"/>
                <w:color w:val="auto"/>
                <w:sz w:val="21"/>
                <w:szCs w:val="21"/>
                <w:highlight w:val="none"/>
              </w:rPr>
              <w:t>（工业区和农村地区）</w:t>
            </w:r>
            <w:r>
              <w:rPr>
                <w:rFonts w:hint="eastAsia" w:ascii="宋体" w:hAnsi="宋体" w:cs="宋体"/>
                <w:color w:val="auto"/>
                <w:sz w:val="21"/>
                <w:szCs w:val="21"/>
                <w:highlight w:val="none"/>
                <w:lang w:val="en-US" w:eastAsia="zh-CN"/>
              </w:rPr>
              <w:t>/V类水体（或者污水集中处理设施）/</w:t>
            </w:r>
            <w:r>
              <w:rPr>
                <w:rFonts w:hint="eastAsia" w:ascii="宋体" w:hAnsi="宋体" w:eastAsia="宋体" w:cs="宋体"/>
                <w:color w:val="auto"/>
                <w:sz w:val="21"/>
                <w:szCs w:val="21"/>
                <w:highlight w:val="none"/>
              </w:rPr>
              <w:t>4类声环境功能区</w:t>
            </w:r>
            <w:r>
              <w:rPr>
                <w:rFonts w:hint="eastAsia" w:ascii="宋体" w:hAnsi="宋体" w:eastAsia="宋体" w:cs="宋体"/>
                <w:color w:val="auto"/>
                <w:sz w:val="21"/>
                <w:szCs w:val="21"/>
                <w:highlight w:val="none"/>
                <w:lang w:val="en-US" w:eastAsia="zh-CN"/>
              </w:rPr>
              <w:t>/第四类海水水质的区域</w:t>
            </w:r>
          </w:p>
        </w:tc>
        <w:tc>
          <w:tcPr>
            <w:tcW w:w="1290" w:type="dxa"/>
            <w:noWrap w:val="0"/>
            <w:vAlign w:val="center"/>
          </w:tcPr>
          <w:p w14:paraId="4DCA5F12">
            <w:pPr>
              <w:jc w:val="center"/>
              <w:rPr>
                <w:rFonts w:hint="eastAsia" w:ascii="宋体" w:cs="宋体"/>
                <w:color w:val="auto"/>
                <w:szCs w:val="21"/>
              </w:rPr>
            </w:pPr>
            <w:r>
              <w:rPr>
                <w:rFonts w:hint="eastAsia" w:ascii="宋体" w:hAnsi="宋体" w:eastAsia="宋体" w:cs="宋体"/>
                <w:color w:val="auto"/>
                <w:sz w:val="21"/>
                <w:szCs w:val="21"/>
                <w:highlight w:val="none"/>
              </w:rPr>
              <w:t>1</w:t>
            </w:r>
          </w:p>
        </w:tc>
      </w:tr>
      <w:tr w14:paraId="44098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27" w:type="dxa"/>
            <w:vMerge w:val="continue"/>
            <w:noWrap w:val="0"/>
            <w:vAlign w:val="center"/>
          </w:tcPr>
          <w:p w14:paraId="301DFE43">
            <w:pPr>
              <w:jc w:val="center"/>
              <w:rPr>
                <w:color w:val="auto"/>
              </w:rPr>
            </w:pPr>
          </w:p>
        </w:tc>
        <w:tc>
          <w:tcPr>
            <w:tcW w:w="6131" w:type="dxa"/>
            <w:noWrap w:val="0"/>
            <w:vAlign w:val="top"/>
          </w:tcPr>
          <w:p w14:paraId="61050B8F">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cs="宋体"/>
                <w:color w:val="auto"/>
                <w:szCs w:val="21"/>
              </w:rPr>
            </w:pPr>
            <w:r>
              <w:rPr>
                <w:rFonts w:hint="eastAsia" w:ascii="宋体" w:hAnsi="宋体" w:cs="宋体"/>
                <w:color w:val="auto"/>
                <w:sz w:val="21"/>
                <w:szCs w:val="21"/>
                <w:highlight w:val="none"/>
                <w:lang w:eastAsia="zh-CN"/>
              </w:rPr>
              <w:t>Ⅳ类</w:t>
            </w:r>
            <w:r>
              <w:rPr>
                <w:rFonts w:hint="eastAsia" w:ascii="宋体" w:hAnsi="宋体" w:eastAsia="宋体" w:cs="宋体"/>
                <w:color w:val="auto"/>
                <w:sz w:val="21"/>
                <w:szCs w:val="21"/>
                <w:highlight w:val="none"/>
              </w:rPr>
              <w:t>水体</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3类声环境功能区</w:t>
            </w:r>
            <w:r>
              <w:rPr>
                <w:rFonts w:hint="eastAsia" w:ascii="宋体" w:hAnsi="宋体" w:eastAsia="宋体" w:cs="宋体"/>
                <w:color w:val="auto"/>
                <w:sz w:val="21"/>
                <w:szCs w:val="21"/>
                <w:highlight w:val="none"/>
                <w:lang w:val="en-US" w:eastAsia="zh-CN"/>
              </w:rPr>
              <w:t>/第三类海水水质的区域</w:t>
            </w:r>
          </w:p>
        </w:tc>
        <w:tc>
          <w:tcPr>
            <w:tcW w:w="1290" w:type="dxa"/>
            <w:noWrap w:val="0"/>
            <w:vAlign w:val="center"/>
          </w:tcPr>
          <w:p w14:paraId="0DB5AB67">
            <w:pPr>
              <w:jc w:val="center"/>
              <w:rPr>
                <w:rFonts w:hint="eastAsia" w:ascii="宋体" w:cs="宋体"/>
                <w:color w:val="auto"/>
                <w:szCs w:val="21"/>
              </w:rPr>
            </w:pPr>
            <w:r>
              <w:rPr>
                <w:rFonts w:hint="eastAsia" w:ascii="宋体" w:hAnsi="宋体" w:eastAsia="宋体" w:cs="宋体"/>
                <w:color w:val="auto"/>
                <w:sz w:val="21"/>
                <w:szCs w:val="21"/>
                <w:highlight w:val="none"/>
              </w:rPr>
              <w:t>2</w:t>
            </w:r>
          </w:p>
        </w:tc>
      </w:tr>
      <w:tr w14:paraId="774BA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27" w:type="dxa"/>
            <w:vMerge w:val="continue"/>
            <w:noWrap w:val="0"/>
            <w:vAlign w:val="center"/>
          </w:tcPr>
          <w:p w14:paraId="441B9E2E">
            <w:pPr>
              <w:jc w:val="center"/>
              <w:rPr>
                <w:color w:val="auto"/>
              </w:rPr>
            </w:pPr>
          </w:p>
        </w:tc>
        <w:tc>
          <w:tcPr>
            <w:tcW w:w="6131" w:type="dxa"/>
            <w:noWrap w:val="0"/>
            <w:vAlign w:val="top"/>
          </w:tcPr>
          <w:p w14:paraId="5190C978">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cs="宋体"/>
                <w:color w:val="auto"/>
                <w:szCs w:val="21"/>
              </w:rPr>
            </w:pPr>
            <w:r>
              <w:rPr>
                <w:rFonts w:hint="eastAsia" w:ascii="宋体" w:hAnsi="宋体" w:cs="宋体"/>
                <w:color w:val="auto"/>
                <w:sz w:val="21"/>
                <w:szCs w:val="21"/>
                <w:highlight w:val="none"/>
                <w:lang w:eastAsia="zh-CN"/>
              </w:rPr>
              <w:t>二类环境空气功能区</w:t>
            </w:r>
            <w:r>
              <w:rPr>
                <w:rFonts w:hint="eastAsia" w:ascii="宋体" w:hAnsi="宋体" w:eastAsia="宋体" w:cs="宋体"/>
                <w:color w:val="auto"/>
                <w:sz w:val="21"/>
                <w:szCs w:val="21"/>
                <w:highlight w:val="none"/>
                <w:lang w:eastAsia="zh-CN"/>
              </w:rPr>
              <w:t>（居民区、商业交通居民混合区、文化区）/</w:t>
            </w:r>
            <w:r>
              <w:rPr>
                <w:rFonts w:hint="eastAsia" w:ascii="宋体" w:hAnsi="宋体" w:cs="宋体"/>
                <w:color w:val="auto"/>
                <w:sz w:val="21"/>
                <w:szCs w:val="21"/>
                <w:highlight w:val="none"/>
                <w:lang w:eastAsia="zh-CN"/>
              </w:rPr>
              <w:t>Ⅲ类</w:t>
            </w:r>
            <w:r>
              <w:rPr>
                <w:rFonts w:hint="eastAsia" w:ascii="宋体" w:hAnsi="宋体" w:eastAsia="宋体" w:cs="宋体"/>
                <w:color w:val="auto"/>
                <w:sz w:val="21"/>
                <w:szCs w:val="21"/>
                <w:highlight w:val="none"/>
                <w:lang w:eastAsia="zh-CN"/>
              </w:rPr>
              <w:t>水体/2类声环境功能区/饮用水水源准保护区/自然保护地外的生态保护红线区域</w:t>
            </w:r>
          </w:p>
        </w:tc>
        <w:tc>
          <w:tcPr>
            <w:tcW w:w="1290" w:type="dxa"/>
            <w:noWrap w:val="0"/>
            <w:vAlign w:val="center"/>
          </w:tcPr>
          <w:p w14:paraId="1FFA68EB">
            <w:pPr>
              <w:jc w:val="center"/>
              <w:rPr>
                <w:rFonts w:hint="eastAsia" w:ascii="宋体" w:cs="宋体"/>
                <w:color w:val="auto"/>
                <w:szCs w:val="21"/>
              </w:rPr>
            </w:pPr>
            <w:r>
              <w:rPr>
                <w:rFonts w:hint="eastAsia" w:ascii="宋体" w:hAnsi="宋体" w:eastAsia="宋体" w:cs="宋体"/>
                <w:color w:val="auto"/>
                <w:sz w:val="21"/>
                <w:szCs w:val="21"/>
                <w:highlight w:val="none"/>
              </w:rPr>
              <w:t>3</w:t>
            </w:r>
          </w:p>
        </w:tc>
      </w:tr>
      <w:tr w14:paraId="3F32D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1627" w:type="dxa"/>
            <w:vMerge w:val="continue"/>
            <w:noWrap w:val="0"/>
            <w:vAlign w:val="center"/>
          </w:tcPr>
          <w:p w14:paraId="71D37341">
            <w:pPr>
              <w:jc w:val="center"/>
              <w:rPr>
                <w:color w:val="auto"/>
              </w:rPr>
            </w:pPr>
          </w:p>
        </w:tc>
        <w:tc>
          <w:tcPr>
            <w:tcW w:w="6131" w:type="dxa"/>
            <w:noWrap w:val="0"/>
            <w:vAlign w:val="top"/>
          </w:tcPr>
          <w:p w14:paraId="57CCB6DD">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cs="宋体"/>
                <w:color w:val="auto"/>
                <w:szCs w:val="21"/>
              </w:rPr>
            </w:pPr>
            <w:r>
              <w:rPr>
                <w:rFonts w:hint="eastAsia" w:ascii="宋体" w:hAnsi="宋体" w:cs="宋体"/>
                <w:color w:val="auto"/>
                <w:sz w:val="21"/>
                <w:szCs w:val="21"/>
                <w:highlight w:val="none"/>
                <w:lang w:eastAsia="zh-CN"/>
              </w:rPr>
              <w:t>Ⅱ类</w:t>
            </w:r>
            <w:r>
              <w:rPr>
                <w:rFonts w:hint="eastAsia" w:ascii="宋体" w:hAnsi="宋体" w:eastAsia="宋体" w:cs="宋体"/>
                <w:color w:val="auto"/>
                <w:sz w:val="21"/>
                <w:szCs w:val="21"/>
                <w:highlight w:val="none"/>
              </w:rPr>
              <w:t>水体</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1类声环境功能区／自然保护地一般控制区</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饮用水水源二级保护区</w:t>
            </w:r>
            <w:r>
              <w:rPr>
                <w:rFonts w:hint="eastAsia" w:ascii="宋体" w:hAnsi="宋体" w:eastAsia="宋体" w:cs="宋体"/>
                <w:color w:val="auto"/>
                <w:sz w:val="21"/>
                <w:szCs w:val="21"/>
                <w:highlight w:val="none"/>
                <w:lang w:val="en-US" w:eastAsia="zh-CN"/>
              </w:rPr>
              <w:t>/第二类海水水质的区域</w:t>
            </w:r>
          </w:p>
        </w:tc>
        <w:tc>
          <w:tcPr>
            <w:tcW w:w="1290" w:type="dxa"/>
            <w:noWrap w:val="0"/>
            <w:vAlign w:val="center"/>
          </w:tcPr>
          <w:p w14:paraId="16B2BF5D">
            <w:pPr>
              <w:jc w:val="center"/>
              <w:rPr>
                <w:rFonts w:hint="eastAsia" w:ascii="宋体" w:cs="宋体"/>
                <w:color w:val="auto"/>
                <w:szCs w:val="21"/>
              </w:rPr>
            </w:pPr>
            <w:r>
              <w:rPr>
                <w:rFonts w:hint="eastAsia" w:ascii="宋体" w:hAnsi="宋体" w:eastAsia="宋体" w:cs="宋体"/>
                <w:color w:val="auto"/>
                <w:sz w:val="21"/>
                <w:szCs w:val="21"/>
                <w:highlight w:val="none"/>
              </w:rPr>
              <w:t>4</w:t>
            </w:r>
          </w:p>
        </w:tc>
      </w:tr>
      <w:tr w14:paraId="6BF89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1627" w:type="dxa"/>
            <w:vMerge w:val="continue"/>
            <w:noWrap w:val="0"/>
            <w:vAlign w:val="center"/>
          </w:tcPr>
          <w:p w14:paraId="4AD6FCC9">
            <w:pPr>
              <w:jc w:val="center"/>
              <w:rPr>
                <w:color w:val="auto"/>
              </w:rPr>
            </w:pPr>
          </w:p>
        </w:tc>
        <w:tc>
          <w:tcPr>
            <w:tcW w:w="6131" w:type="dxa"/>
            <w:noWrap w:val="0"/>
            <w:vAlign w:val="top"/>
          </w:tcPr>
          <w:p w14:paraId="1AF97412">
            <w:pPr>
              <w:keepNext w:val="0"/>
              <w:keepLines w:val="0"/>
              <w:pageBreakBefore w:val="0"/>
              <w:widowControl/>
              <w:kinsoku/>
              <w:wordWrap/>
              <w:overflowPunct/>
              <w:topLinePunct w:val="0"/>
              <w:autoSpaceDE/>
              <w:autoSpaceDN/>
              <w:bidi w:val="0"/>
              <w:adjustRightInd w:val="0"/>
              <w:snapToGrid w:val="0"/>
              <w:ind w:firstLine="420" w:firstLineChars="200"/>
              <w:jc w:val="both"/>
              <w:textAlignment w:val="auto"/>
              <w:rPr>
                <w:rFonts w:hint="eastAsia" w:ascii="宋体" w:cs="宋体"/>
                <w:color w:val="auto"/>
                <w:szCs w:val="21"/>
              </w:rPr>
            </w:pPr>
            <w:r>
              <w:rPr>
                <w:rFonts w:hint="eastAsia" w:ascii="宋体" w:hAnsi="宋体" w:cs="宋体"/>
                <w:color w:val="auto"/>
                <w:sz w:val="21"/>
                <w:szCs w:val="21"/>
                <w:highlight w:val="none"/>
                <w:lang w:eastAsia="zh-CN"/>
              </w:rPr>
              <w:t>一类环境空气功能区</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I类水体</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0类声环境功能区／自然保护地核心保护区</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饮用水水源一级保护区</w:t>
            </w:r>
            <w:r>
              <w:rPr>
                <w:rFonts w:hint="eastAsia" w:ascii="宋体" w:hAnsi="宋体" w:eastAsia="宋体" w:cs="宋体"/>
                <w:color w:val="auto"/>
                <w:sz w:val="21"/>
                <w:szCs w:val="21"/>
                <w:highlight w:val="none"/>
                <w:lang w:val="en-US" w:eastAsia="zh-CN"/>
              </w:rPr>
              <w:t>/第一类海水水质的区域</w:t>
            </w:r>
          </w:p>
        </w:tc>
        <w:tc>
          <w:tcPr>
            <w:tcW w:w="1290" w:type="dxa"/>
            <w:noWrap w:val="0"/>
            <w:vAlign w:val="center"/>
          </w:tcPr>
          <w:p w14:paraId="1138A7ED">
            <w:pPr>
              <w:jc w:val="center"/>
              <w:rPr>
                <w:rFonts w:hint="eastAsia" w:ascii="宋体" w:cs="宋体"/>
                <w:color w:val="auto"/>
                <w:szCs w:val="21"/>
              </w:rPr>
            </w:pPr>
            <w:r>
              <w:rPr>
                <w:rFonts w:hint="eastAsia" w:ascii="宋体" w:hAnsi="宋体" w:eastAsia="宋体" w:cs="宋体"/>
                <w:color w:val="auto"/>
                <w:sz w:val="21"/>
                <w:szCs w:val="21"/>
                <w:highlight w:val="none"/>
              </w:rPr>
              <w:t>5</w:t>
            </w:r>
          </w:p>
        </w:tc>
      </w:tr>
      <w:tr w14:paraId="1BCBA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1627" w:type="dxa"/>
            <w:vMerge w:val="restart"/>
            <w:noWrap w:val="0"/>
            <w:vAlign w:val="center"/>
          </w:tcPr>
          <w:p w14:paraId="35CE7898">
            <w:pPr>
              <w:jc w:val="center"/>
              <w:rPr>
                <w:color w:val="auto"/>
              </w:rPr>
            </w:pPr>
            <w:r>
              <w:rPr>
                <w:rFonts w:hint="eastAsia" w:ascii="宋体" w:hAnsi="宋体" w:eastAsia="宋体" w:cs="宋体"/>
                <w:color w:val="auto"/>
                <w:sz w:val="21"/>
                <w:szCs w:val="21"/>
                <w:highlight w:val="none"/>
                <w:lang w:val="en-US" w:eastAsia="zh-CN"/>
              </w:rPr>
              <w:t>污染物</w:t>
            </w:r>
            <w:r>
              <w:rPr>
                <w:rFonts w:hint="eastAsia" w:ascii="宋体" w:hAnsi="宋体" w:eastAsia="宋体" w:cs="宋体"/>
                <w:color w:val="auto"/>
                <w:sz w:val="21"/>
                <w:szCs w:val="21"/>
                <w:highlight w:val="none"/>
              </w:rPr>
              <w:t>类别</w:t>
            </w:r>
          </w:p>
        </w:tc>
        <w:tc>
          <w:tcPr>
            <w:tcW w:w="6131" w:type="dxa"/>
            <w:noWrap w:val="0"/>
            <w:vAlign w:val="top"/>
          </w:tcPr>
          <w:p w14:paraId="1258C7BC">
            <w:pPr>
              <w:adjustRightInd w:val="0"/>
              <w:ind w:firstLine="420" w:firstLineChars="200"/>
              <w:jc w:val="both"/>
              <w:rPr>
                <w:rFonts w:ascii="宋体" w:cs="宋体"/>
                <w:color w:val="auto"/>
                <w:szCs w:val="21"/>
              </w:rPr>
            </w:pPr>
            <w:r>
              <w:rPr>
                <w:rFonts w:hint="eastAsia" w:ascii="宋体" w:hAnsi="宋体" w:eastAsia="宋体" w:cs="宋体"/>
                <w:color w:val="auto"/>
                <w:sz w:val="21"/>
                <w:szCs w:val="21"/>
                <w:highlight w:val="none"/>
                <w:lang w:val="en-US" w:eastAsia="zh-CN"/>
              </w:rPr>
              <w:t>一般废气、废水、固体废物、噪声、畜禽养殖废水</w:t>
            </w:r>
          </w:p>
        </w:tc>
        <w:tc>
          <w:tcPr>
            <w:tcW w:w="1290" w:type="dxa"/>
            <w:noWrap w:val="0"/>
            <w:vAlign w:val="center"/>
          </w:tcPr>
          <w:p w14:paraId="11B66B70">
            <w:pPr>
              <w:jc w:val="center"/>
              <w:rPr>
                <w:rFonts w:hint="eastAsia" w:ascii="宋体" w:cs="宋体"/>
                <w:color w:val="auto"/>
                <w:szCs w:val="21"/>
              </w:rPr>
            </w:pPr>
            <w:r>
              <w:rPr>
                <w:rFonts w:hint="eastAsia" w:ascii="宋体" w:hAnsi="宋体" w:eastAsia="宋体" w:cs="宋体"/>
                <w:color w:val="auto"/>
                <w:sz w:val="21"/>
                <w:szCs w:val="21"/>
                <w:highlight w:val="none"/>
              </w:rPr>
              <w:t>1</w:t>
            </w:r>
          </w:p>
        </w:tc>
      </w:tr>
      <w:tr w14:paraId="3D1D0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27" w:type="dxa"/>
            <w:vMerge w:val="continue"/>
            <w:noWrap w:val="0"/>
            <w:vAlign w:val="center"/>
          </w:tcPr>
          <w:p w14:paraId="150E105F">
            <w:pPr>
              <w:jc w:val="center"/>
              <w:rPr>
                <w:color w:val="auto"/>
              </w:rPr>
            </w:pPr>
          </w:p>
        </w:tc>
        <w:tc>
          <w:tcPr>
            <w:tcW w:w="6131" w:type="dxa"/>
            <w:noWrap w:val="0"/>
            <w:vAlign w:val="top"/>
          </w:tcPr>
          <w:p w14:paraId="27B1E4E4">
            <w:pPr>
              <w:adjustRightInd w:val="0"/>
              <w:ind w:firstLine="420" w:firstLineChars="200"/>
              <w:jc w:val="both"/>
              <w:rPr>
                <w:rFonts w:ascii="宋体" w:cs="宋体"/>
                <w:color w:val="auto"/>
                <w:szCs w:val="21"/>
              </w:rPr>
            </w:pPr>
            <w:r>
              <w:rPr>
                <w:rFonts w:hint="eastAsia" w:ascii="宋体" w:hAnsi="宋体" w:eastAsia="宋体" w:cs="宋体"/>
                <w:color w:val="auto"/>
                <w:sz w:val="21"/>
                <w:szCs w:val="21"/>
                <w:highlight w:val="none"/>
              </w:rPr>
              <w:t>火电、钢铁、石化、水泥、炼焦、有色、化工废气/医疗废水</w:t>
            </w:r>
          </w:p>
        </w:tc>
        <w:tc>
          <w:tcPr>
            <w:tcW w:w="1290" w:type="dxa"/>
            <w:noWrap w:val="0"/>
            <w:vAlign w:val="center"/>
          </w:tcPr>
          <w:p w14:paraId="7E857B0D">
            <w:pPr>
              <w:jc w:val="center"/>
              <w:rPr>
                <w:rFonts w:hint="eastAsia" w:ascii="宋体" w:cs="宋体"/>
                <w:color w:val="auto"/>
                <w:szCs w:val="21"/>
              </w:rPr>
            </w:pPr>
            <w:r>
              <w:rPr>
                <w:rFonts w:hint="eastAsia" w:ascii="宋体" w:hAnsi="宋体" w:eastAsia="宋体" w:cs="宋体"/>
                <w:color w:val="auto"/>
                <w:sz w:val="21"/>
                <w:szCs w:val="21"/>
                <w:highlight w:val="none"/>
                <w:lang w:val="en-US" w:eastAsia="zh-CN"/>
              </w:rPr>
              <w:t>3</w:t>
            </w:r>
          </w:p>
        </w:tc>
      </w:tr>
      <w:tr w14:paraId="2EA67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1627" w:type="dxa"/>
            <w:vMerge w:val="continue"/>
            <w:noWrap w:val="0"/>
            <w:vAlign w:val="center"/>
          </w:tcPr>
          <w:p w14:paraId="455E0EBD">
            <w:pPr>
              <w:jc w:val="center"/>
              <w:rPr>
                <w:color w:val="auto"/>
              </w:rPr>
            </w:pPr>
          </w:p>
        </w:tc>
        <w:tc>
          <w:tcPr>
            <w:tcW w:w="6131" w:type="dxa"/>
            <w:noWrap w:val="0"/>
            <w:vAlign w:val="top"/>
          </w:tcPr>
          <w:p w14:paraId="01FD970C">
            <w:pPr>
              <w:adjustRightInd w:val="0"/>
              <w:ind w:firstLine="420" w:firstLineChars="200"/>
              <w:jc w:val="both"/>
              <w:rPr>
                <w:rFonts w:hint="eastAsia" w:ascii="宋体" w:cs="宋体"/>
                <w:color w:val="auto"/>
                <w:szCs w:val="21"/>
              </w:rPr>
            </w:pPr>
            <w:r>
              <w:rPr>
                <w:rFonts w:hint="eastAsia" w:ascii="宋体" w:hAnsi="宋体" w:eastAsia="宋体" w:cs="宋体"/>
                <w:color w:val="auto"/>
                <w:sz w:val="21"/>
                <w:szCs w:val="21"/>
                <w:highlight w:val="none"/>
              </w:rPr>
              <w:t>含有毒有害物质的废气、废水／含一类污染物或重金属、病原体、放射性物质的废水／危险废物</w:t>
            </w:r>
          </w:p>
        </w:tc>
        <w:tc>
          <w:tcPr>
            <w:tcW w:w="1290" w:type="dxa"/>
            <w:noWrap w:val="0"/>
            <w:vAlign w:val="center"/>
          </w:tcPr>
          <w:p w14:paraId="211886AA">
            <w:pPr>
              <w:jc w:val="center"/>
              <w:rPr>
                <w:rFonts w:hint="eastAsia" w:ascii="宋体" w:cs="宋体"/>
                <w:color w:val="auto"/>
                <w:szCs w:val="21"/>
              </w:rPr>
            </w:pPr>
            <w:r>
              <w:rPr>
                <w:rFonts w:hint="eastAsia" w:ascii="宋体" w:hAnsi="宋体" w:eastAsia="宋体" w:cs="宋体"/>
                <w:color w:val="auto"/>
                <w:sz w:val="21"/>
                <w:szCs w:val="21"/>
                <w:highlight w:val="none"/>
                <w:lang w:val="en-US" w:eastAsia="zh-CN"/>
              </w:rPr>
              <w:t>5</w:t>
            </w:r>
          </w:p>
        </w:tc>
      </w:tr>
    </w:tbl>
    <w:p w14:paraId="12F7E85B">
      <w:pPr>
        <w:rPr>
          <w:rFonts w:hint="default" w:ascii="仿宋_GB2312" w:hAnsi="仿宋_GB2312" w:eastAsia="仿宋_GB2312" w:cs="仿宋_GB2312"/>
          <w:sz w:val="32"/>
          <w:szCs w:val="32"/>
          <w:highlight w:val="none"/>
          <w:lang w:val="en-US" w:eastAsia="zh-CN"/>
        </w:rPr>
        <w:sectPr>
          <w:pgSz w:w="11906" w:h="16838"/>
          <w:pgMar w:top="2098" w:right="1587" w:bottom="2098" w:left="1587" w:header="851" w:footer="1417" w:gutter="0"/>
          <w:pgNumType w:fmt="decimal"/>
          <w:cols w:space="0" w:num="1"/>
          <w:rtlGutter w:val="0"/>
          <w:docGrid w:type="lines" w:linePitch="312" w:charSpace="0"/>
        </w:sectPr>
      </w:pPr>
    </w:p>
    <w:p w14:paraId="4A69F629">
      <w:pPr>
        <w:jc w:val="left"/>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rPr>
        <w:t>附件</w:t>
      </w:r>
      <w:r>
        <w:rPr>
          <w:rFonts w:hint="eastAsia" w:ascii="黑体" w:hAnsi="黑体" w:eastAsia="黑体" w:cs="黑体"/>
          <w:color w:val="auto"/>
          <w:sz w:val="32"/>
          <w:szCs w:val="32"/>
          <w:lang w:val="en-US" w:eastAsia="zh-CN"/>
        </w:rPr>
        <w:t>2</w:t>
      </w:r>
    </w:p>
    <w:p w14:paraId="783794D9">
      <w:pPr>
        <w:keepNext w:val="0"/>
        <w:keepLines w:val="0"/>
        <w:pageBreakBefore w:val="0"/>
        <w:widowControl w:val="0"/>
        <w:kinsoku/>
        <w:wordWrap/>
        <w:overflowPunct/>
        <w:topLinePunct w:val="0"/>
        <w:autoSpaceDE/>
        <w:autoSpaceDN/>
        <w:bidi w:val="0"/>
        <w:adjustRightInd w:val="0"/>
        <w:snapToGrid w:val="0"/>
        <w:spacing w:line="300" w:lineRule="auto"/>
        <w:jc w:val="center"/>
        <w:textAlignment w:val="auto"/>
        <w:rPr>
          <w:rFonts w:hint="eastAsia" w:ascii="方正小标宋简体" w:hAnsi="方正小标宋简体" w:eastAsia="方正小标宋简体" w:cs="方正小标宋简体"/>
          <w:b w:val="0"/>
          <w:bCs w:val="0"/>
          <w:color w:val="auto"/>
          <w:sz w:val="44"/>
          <w:szCs w:val="44"/>
        </w:rPr>
      </w:pPr>
      <w:r>
        <w:rPr>
          <w:rFonts w:hint="eastAsia" w:ascii="方正小标宋简体" w:hAnsi="方正小标宋简体" w:eastAsia="方正小标宋简体" w:cs="方正小标宋简体"/>
          <w:b w:val="0"/>
          <w:bCs w:val="0"/>
          <w:color w:val="auto"/>
          <w:sz w:val="44"/>
          <w:szCs w:val="44"/>
        </w:rPr>
        <w:t>福建省生态环境系统包容审慎监管执法清单</w:t>
      </w:r>
    </w:p>
    <w:tbl>
      <w:tblPr>
        <w:tblStyle w:val="8"/>
        <w:tblW w:w="14088" w:type="dxa"/>
        <w:jc w:val="center"/>
        <w:tblLayout w:type="fixed"/>
        <w:tblCellMar>
          <w:top w:w="15" w:type="dxa"/>
          <w:left w:w="15" w:type="dxa"/>
          <w:bottom w:w="15" w:type="dxa"/>
          <w:right w:w="15" w:type="dxa"/>
        </w:tblCellMar>
      </w:tblPr>
      <w:tblGrid>
        <w:gridCol w:w="851"/>
        <w:gridCol w:w="1984"/>
        <w:gridCol w:w="2127"/>
        <w:gridCol w:w="3181"/>
        <w:gridCol w:w="4757"/>
        <w:gridCol w:w="1188"/>
      </w:tblGrid>
      <w:tr w14:paraId="39489913">
        <w:tblPrEx>
          <w:tblCellMar>
            <w:top w:w="15" w:type="dxa"/>
            <w:left w:w="15" w:type="dxa"/>
            <w:bottom w:w="15" w:type="dxa"/>
            <w:right w:w="15" w:type="dxa"/>
          </w:tblCellMar>
        </w:tblPrEx>
        <w:trPr>
          <w:trHeight w:val="492" w:hRule="atLeast"/>
          <w:jc w:val="center"/>
        </w:trPr>
        <w:tc>
          <w:tcPr>
            <w:tcW w:w="14088" w:type="dxa"/>
            <w:gridSpan w:val="6"/>
            <w:tcBorders>
              <w:top w:val="nil"/>
              <w:left w:val="nil"/>
              <w:bottom w:val="nil"/>
              <w:right w:val="nil"/>
            </w:tcBorders>
            <w:noWrap w:val="0"/>
            <w:vAlign w:val="center"/>
          </w:tcPr>
          <w:p w14:paraId="69622119">
            <w:pPr>
              <w:widowControl/>
              <w:jc w:val="center"/>
              <w:textAlignment w:val="center"/>
              <w:rPr>
                <w:rFonts w:hint="eastAsia" w:ascii="方正小标宋简体" w:eastAsia="方正小标宋简体" w:cs="方正小标宋简体"/>
                <w:color w:val="auto"/>
                <w:sz w:val="40"/>
                <w:szCs w:val="40"/>
              </w:rPr>
            </w:pPr>
            <w:r>
              <w:rPr>
                <w:rFonts w:hint="eastAsia" w:ascii="方正小标宋简体" w:eastAsia="方正小标宋简体" w:cs="方正小标宋简体"/>
                <w:color w:val="auto"/>
                <w:kern w:val="0"/>
                <w:sz w:val="40"/>
                <w:szCs w:val="40"/>
              </w:rPr>
              <w:t>不予处罚事项清单</w:t>
            </w:r>
          </w:p>
        </w:tc>
      </w:tr>
      <w:tr w14:paraId="44CD691B">
        <w:tblPrEx>
          <w:tblCellMar>
            <w:top w:w="15" w:type="dxa"/>
            <w:left w:w="15" w:type="dxa"/>
            <w:bottom w:w="15" w:type="dxa"/>
            <w:right w:w="15" w:type="dxa"/>
          </w:tblCellMar>
        </w:tblPrEx>
        <w:trPr>
          <w:trHeight w:val="505" w:hRule="atLeast"/>
          <w:jc w:val="center"/>
        </w:trPr>
        <w:tc>
          <w:tcPr>
            <w:tcW w:w="14088" w:type="dxa"/>
            <w:gridSpan w:val="6"/>
            <w:tcBorders>
              <w:top w:val="single" w:color="000000" w:sz="12" w:space="0"/>
              <w:left w:val="single" w:color="000000" w:sz="12" w:space="0"/>
              <w:bottom w:val="single" w:color="000000" w:sz="4" w:space="0"/>
              <w:right w:val="single" w:color="000000" w:sz="12" w:space="0"/>
            </w:tcBorders>
            <w:noWrap w:val="0"/>
            <w:vAlign w:val="center"/>
          </w:tcPr>
          <w:p w14:paraId="2E7CB94D">
            <w:pPr>
              <w:widowControl/>
              <w:textAlignment w:val="center"/>
              <w:rPr>
                <w:rFonts w:hint="eastAsia" w:ascii="黑体" w:eastAsia="黑体" w:cs="黑体"/>
                <w:color w:val="auto"/>
                <w:sz w:val="24"/>
                <w:szCs w:val="24"/>
              </w:rPr>
            </w:pPr>
            <w:r>
              <w:rPr>
                <w:rFonts w:hint="eastAsia" w:ascii="黑体" w:eastAsia="黑体" w:cs="黑体"/>
                <w:color w:val="auto"/>
                <w:sz w:val="24"/>
                <w:szCs w:val="24"/>
                <w:lang w:val="en-US" w:eastAsia="zh-CN"/>
              </w:rPr>
              <w:t>一</w:t>
            </w:r>
            <w:r>
              <w:rPr>
                <w:rFonts w:hint="eastAsia" w:ascii="黑体" w:eastAsia="黑体" w:cs="黑体"/>
                <w:color w:val="auto"/>
                <w:sz w:val="24"/>
                <w:szCs w:val="24"/>
              </w:rPr>
              <w:t>、下列违法行为轻微并及时改正，没有造成危害后果的，不予行政处罚</w:t>
            </w:r>
          </w:p>
        </w:tc>
      </w:tr>
      <w:tr w14:paraId="79A585CA">
        <w:tblPrEx>
          <w:tblCellMar>
            <w:top w:w="15" w:type="dxa"/>
            <w:left w:w="15" w:type="dxa"/>
            <w:bottom w:w="15" w:type="dxa"/>
            <w:right w:w="15" w:type="dxa"/>
          </w:tblCellMar>
        </w:tblPrEx>
        <w:trPr>
          <w:trHeight w:val="410" w:hRule="atLeast"/>
          <w:jc w:val="center"/>
        </w:trPr>
        <w:tc>
          <w:tcPr>
            <w:tcW w:w="851" w:type="dxa"/>
            <w:tcBorders>
              <w:top w:val="single" w:color="000000" w:sz="4" w:space="0"/>
              <w:left w:val="single" w:color="000000" w:sz="12" w:space="0"/>
              <w:bottom w:val="single" w:color="000000" w:sz="4" w:space="0"/>
              <w:right w:val="single" w:color="000000" w:sz="4" w:space="0"/>
            </w:tcBorders>
            <w:noWrap w:val="0"/>
            <w:vAlign w:val="center"/>
          </w:tcPr>
          <w:p w14:paraId="4A19254E">
            <w:pPr>
              <w:widowControl/>
              <w:jc w:val="center"/>
              <w:textAlignment w:val="center"/>
              <w:rPr>
                <w:rFonts w:hint="eastAsia" w:ascii="宋体" w:hAnsi="Calibri" w:cs="宋体"/>
                <w:color w:val="auto"/>
                <w:kern w:val="2"/>
                <w:sz w:val="22"/>
                <w:szCs w:val="21"/>
                <w:lang w:val="en-US" w:eastAsia="zh-CN" w:bidi="ar-SA"/>
              </w:rPr>
            </w:pPr>
            <w:r>
              <w:rPr>
                <w:rFonts w:hint="eastAsia" w:ascii="黑体" w:eastAsia="黑体"/>
                <w:color w:val="auto"/>
                <w:kern w:val="0"/>
                <w:sz w:val="24"/>
                <w:szCs w:val="24"/>
              </w:rPr>
              <w:t>序号</w:t>
            </w:r>
          </w:p>
        </w:tc>
        <w:tc>
          <w:tcPr>
            <w:tcW w:w="1984" w:type="dxa"/>
            <w:tcBorders>
              <w:top w:val="single" w:color="000000" w:sz="4" w:space="0"/>
              <w:left w:val="single" w:color="000000" w:sz="4" w:space="0"/>
              <w:bottom w:val="single" w:color="000000" w:sz="4" w:space="0"/>
              <w:right w:val="single" w:color="000000" w:sz="4" w:space="0"/>
            </w:tcBorders>
            <w:noWrap w:val="0"/>
            <w:vAlign w:val="center"/>
          </w:tcPr>
          <w:p w14:paraId="2987E43B">
            <w:pPr>
              <w:widowControl/>
              <w:jc w:val="center"/>
              <w:textAlignment w:val="center"/>
              <w:rPr>
                <w:rFonts w:hint="eastAsia" w:ascii="宋体" w:hAnsi="Calibri" w:cs="宋体"/>
                <w:color w:val="auto"/>
                <w:kern w:val="2"/>
                <w:sz w:val="22"/>
                <w:szCs w:val="21"/>
                <w:lang w:val="en-US" w:eastAsia="zh-CN" w:bidi="ar-SA"/>
              </w:rPr>
            </w:pPr>
            <w:r>
              <w:rPr>
                <w:rFonts w:hint="eastAsia" w:ascii="黑体" w:eastAsia="黑体"/>
                <w:color w:val="auto"/>
                <w:kern w:val="0"/>
                <w:sz w:val="24"/>
                <w:szCs w:val="24"/>
              </w:rPr>
              <w:t>行政处罚事项</w:t>
            </w:r>
          </w:p>
        </w:tc>
        <w:tc>
          <w:tcPr>
            <w:tcW w:w="2127" w:type="dxa"/>
            <w:tcBorders>
              <w:top w:val="single" w:color="000000" w:sz="4" w:space="0"/>
              <w:left w:val="single" w:color="000000" w:sz="4" w:space="0"/>
              <w:bottom w:val="single" w:color="000000" w:sz="4" w:space="0"/>
              <w:right w:val="single" w:color="auto" w:sz="4" w:space="0"/>
            </w:tcBorders>
            <w:noWrap w:val="0"/>
            <w:vAlign w:val="center"/>
          </w:tcPr>
          <w:p w14:paraId="78B498DD">
            <w:pPr>
              <w:widowControl/>
              <w:jc w:val="center"/>
              <w:textAlignment w:val="center"/>
              <w:rPr>
                <w:rFonts w:hint="eastAsia" w:ascii="宋体" w:hAnsi="Calibri" w:cs="宋体"/>
                <w:color w:val="auto"/>
                <w:kern w:val="2"/>
                <w:sz w:val="22"/>
                <w:szCs w:val="21"/>
                <w:lang w:val="en-US" w:eastAsia="zh-CN" w:bidi="ar-SA"/>
              </w:rPr>
            </w:pPr>
            <w:r>
              <w:rPr>
                <w:rFonts w:hint="eastAsia" w:ascii="黑体" w:eastAsia="黑体"/>
                <w:color w:val="auto"/>
                <w:sz w:val="24"/>
                <w:szCs w:val="24"/>
              </w:rPr>
              <w:t>实施机关</w:t>
            </w:r>
          </w:p>
        </w:tc>
        <w:tc>
          <w:tcPr>
            <w:tcW w:w="3181" w:type="dxa"/>
            <w:tcBorders>
              <w:top w:val="single" w:color="000000" w:sz="4" w:space="0"/>
              <w:left w:val="single" w:color="auto" w:sz="4" w:space="0"/>
              <w:bottom w:val="single" w:color="000000" w:sz="4" w:space="0"/>
              <w:right w:val="single" w:color="000000" w:sz="4" w:space="0"/>
            </w:tcBorders>
            <w:noWrap w:val="0"/>
            <w:vAlign w:val="center"/>
          </w:tcPr>
          <w:p w14:paraId="1C6AA23F">
            <w:pPr>
              <w:jc w:val="center"/>
              <w:textAlignment w:val="center"/>
              <w:rPr>
                <w:rFonts w:hint="eastAsia" w:ascii="宋体" w:hAnsi="Calibri" w:cs="宋体"/>
                <w:color w:val="auto"/>
                <w:kern w:val="2"/>
                <w:sz w:val="22"/>
                <w:szCs w:val="21"/>
                <w:lang w:val="en-US" w:eastAsia="zh-CN" w:bidi="ar-SA"/>
              </w:rPr>
            </w:pPr>
            <w:r>
              <w:rPr>
                <w:rFonts w:hint="eastAsia" w:ascii="黑体" w:eastAsia="黑体"/>
                <w:color w:val="auto"/>
                <w:kern w:val="0"/>
                <w:sz w:val="24"/>
                <w:szCs w:val="24"/>
              </w:rPr>
              <w:t>不予处罚适用条件</w:t>
            </w:r>
          </w:p>
        </w:tc>
        <w:tc>
          <w:tcPr>
            <w:tcW w:w="4757" w:type="dxa"/>
            <w:tcBorders>
              <w:top w:val="single" w:color="000000" w:sz="4" w:space="0"/>
              <w:left w:val="single" w:color="000000" w:sz="4" w:space="0"/>
              <w:bottom w:val="single" w:color="000000" w:sz="4" w:space="0"/>
              <w:right w:val="single" w:color="000000" w:sz="4" w:space="0"/>
            </w:tcBorders>
            <w:noWrap w:val="0"/>
            <w:vAlign w:val="center"/>
          </w:tcPr>
          <w:p w14:paraId="106C4B43">
            <w:pPr>
              <w:widowControl/>
              <w:jc w:val="center"/>
              <w:textAlignment w:val="center"/>
              <w:rPr>
                <w:rFonts w:hint="eastAsia" w:ascii="宋体" w:hAnsi="Calibri" w:cs="宋体"/>
                <w:color w:val="auto"/>
                <w:kern w:val="2"/>
                <w:sz w:val="22"/>
                <w:szCs w:val="21"/>
                <w:lang w:val="en-US" w:eastAsia="zh-CN" w:bidi="ar-SA"/>
              </w:rPr>
            </w:pPr>
            <w:r>
              <w:rPr>
                <w:rFonts w:hint="eastAsia" w:ascii="黑体" w:eastAsia="黑体"/>
                <w:color w:val="auto"/>
                <w:kern w:val="0"/>
                <w:sz w:val="24"/>
                <w:szCs w:val="24"/>
              </w:rPr>
              <w:t>法律依据</w:t>
            </w:r>
          </w:p>
        </w:tc>
        <w:tc>
          <w:tcPr>
            <w:tcW w:w="1188" w:type="dxa"/>
            <w:tcBorders>
              <w:top w:val="single" w:color="000000" w:sz="4" w:space="0"/>
              <w:left w:val="single" w:color="000000" w:sz="4" w:space="0"/>
              <w:bottom w:val="single" w:color="000000" w:sz="4" w:space="0"/>
              <w:right w:val="single" w:color="000000" w:sz="12" w:space="0"/>
            </w:tcBorders>
            <w:noWrap w:val="0"/>
            <w:vAlign w:val="center"/>
          </w:tcPr>
          <w:p w14:paraId="6013227A">
            <w:pPr>
              <w:widowControl/>
              <w:jc w:val="center"/>
              <w:textAlignment w:val="center"/>
              <w:rPr>
                <w:rFonts w:hint="eastAsia" w:ascii="宋体" w:hAnsi="Calibri" w:cs="宋体"/>
                <w:color w:val="auto"/>
                <w:kern w:val="2"/>
                <w:sz w:val="22"/>
                <w:szCs w:val="21"/>
                <w:lang w:val="en-US" w:eastAsia="zh-CN" w:bidi="ar-SA"/>
              </w:rPr>
            </w:pPr>
            <w:r>
              <w:rPr>
                <w:rFonts w:hint="eastAsia" w:ascii="黑体" w:eastAsia="黑体"/>
                <w:color w:val="auto"/>
                <w:kern w:val="0"/>
                <w:sz w:val="24"/>
                <w:szCs w:val="24"/>
              </w:rPr>
              <w:t>备注</w:t>
            </w:r>
          </w:p>
        </w:tc>
      </w:tr>
      <w:tr w14:paraId="3B1157C8">
        <w:tblPrEx>
          <w:tblCellMar>
            <w:top w:w="15" w:type="dxa"/>
            <w:left w:w="15" w:type="dxa"/>
            <w:bottom w:w="15" w:type="dxa"/>
            <w:right w:w="15" w:type="dxa"/>
          </w:tblCellMar>
        </w:tblPrEx>
        <w:trPr>
          <w:trHeight w:val="410" w:hRule="atLeast"/>
          <w:jc w:val="center"/>
        </w:trPr>
        <w:tc>
          <w:tcPr>
            <w:tcW w:w="851" w:type="dxa"/>
            <w:tcBorders>
              <w:top w:val="single" w:color="000000" w:sz="4" w:space="0"/>
              <w:left w:val="single" w:color="000000" w:sz="12" w:space="0"/>
              <w:bottom w:val="single" w:color="000000" w:sz="4" w:space="0"/>
              <w:right w:val="single" w:color="000000" w:sz="4" w:space="0"/>
            </w:tcBorders>
            <w:noWrap w:val="0"/>
            <w:vAlign w:val="center"/>
          </w:tcPr>
          <w:p w14:paraId="292C2D5D">
            <w:pPr>
              <w:widowControl/>
              <w:jc w:val="center"/>
              <w:textAlignment w:val="auto"/>
              <w:rPr>
                <w:rFonts w:hint="eastAsia" w:ascii="仿宋_GB2312" w:eastAsia="仿宋_GB2312" w:cs="宋体"/>
                <w:color w:val="auto"/>
                <w:kern w:val="2"/>
                <w:sz w:val="22"/>
                <w:szCs w:val="22"/>
                <w:lang w:val="en-US" w:eastAsia="zh-CN"/>
              </w:rPr>
            </w:pPr>
            <w:r>
              <w:rPr>
                <w:rFonts w:hint="eastAsia" w:ascii="仿宋_GB2312" w:eastAsia="仿宋_GB2312" w:cs="宋体"/>
                <w:color w:val="auto"/>
                <w:kern w:val="2"/>
                <w:sz w:val="22"/>
                <w:szCs w:val="22"/>
                <w:lang w:val="en-US" w:eastAsia="zh-CN"/>
              </w:rPr>
              <w:t>1</w:t>
            </w:r>
          </w:p>
        </w:tc>
        <w:tc>
          <w:tcPr>
            <w:tcW w:w="1984" w:type="dxa"/>
            <w:tcBorders>
              <w:top w:val="single" w:color="000000" w:sz="4" w:space="0"/>
              <w:left w:val="single" w:color="000000" w:sz="4" w:space="0"/>
              <w:bottom w:val="single" w:color="000000" w:sz="4" w:space="0"/>
              <w:right w:val="single" w:color="000000" w:sz="4" w:space="0"/>
            </w:tcBorders>
            <w:noWrap w:val="0"/>
            <w:vAlign w:val="center"/>
          </w:tcPr>
          <w:p w14:paraId="473B21D6">
            <w:pPr>
              <w:rPr>
                <w:rFonts w:hint="default" w:ascii="仿宋_GB2312" w:eastAsia="仿宋_GB2312" w:cs="宋体"/>
                <w:color w:val="auto"/>
                <w:sz w:val="22"/>
                <w:szCs w:val="22"/>
                <w:lang w:val="en-US" w:eastAsia="zh-CN"/>
              </w:rPr>
            </w:pPr>
            <w:r>
              <w:rPr>
                <w:rFonts w:hint="eastAsia" w:ascii="仿宋_GB2312" w:eastAsia="仿宋_GB2312" w:cs="宋体"/>
                <w:color w:val="auto"/>
                <w:sz w:val="22"/>
                <w:szCs w:val="22"/>
              </w:rPr>
              <w:t>对生产、销售、使用放射性同位素与射线装置的单位未按规定时间报送安全和防护状况年度评估报告</w:t>
            </w:r>
            <w:r>
              <w:rPr>
                <w:rFonts w:hint="eastAsia" w:ascii="仿宋_GB2312" w:eastAsia="仿宋_GB2312" w:cs="宋体"/>
                <w:color w:val="auto"/>
                <w:sz w:val="22"/>
                <w:szCs w:val="22"/>
                <w:lang w:eastAsia="zh-CN"/>
              </w:rPr>
              <w:t>的</w:t>
            </w:r>
            <w:r>
              <w:rPr>
                <w:rFonts w:hint="eastAsia" w:ascii="仿宋_GB2312" w:eastAsia="仿宋_GB2312" w:cs="宋体"/>
                <w:color w:val="auto"/>
                <w:sz w:val="22"/>
                <w:szCs w:val="22"/>
                <w:lang w:val="en-US" w:eastAsia="zh-CN"/>
              </w:rPr>
              <w:t>处罚</w:t>
            </w:r>
          </w:p>
        </w:tc>
        <w:tc>
          <w:tcPr>
            <w:tcW w:w="2127" w:type="dxa"/>
            <w:tcBorders>
              <w:top w:val="single" w:color="000000" w:sz="4" w:space="0"/>
              <w:left w:val="single" w:color="000000" w:sz="4" w:space="0"/>
              <w:bottom w:val="single" w:color="000000" w:sz="4" w:space="0"/>
              <w:right w:val="single" w:color="auto" w:sz="4" w:space="0"/>
            </w:tcBorders>
            <w:noWrap w:val="0"/>
            <w:vAlign w:val="center"/>
          </w:tcPr>
          <w:p w14:paraId="45511A51">
            <w:pPr>
              <w:rPr>
                <w:rFonts w:hint="eastAsia" w:ascii="仿宋_GB2312" w:eastAsia="仿宋_GB2312" w:cs="宋体"/>
                <w:color w:val="auto"/>
                <w:sz w:val="22"/>
                <w:szCs w:val="22"/>
              </w:rPr>
            </w:pPr>
            <w:r>
              <w:rPr>
                <w:rFonts w:hint="eastAsia" w:ascii="仿宋_GB2312" w:eastAsia="仿宋_GB2312" w:cs="宋体"/>
                <w:color w:val="auto"/>
                <w:sz w:val="22"/>
                <w:szCs w:val="22"/>
              </w:rPr>
              <w:t>省、设区的市人民政府生态环境主管部门</w:t>
            </w:r>
          </w:p>
        </w:tc>
        <w:tc>
          <w:tcPr>
            <w:tcW w:w="3181" w:type="dxa"/>
            <w:tcBorders>
              <w:top w:val="single" w:color="000000" w:sz="4" w:space="0"/>
              <w:left w:val="single" w:color="auto" w:sz="4" w:space="0"/>
              <w:bottom w:val="single" w:color="000000" w:sz="4" w:space="0"/>
              <w:right w:val="single" w:color="000000" w:sz="4" w:space="0"/>
            </w:tcBorders>
            <w:noWrap w:val="0"/>
            <w:vAlign w:val="center"/>
          </w:tcPr>
          <w:p w14:paraId="30AABC28">
            <w:pPr>
              <w:rPr>
                <w:rFonts w:hint="eastAsia" w:ascii="仿宋_GB2312" w:eastAsia="仿宋_GB2312" w:cs="宋体"/>
                <w:color w:val="auto"/>
                <w:sz w:val="22"/>
                <w:szCs w:val="22"/>
              </w:rPr>
            </w:pPr>
            <w:r>
              <w:rPr>
                <w:rFonts w:hint="eastAsia" w:ascii="仿宋_GB2312" w:eastAsia="仿宋_GB2312" w:cs="宋体"/>
                <w:color w:val="auto"/>
                <w:sz w:val="22"/>
                <w:szCs w:val="22"/>
              </w:rPr>
              <w:t>未按规定时间报送安全和防护状况年度评估报告，逾期时间不超过30日，</w:t>
            </w:r>
            <w:r>
              <w:rPr>
                <w:rFonts w:hint="eastAsia" w:ascii="仿宋_GB2312" w:eastAsia="仿宋_GB2312" w:cs="宋体"/>
                <w:color w:val="auto"/>
                <w:sz w:val="22"/>
                <w:szCs w:val="22"/>
                <w:lang w:val="en-US" w:eastAsia="zh-CN"/>
              </w:rPr>
              <w:t>并</w:t>
            </w:r>
            <w:r>
              <w:rPr>
                <w:rFonts w:hint="eastAsia" w:ascii="仿宋_GB2312" w:eastAsia="仿宋_GB2312" w:cs="宋体"/>
                <w:color w:val="auto"/>
                <w:sz w:val="22"/>
                <w:szCs w:val="22"/>
              </w:rPr>
              <w:t>自责令改正书下达之日起5个工作日内完成整改的。</w:t>
            </w:r>
          </w:p>
        </w:tc>
        <w:tc>
          <w:tcPr>
            <w:tcW w:w="4757" w:type="dxa"/>
            <w:tcBorders>
              <w:top w:val="single" w:color="000000" w:sz="4" w:space="0"/>
              <w:left w:val="single" w:color="000000" w:sz="4" w:space="0"/>
              <w:bottom w:val="single" w:color="000000" w:sz="4" w:space="0"/>
              <w:right w:val="single" w:color="000000" w:sz="4" w:space="0"/>
            </w:tcBorders>
            <w:noWrap w:val="0"/>
            <w:vAlign w:val="center"/>
          </w:tcPr>
          <w:p w14:paraId="00C79841">
            <w:pPr>
              <w:ind w:firstLine="440" w:firstLineChars="200"/>
              <w:rPr>
                <w:rFonts w:ascii="仿宋_GB2312" w:eastAsia="仿宋_GB2312" w:cs="宋体"/>
                <w:color w:val="auto"/>
                <w:sz w:val="22"/>
                <w:szCs w:val="22"/>
              </w:rPr>
            </w:pPr>
            <w:r>
              <w:rPr>
                <w:rFonts w:hint="eastAsia" w:ascii="仿宋_GB2312" w:eastAsia="仿宋_GB2312" w:cs="宋体"/>
                <w:color w:val="auto"/>
                <w:sz w:val="22"/>
                <w:szCs w:val="22"/>
              </w:rPr>
              <w:t>《放射性同位素与射线装置安全和防护管理办法》</w:t>
            </w:r>
          </w:p>
          <w:p w14:paraId="6EAC7596">
            <w:pPr>
              <w:ind w:firstLine="440" w:firstLineChars="200"/>
              <w:rPr>
                <w:rFonts w:ascii="仿宋_GB2312" w:eastAsia="仿宋_GB2312" w:cs="宋体"/>
                <w:color w:val="auto"/>
                <w:sz w:val="22"/>
                <w:szCs w:val="22"/>
              </w:rPr>
            </w:pPr>
            <w:r>
              <w:rPr>
                <w:rFonts w:hint="eastAsia" w:ascii="仿宋_GB2312" w:eastAsia="仿宋_GB2312" w:cs="宋体"/>
                <w:color w:val="auto"/>
                <w:sz w:val="22"/>
                <w:szCs w:val="22"/>
              </w:rPr>
              <w:t>第十二条</w:t>
            </w:r>
            <w:r>
              <w:rPr>
                <w:rFonts w:hint="eastAsia" w:ascii="仿宋_GB2312" w:eastAsia="仿宋_GB2312" w:cs="宋体"/>
                <w:color w:val="auto"/>
                <w:sz w:val="22"/>
                <w:szCs w:val="22"/>
                <w:lang w:val="en-US" w:eastAsia="zh-CN"/>
              </w:rPr>
              <w:t xml:space="preserve">  </w:t>
            </w:r>
            <w:r>
              <w:rPr>
                <w:rFonts w:hint="eastAsia" w:ascii="仿宋_GB2312" w:eastAsia="仿宋_GB2312" w:cs="宋体"/>
                <w:color w:val="auto"/>
                <w:sz w:val="22"/>
                <w:szCs w:val="22"/>
              </w:rPr>
              <w:t>生产、销售、使用放射性同位素与射线装置的单位，应当对本单位的放射性同位素与射线装置的安全和防护状况进行年度评估，并于每年1月31日前向发证机关提交上一年度的评估报告。</w:t>
            </w:r>
          </w:p>
          <w:p w14:paraId="3DF8DAF4">
            <w:pPr>
              <w:ind w:firstLine="440" w:firstLineChars="200"/>
              <w:rPr>
                <w:color w:val="auto"/>
                <w:sz w:val="22"/>
                <w:szCs w:val="22"/>
              </w:rPr>
            </w:pPr>
            <w:r>
              <w:rPr>
                <w:rFonts w:hint="eastAsia" w:ascii="仿宋_GB2312" w:eastAsia="仿宋_GB2312" w:cs="宋体"/>
                <w:color w:val="auto"/>
                <w:sz w:val="22"/>
                <w:szCs w:val="22"/>
              </w:rPr>
              <w:t>第五十五条</w:t>
            </w:r>
            <w:r>
              <w:rPr>
                <w:rFonts w:hint="eastAsia" w:ascii="仿宋_GB2312" w:eastAsia="仿宋_GB2312" w:cs="宋体"/>
                <w:color w:val="auto"/>
                <w:sz w:val="22"/>
                <w:szCs w:val="22"/>
                <w:lang w:val="en-US" w:eastAsia="zh-CN"/>
              </w:rPr>
              <w:t xml:space="preserve">第二项 </w:t>
            </w:r>
            <w:r>
              <w:rPr>
                <w:rFonts w:hint="eastAsia" w:ascii="仿宋_GB2312" w:eastAsia="仿宋_GB2312" w:cs="宋体"/>
                <w:color w:val="auto"/>
                <w:sz w:val="22"/>
                <w:szCs w:val="22"/>
              </w:rPr>
              <w:t xml:space="preserve"> 违反本办法规定，生产、销售、使用放射性同位素与射线装置的单位有下列行为之一的，由原辐射安全许可证发证机关给予警告，责令限期改正；逾期不改正的，处一万元以上三万元以下的罚款：</w:t>
            </w:r>
          </w:p>
          <w:p w14:paraId="7FA2F9DA">
            <w:pPr>
              <w:ind w:firstLine="440" w:firstLineChars="200"/>
              <w:rPr>
                <w:rFonts w:hint="eastAsia" w:ascii="仿宋_GB2312" w:eastAsia="仿宋_GB2312" w:cs="宋体"/>
                <w:color w:val="auto"/>
                <w:sz w:val="22"/>
                <w:szCs w:val="22"/>
                <w:lang w:eastAsia="zh-CN"/>
              </w:rPr>
            </w:pPr>
            <w:r>
              <w:rPr>
                <w:rFonts w:hint="eastAsia" w:ascii="仿宋_GB2312" w:eastAsia="仿宋_GB2312" w:cs="宋体"/>
                <w:color w:val="auto"/>
                <w:sz w:val="22"/>
                <w:szCs w:val="22"/>
              </w:rPr>
              <w:t>（二）未按规定时间报送安全和防护状况年度评估报告的</w:t>
            </w:r>
            <w:r>
              <w:rPr>
                <w:rFonts w:hint="eastAsia" w:ascii="仿宋_GB2312" w:eastAsia="仿宋_GB2312" w:cs="宋体"/>
                <w:color w:val="auto"/>
                <w:sz w:val="22"/>
                <w:szCs w:val="22"/>
                <w:lang w:eastAsia="zh-CN"/>
              </w:rPr>
              <w:t>。</w:t>
            </w:r>
          </w:p>
        </w:tc>
        <w:tc>
          <w:tcPr>
            <w:tcW w:w="1188" w:type="dxa"/>
            <w:tcBorders>
              <w:top w:val="single" w:color="000000" w:sz="4" w:space="0"/>
              <w:left w:val="single" w:color="000000" w:sz="4" w:space="0"/>
              <w:bottom w:val="single" w:color="000000" w:sz="4" w:space="0"/>
              <w:right w:val="single" w:color="000000" w:sz="12" w:space="0"/>
            </w:tcBorders>
            <w:noWrap w:val="0"/>
            <w:vAlign w:val="center"/>
          </w:tcPr>
          <w:p w14:paraId="397EDFBC">
            <w:pPr>
              <w:jc w:val="left"/>
              <w:textAlignment w:val="auto"/>
              <w:rPr>
                <w:rFonts w:hint="eastAsia" w:ascii="仿宋_GB2312" w:eastAsia="仿宋_GB2312" w:cs="宋体"/>
                <w:color w:val="auto"/>
                <w:sz w:val="22"/>
                <w:szCs w:val="22"/>
              </w:rPr>
            </w:pPr>
          </w:p>
        </w:tc>
      </w:tr>
      <w:tr w14:paraId="7A4C2138">
        <w:tblPrEx>
          <w:tblCellMar>
            <w:top w:w="15" w:type="dxa"/>
            <w:left w:w="15" w:type="dxa"/>
            <w:bottom w:w="15" w:type="dxa"/>
            <w:right w:w="15" w:type="dxa"/>
          </w:tblCellMar>
        </w:tblPrEx>
        <w:trPr>
          <w:trHeight w:val="410" w:hRule="atLeast"/>
          <w:jc w:val="center"/>
        </w:trPr>
        <w:tc>
          <w:tcPr>
            <w:tcW w:w="851" w:type="dxa"/>
            <w:tcBorders>
              <w:top w:val="single" w:color="000000" w:sz="4" w:space="0"/>
              <w:left w:val="single" w:color="000000" w:sz="12" w:space="0"/>
              <w:bottom w:val="single" w:color="000000" w:sz="4" w:space="0"/>
              <w:right w:val="single" w:color="000000" w:sz="4" w:space="0"/>
            </w:tcBorders>
            <w:shd w:val="clear" w:color="auto" w:fill="auto"/>
            <w:noWrap w:val="0"/>
            <w:vAlign w:val="center"/>
          </w:tcPr>
          <w:p w14:paraId="3F722D8B">
            <w:pPr>
              <w:jc w:val="center"/>
              <w:rPr>
                <w:rFonts w:hint="eastAsia" w:ascii="仿宋_GB2312" w:hAnsi="Calibri" w:eastAsia="仿宋_GB2312" w:cs="宋体"/>
                <w:color w:val="auto"/>
                <w:kern w:val="2"/>
                <w:sz w:val="22"/>
                <w:szCs w:val="22"/>
                <w:lang w:val="en-US" w:eastAsia="zh-CN" w:bidi="ar-SA"/>
              </w:rPr>
            </w:pPr>
            <w:r>
              <w:rPr>
                <w:rFonts w:hint="eastAsia" w:ascii="仿宋_GB2312" w:eastAsia="仿宋_GB2312" w:cs="宋体"/>
                <w:color w:val="auto"/>
                <w:sz w:val="22"/>
                <w:szCs w:val="22"/>
                <w:lang w:val="en-US" w:eastAsia="zh-CN"/>
              </w:rPr>
              <w:t>2</w:t>
            </w: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67EB4F">
            <w:pPr>
              <w:rPr>
                <w:rFonts w:hint="eastAsia" w:ascii="仿宋_GB2312" w:hAnsi="Calibri" w:eastAsia="仿宋_GB2312" w:cs="宋体"/>
                <w:color w:val="auto"/>
                <w:kern w:val="2"/>
                <w:sz w:val="22"/>
                <w:szCs w:val="22"/>
                <w:lang w:val="en-US" w:eastAsia="zh-CN" w:bidi="ar-SA"/>
              </w:rPr>
            </w:pPr>
            <w:r>
              <w:rPr>
                <w:rFonts w:hint="eastAsia" w:ascii="仿宋_GB2312" w:eastAsia="仿宋_GB2312" w:cs="宋体"/>
                <w:color w:val="auto"/>
                <w:sz w:val="22"/>
                <w:szCs w:val="22"/>
                <w:lang w:val="en-US" w:eastAsia="zh-CN"/>
              </w:rPr>
              <w:t>对</w:t>
            </w:r>
            <w:r>
              <w:rPr>
                <w:rFonts w:hint="eastAsia" w:ascii="仿宋_GB2312" w:eastAsia="仿宋_GB2312" w:cs="宋体"/>
                <w:color w:val="auto"/>
                <w:sz w:val="22"/>
                <w:szCs w:val="22"/>
              </w:rPr>
              <w:t>未按照排污许可证规定提交排污许可证执行报告</w:t>
            </w:r>
            <w:r>
              <w:rPr>
                <w:rFonts w:hint="eastAsia" w:ascii="仿宋_GB2312" w:eastAsia="仿宋_GB2312" w:cs="宋体"/>
                <w:color w:val="auto"/>
                <w:sz w:val="22"/>
                <w:szCs w:val="22"/>
                <w:lang w:eastAsia="zh-CN"/>
              </w:rPr>
              <w:t>的</w:t>
            </w:r>
            <w:r>
              <w:rPr>
                <w:rFonts w:hint="eastAsia" w:ascii="仿宋_GB2312" w:eastAsia="仿宋_GB2312" w:cs="宋体"/>
                <w:color w:val="auto"/>
                <w:sz w:val="22"/>
                <w:szCs w:val="22"/>
                <w:lang w:val="en-US" w:eastAsia="zh-CN"/>
              </w:rPr>
              <w:t>处罚</w:t>
            </w:r>
          </w:p>
        </w:tc>
        <w:tc>
          <w:tcPr>
            <w:tcW w:w="2127" w:type="dxa"/>
            <w:tcBorders>
              <w:top w:val="single" w:color="000000" w:sz="4" w:space="0"/>
              <w:left w:val="single" w:color="000000" w:sz="4" w:space="0"/>
              <w:bottom w:val="single" w:color="000000" w:sz="4" w:space="0"/>
              <w:right w:val="single" w:color="auto" w:sz="4" w:space="0"/>
            </w:tcBorders>
            <w:shd w:val="clear" w:color="auto" w:fill="auto"/>
            <w:noWrap w:val="0"/>
            <w:vAlign w:val="center"/>
          </w:tcPr>
          <w:p w14:paraId="512E6042">
            <w:pPr>
              <w:rPr>
                <w:rFonts w:hint="eastAsia" w:ascii="仿宋_GB2312" w:hAnsi="Calibri" w:eastAsia="仿宋_GB2312" w:cs="宋体"/>
                <w:color w:val="auto"/>
                <w:kern w:val="2"/>
                <w:sz w:val="22"/>
                <w:szCs w:val="22"/>
                <w:lang w:val="en-US" w:eastAsia="zh-CN" w:bidi="ar-SA"/>
              </w:rPr>
            </w:pPr>
            <w:r>
              <w:rPr>
                <w:rFonts w:hint="eastAsia" w:ascii="仿宋_GB2312" w:eastAsia="仿宋_GB2312" w:cs="宋体"/>
                <w:color w:val="auto"/>
                <w:sz w:val="22"/>
                <w:szCs w:val="22"/>
              </w:rPr>
              <w:t>省、设区的市人民政府生态环境主管部门及其派出机构</w:t>
            </w:r>
          </w:p>
        </w:tc>
        <w:tc>
          <w:tcPr>
            <w:tcW w:w="3181"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26DEBD3C">
            <w:pPr>
              <w:rPr>
                <w:rFonts w:hint="eastAsia" w:ascii="仿宋_GB2312" w:hAnsi="Calibri" w:eastAsia="仿宋_GB2312" w:cs="宋体"/>
                <w:color w:val="auto"/>
                <w:kern w:val="2"/>
                <w:sz w:val="22"/>
                <w:szCs w:val="22"/>
                <w:lang w:val="en-US" w:eastAsia="zh-CN" w:bidi="ar-SA"/>
              </w:rPr>
            </w:pPr>
            <w:r>
              <w:rPr>
                <w:rFonts w:hint="eastAsia" w:ascii="仿宋_GB2312" w:eastAsia="仿宋_GB2312" w:cs="宋体"/>
                <w:color w:val="auto"/>
                <w:sz w:val="22"/>
                <w:szCs w:val="22"/>
              </w:rPr>
              <w:t>未按规定时间提交排污许可证执行报告，逾期时间不超过30日，</w:t>
            </w:r>
            <w:r>
              <w:rPr>
                <w:rFonts w:hint="eastAsia" w:ascii="仿宋_GB2312" w:eastAsia="仿宋_GB2312" w:cs="宋体"/>
                <w:color w:val="auto"/>
                <w:sz w:val="22"/>
                <w:szCs w:val="22"/>
                <w:lang w:val="en-US" w:eastAsia="zh-CN"/>
              </w:rPr>
              <w:t>并</w:t>
            </w:r>
            <w:r>
              <w:rPr>
                <w:rFonts w:hint="eastAsia" w:ascii="仿宋_GB2312" w:eastAsia="仿宋_GB2312" w:cs="宋体"/>
                <w:color w:val="auto"/>
                <w:sz w:val="22"/>
                <w:szCs w:val="22"/>
              </w:rPr>
              <w:t>自责令改正书下达之日起5个工作日内完成整改的。</w:t>
            </w:r>
          </w:p>
        </w:tc>
        <w:tc>
          <w:tcPr>
            <w:tcW w:w="475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081FC3A">
            <w:pPr>
              <w:ind w:firstLine="440" w:firstLineChars="200"/>
              <w:rPr>
                <w:rFonts w:ascii="仿宋_GB2312" w:eastAsia="仿宋_GB2312" w:cs="宋体"/>
                <w:color w:val="auto"/>
                <w:sz w:val="22"/>
                <w:szCs w:val="22"/>
              </w:rPr>
            </w:pPr>
            <w:r>
              <w:rPr>
                <w:rFonts w:hint="eastAsia" w:ascii="仿宋_GB2312" w:eastAsia="仿宋_GB2312" w:cs="宋体"/>
                <w:color w:val="auto"/>
                <w:sz w:val="22"/>
                <w:szCs w:val="22"/>
              </w:rPr>
              <w:t>《排污许可管理条例》</w:t>
            </w:r>
          </w:p>
          <w:p w14:paraId="5FBF96E5">
            <w:pPr>
              <w:ind w:firstLine="440" w:firstLineChars="200"/>
              <w:rPr>
                <w:rFonts w:hint="eastAsia" w:ascii="仿宋_GB2312" w:eastAsia="仿宋_GB2312" w:cs="宋体"/>
                <w:color w:val="auto"/>
                <w:sz w:val="22"/>
                <w:szCs w:val="22"/>
              </w:rPr>
            </w:pPr>
            <w:r>
              <w:rPr>
                <w:rFonts w:hint="eastAsia" w:ascii="仿宋_GB2312" w:eastAsia="仿宋_GB2312" w:cs="宋体"/>
                <w:color w:val="auto"/>
                <w:sz w:val="22"/>
                <w:szCs w:val="22"/>
              </w:rPr>
              <w:t>第二十二条</w:t>
            </w:r>
            <w:r>
              <w:rPr>
                <w:rFonts w:hint="eastAsia" w:ascii="仿宋_GB2312" w:eastAsia="仿宋_GB2312" w:cs="宋体"/>
                <w:color w:val="auto"/>
                <w:sz w:val="22"/>
                <w:szCs w:val="22"/>
                <w:lang w:val="en-US" w:eastAsia="zh-CN"/>
              </w:rPr>
              <w:t>第一款</w:t>
            </w:r>
            <w:r>
              <w:rPr>
                <w:rFonts w:hint="eastAsia" w:ascii="仿宋_GB2312" w:eastAsia="仿宋_GB2312" w:cs="宋体"/>
                <w:color w:val="auto"/>
                <w:sz w:val="22"/>
                <w:szCs w:val="22"/>
              </w:rPr>
              <w:t>　排污单位应当按照排污许可证规定的内容、频次和时间要求，向审批部门提交排污许可证执行报告，如实报告污染物排放行为、排放浓度、排放量等。</w:t>
            </w:r>
          </w:p>
          <w:p w14:paraId="5F7CFEC8">
            <w:pPr>
              <w:ind w:firstLine="440" w:firstLineChars="200"/>
              <w:rPr>
                <w:rFonts w:hint="eastAsia" w:ascii="仿宋_GB2312" w:eastAsia="仿宋_GB2312" w:cs="宋体"/>
                <w:color w:val="auto"/>
                <w:sz w:val="22"/>
                <w:szCs w:val="22"/>
              </w:rPr>
            </w:pPr>
            <w:r>
              <w:rPr>
                <w:rFonts w:hint="eastAsia" w:ascii="仿宋_GB2312" w:eastAsia="仿宋_GB2312" w:cs="宋体"/>
                <w:color w:val="auto"/>
                <w:sz w:val="22"/>
                <w:szCs w:val="22"/>
              </w:rPr>
              <w:t>第三十七条</w:t>
            </w:r>
            <w:r>
              <w:rPr>
                <w:rFonts w:hint="eastAsia" w:ascii="仿宋_GB2312" w:eastAsia="仿宋_GB2312" w:cs="宋体"/>
                <w:color w:val="auto"/>
                <w:sz w:val="22"/>
                <w:szCs w:val="22"/>
                <w:lang w:val="en-US" w:eastAsia="zh-CN"/>
              </w:rPr>
              <w:t>第三项</w:t>
            </w:r>
            <w:r>
              <w:rPr>
                <w:rFonts w:hint="eastAsia" w:ascii="仿宋_GB2312" w:eastAsia="仿宋_GB2312" w:cs="宋体"/>
                <w:color w:val="auto"/>
                <w:sz w:val="22"/>
                <w:szCs w:val="22"/>
              </w:rPr>
              <w:t>　违反本条例规定，排污单位有下列行为之一的，由生态环境主管部门责令改正，处每次5千元以上2万元以下的罚款；法律另有规定的，从其规定：</w:t>
            </w:r>
          </w:p>
          <w:p w14:paraId="3C9C7290">
            <w:pPr>
              <w:ind w:firstLine="440" w:firstLineChars="200"/>
              <w:rPr>
                <w:rFonts w:hint="eastAsia" w:ascii="仿宋_GB2312" w:hAnsi="Calibri" w:eastAsia="仿宋_GB2312" w:cs="宋体"/>
                <w:color w:val="auto"/>
                <w:kern w:val="2"/>
                <w:sz w:val="22"/>
                <w:szCs w:val="22"/>
                <w:lang w:val="en-US" w:eastAsia="zh-CN" w:bidi="ar-SA"/>
              </w:rPr>
            </w:pPr>
            <w:r>
              <w:rPr>
                <w:rFonts w:hint="eastAsia" w:ascii="仿宋_GB2312" w:eastAsia="仿宋_GB2312" w:cs="宋体"/>
                <w:color w:val="auto"/>
                <w:sz w:val="22"/>
                <w:szCs w:val="22"/>
              </w:rPr>
              <w:t>（三）未按照排污许可证规定提交排污许可证执行报告；</w:t>
            </w:r>
          </w:p>
        </w:tc>
        <w:tc>
          <w:tcPr>
            <w:tcW w:w="1188" w:type="dxa"/>
            <w:tcBorders>
              <w:top w:val="single" w:color="000000" w:sz="4" w:space="0"/>
              <w:left w:val="single" w:color="000000" w:sz="4" w:space="0"/>
              <w:bottom w:val="single" w:color="000000" w:sz="4" w:space="0"/>
              <w:right w:val="single" w:color="000000" w:sz="12" w:space="0"/>
            </w:tcBorders>
            <w:noWrap w:val="0"/>
            <w:vAlign w:val="center"/>
          </w:tcPr>
          <w:p w14:paraId="3F9377F9">
            <w:pPr>
              <w:jc w:val="left"/>
              <w:textAlignment w:val="auto"/>
              <w:rPr>
                <w:rFonts w:hint="eastAsia" w:ascii="仿宋_GB2312" w:eastAsia="仿宋_GB2312" w:cs="宋体"/>
                <w:color w:val="auto"/>
                <w:sz w:val="22"/>
                <w:szCs w:val="22"/>
              </w:rPr>
            </w:pPr>
          </w:p>
        </w:tc>
      </w:tr>
      <w:tr w14:paraId="5C72843A">
        <w:tblPrEx>
          <w:tblCellMar>
            <w:top w:w="15" w:type="dxa"/>
            <w:left w:w="15" w:type="dxa"/>
            <w:bottom w:w="15" w:type="dxa"/>
            <w:right w:w="15" w:type="dxa"/>
          </w:tblCellMar>
        </w:tblPrEx>
        <w:trPr>
          <w:trHeight w:val="410" w:hRule="atLeast"/>
          <w:jc w:val="center"/>
        </w:trPr>
        <w:tc>
          <w:tcPr>
            <w:tcW w:w="14088" w:type="dxa"/>
            <w:gridSpan w:val="6"/>
            <w:tcBorders>
              <w:top w:val="single" w:color="000000" w:sz="4" w:space="0"/>
              <w:left w:val="single" w:color="000000" w:sz="12" w:space="0"/>
              <w:bottom w:val="single" w:color="000000" w:sz="4" w:space="0"/>
              <w:right w:val="single" w:color="000000" w:sz="12" w:space="0"/>
            </w:tcBorders>
            <w:noWrap w:val="0"/>
            <w:vAlign w:val="center"/>
          </w:tcPr>
          <w:p w14:paraId="32C8A447">
            <w:pPr>
              <w:widowControl/>
              <w:jc w:val="left"/>
              <w:textAlignment w:val="center"/>
              <w:rPr>
                <w:rFonts w:hint="eastAsia" w:ascii="黑体" w:eastAsia="黑体"/>
                <w:color w:val="auto"/>
                <w:kern w:val="0"/>
                <w:sz w:val="24"/>
                <w:szCs w:val="24"/>
              </w:rPr>
            </w:pPr>
            <w:r>
              <w:rPr>
                <w:rFonts w:hint="eastAsia" w:ascii="黑体" w:eastAsia="黑体" w:cs="黑体"/>
                <w:color w:val="auto"/>
                <w:sz w:val="24"/>
                <w:szCs w:val="24"/>
                <w:lang w:val="en-US" w:eastAsia="zh-CN"/>
              </w:rPr>
              <w:t>二</w:t>
            </w:r>
            <w:r>
              <w:rPr>
                <w:rFonts w:hint="eastAsia" w:ascii="黑体" w:eastAsia="黑体" w:cs="黑体"/>
                <w:color w:val="auto"/>
                <w:sz w:val="24"/>
                <w:szCs w:val="24"/>
              </w:rPr>
              <w:t>、下列违法行为初次违法且危害后果轻微并及时改正的，不予行政处罚</w:t>
            </w:r>
          </w:p>
        </w:tc>
      </w:tr>
      <w:tr w14:paraId="47898427">
        <w:tblPrEx>
          <w:tblCellMar>
            <w:top w:w="15" w:type="dxa"/>
            <w:left w:w="15" w:type="dxa"/>
            <w:bottom w:w="15" w:type="dxa"/>
            <w:right w:w="15" w:type="dxa"/>
          </w:tblCellMar>
        </w:tblPrEx>
        <w:trPr>
          <w:trHeight w:val="410" w:hRule="atLeast"/>
          <w:jc w:val="center"/>
        </w:trPr>
        <w:tc>
          <w:tcPr>
            <w:tcW w:w="851" w:type="dxa"/>
            <w:tcBorders>
              <w:top w:val="single" w:color="000000" w:sz="4" w:space="0"/>
              <w:left w:val="single" w:color="000000" w:sz="12" w:space="0"/>
              <w:bottom w:val="single" w:color="000000" w:sz="4" w:space="0"/>
              <w:right w:val="single" w:color="000000" w:sz="4" w:space="0"/>
            </w:tcBorders>
            <w:noWrap w:val="0"/>
            <w:vAlign w:val="center"/>
          </w:tcPr>
          <w:p w14:paraId="19B2D8D9">
            <w:pPr>
              <w:widowControl/>
              <w:jc w:val="center"/>
              <w:textAlignment w:val="center"/>
              <w:rPr>
                <w:rFonts w:hint="eastAsia" w:ascii="宋体" w:cs="宋体"/>
                <w:color w:val="auto"/>
                <w:sz w:val="22"/>
                <w:szCs w:val="22"/>
              </w:rPr>
            </w:pPr>
            <w:r>
              <w:rPr>
                <w:rFonts w:hint="eastAsia" w:ascii="黑体" w:eastAsia="黑体"/>
                <w:color w:val="auto"/>
                <w:kern w:val="0"/>
                <w:sz w:val="24"/>
                <w:szCs w:val="24"/>
              </w:rPr>
              <w:t>序号</w:t>
            </w:r>
          </w:p>
        </w:tc>
        <w:tc>
          <w:tcPr>
            <w:tcW w:w="1984" w:type="dxa"/>
            <w:tcBorders>
              <w:top w:val="single" w:color="000000" w:sz="4" w:space="0"/>
              <w:left w:val="single" w:color="000000" w:sz="4" w:space="0"/>
              <w:bottom w:val="single" w:color="000000" w:sz="4" w:space="0"/>
              <w:right w:val="single" w:color="000000" w:sz="4" w:space="0"/>
            </w:tcBorders>
            <w:noWrap w:val="0"/>
            <w:vAlign w:val="center"/>
          </w:tcPr>
          <w:p w14:paraId="62908B1C">
            <w:pPr>
              <w:widowControl/>
              <w:jc w:val="center"/>
              <w:textAlignment w:val="center"/>
              <w:rPr>
                <w:rFonts w:hint="eastAsia" w:ascii="宋体" w:cs="宋体"/>
                <w:color w:val="auto"/>
                <w:sz w:val="22"/>
                <w:szCs w:val="22"/>
              </w:rPr>
            </w:pPr>
            <w:r>
              <w:rPr>
                <w:rFonts w:hint="eastAsia" w:ascii="黑体" w:eastAsia="黑体"/>
                <w:color w:val="auto"/>
                <w:kern w:val="0"/>
                <w:sz w:val="24"/>
                <w:szCs w:val="24"/>
              </w:rPr>
              <w:t>行政处罚事项</w:t>
            </w:r>
          </w:p>
        </w:tc>
        <w:tc>
          <w:tcPr>
            <w:tcW w:w="2127" w:type="dxa"/>
            <w:tcBorders>
              <w:top w:val="single" w:color="000000" w:sz="4" w:space="0"/>
              <w:left w:val="single" w:color="000000" w:sz="4" w:space="0"/>
              <w:bottom w:val="single" w:color="000000" w:sz="4" w:space="0"/>
              <w:right w:val="single" w:color="auto" w:sz="4" w:space="0"/>
            </w:tcBorders>
            <w:noWrap w:val="0"/>
            <w:vAlign w:val="center"/>
          </w:tcPr>
          <w:p w14:paraId="165714DB">
            <w:pPr>
              <w:widowControl/>
              <w:jc w:val="center"/>
              <w:textAlignment w:val="center"/>
              <w:rPr>
                <w:rFonts w:hint="eastAsia" w:ascii="宋体" w:cs="宋体"/>
                <w:color w:val="auto"/>
                <w:sz w:val="22"/>
                <w:szCs w:val="22"/>
              </w:rPr>
            </w:pPr>
            <w:r>
              <w:rPr>
                <w:rFonts w:hint="eastAsia" w:ascii="黑体" w:eastAsia="黑体"/>
                <w:color w:val="auto"/>
                <w:sz w:val="24"/>
                <w:szCs w:val="24"/>
              </w:rPr>
              <w:t>实施机关</w:t>
            </w:r>
          </w:p>
        </w:tc>
        <w:tc>
          <w:tcPr>
            <w:tcW w:w="3181" w:type="dxa"/>
            <w:tcBorders>
              <w:top w:val="single" w:color="000000" w:sz="4" w:space="0"/>
              <w:left w:val="single" w:color="auto" w:sz="4" w:space="0"/>
              <w:bottom w:val="single" w:color="000000" w:sz="4" w:space="0"/>
              <w:right w:val="single" w:color="000000" w:sz="4" w:space="0"/>
            </w:tcBorders>
            <w:noWrap w:val="0"/>
            <w:vAlign w:val="center"/>
          </w:tcPr>
          <w:p w14:paraId="0D63E799">
            <w:pPr>
              <w:jc w:val="center"/>
              <w:textAlignment w:val="center"/>
              <w:rPr>
                <w:rFonts w:hint="eastAsia" w:ascii="宋体" w:cs="宋体"/>
                <w:color w:val="auto"/>
                <w:sz w:val="22"/>
                <w:szCs w:val="22"/>
              </w:rPr>
            </w:pPr>
            <w:r>
              <w:rPr>
                <w:rFonts w:hint="eastAsia" w:ascii="黑体" w:eastAsia="黑体"/>
                <w:color w:val="auto"/>
                <w:kern w:val="0"/>
                <w:sz w:val="24"/>
                <w:szCs w:val="24"/>
              </w:rPr>
              <w:t>不予处罚适用条件</w:t>
            </w:r>
          </w:p>
        </w:tc>
        <w:tc>
          <w:tcPr>
            <w:tcW w:w="4757" w:type="dxa"/>
            <w:tcBorders>
              <w:top w:val="single" w:color="000000" w:sz="4" w:space="0"/>
              <w:left w:val="single" w:color="000000" w:sz="4" w:space="0"/>
              <w:bottom w:val="single" w:color="000000" w:sz="4" w:space="0"/>
              <w:right w:val="single" w:color="000000" w:sz="4" w:space="0"/>
            </w:tcBorders>
            <w:noWrap w:val="0"/>
            <w:vAlign w:val="center"/>
          </w:tcPr>
          <w:p w14:paraId="7F3849E7">
            <w:pPr>
              <w:widowControl/>
              <w:jc w:val="center"/>
              <w:textAlignment w:val="center"/>
              <w:rPr>
                <w:rFonts w:hint="eastAsia" w:ascii="宋体" w:cs="宋体"/>
                <w:color w:val="auto"/>
                <w:sz w:val="22"/>
                <w:szCs w:val="22"/>
              </w:rPr>
            </w:pPr>
            <w:r>
              <w:rPr>
                <w:rFonts w:hint="eastAsia" w:ascii="黑体" w:eastAsia="黑体"/>
                <w:color w:val="auto"/>
                <w:kern w:val="0"/>
                <w:sz w:val="24"/>
                <w:szCs w:val="24"/>
              </w:rPr>
              <w:t>法律依据</w:t>
            </w:r>
          </w:p>
        </w:tc>
        <w:tc>
          <w:tcPr>
            <w:tcW w:w="1188" w:type="dxa"/>
            <w:tcBorders>
              <w:top w:val="single" w:color="000000" w:sz="4" w:space="0"/>
              <w:left w:val="single" w:color="000000" w:sz="4" w:space="0"/>
              <w:bottom w:val="single" w:color="000000" w:sz="4" w:space="0"/>
              <w:right w:val="single" w:color="000000" w:sz="12" w:space="0"/>
            </w:tcBorders>
            <w:noWrap w:val="0"/>
            <w:vAlign w:val="center"/>
          </w:tcPr>
          <w:p w14:paraId="011C44EF">
            <w:pPr>
              <w:widowControl/>
              <w:jc w:val="center"/>
              <w:textAlignment w:val="center"/>
              <w:rPr>
                <w:rFonts w:hint="eastAsia" w:ascii="宋体" w:cs="宋体"/>
                <w:color w:val="auto"/>
                <w:sz w:val="22"/>
                <w:szCs w:val="22"/>
              </w:rPr>
            </w:pPr>
            <w:r>
              <w:rPr>
                <w:rFonts w:hint="eastAsia" w:ascii="黑体" w:eastAsia="黑体"/>
                <w:color w:val="auto"/>
                <w:kern w:val="0"/>
                <w:sz w:val="24"/>
                <w:szCs w:val="24"/>
              </w:rPr>
              <w:t>备注</w:t>
            </w:r>
          </w:p>
        </w:tc>
      </w:tr>
      <w:tr w14:paraId="517A98DF">
        <w:tblPrEx>
          <w:tblCellMar>
            <w:top w:w="15" w:type="dxa"/>
            <w:left w:w="15" w:type="dxa"/>
            <w:bottom w:w="15" w:type="dxa"/>
            <w:right w:w="15" w:type="dxa"/>
          </w:tblCellMar>
        </w:tblPrEx>
        <w:trPr>
          <w:trHeight w:val="90" w:hRule="atLeast"/>
          <w:jc w:val="center"/>
        </w:trPr>
        <w:tc>
          <w:tcPr>
            <w:tcW w:w="851" w:type="dxa"/>
            <w:tcBorders>
              <w:top w:val="single" w:color="000000" w:sz="4" w:space="0"/>
              <w:left w:val="single" w:color="000000" w:sz="12" w:space="0"/>
              <w:bottom w:val="single" w:color="000000" w:sz="4" w:space="0"/>
              <w:right w:val="single" w:color="000000" w:sz="4" w:space="0"/>
            </w:tcBorders>
            <w:noWrap w:val="0"/>
            <w:vAlign w:val="center"/>
          </w:tcPr>
          <w:p w14:paraId="286DED6D">
            <w:pPr>
              <w:jc w:val="center"/>
              <w:rPr>
                <w:rFonts w:hint="eastAsia" w:ascii="仿宋_GB2312" w:eastAsia="仿宋_GB2312" w:cs="宋体"/>
                <w:color w:val="auto"/>
                <w:sz w:val="22"/>
                <w:szCs w:val="22"/>
                <w:lang w:val="en-US" w:eastAsia="zh-CN"/>
              </w:rPr>
            </w:pPr>
            <w:r>
              <w:rPr>
                <w:rFonts w:hint="eastAsia" w:ascii="仿宋_GB2312" w:eastAsia="仿宋_GB2312" w:cs="宋体"/>
                <w:color w:val="auto"/>
                <w:sz w:val="22"/>
                <w:szCs w:val="22"/>
                <w:lang w:val="en-US" w:eastAsia="zh-CN"/>
              </w:rPr>
              <w:t>1</w:t>
            </w:r>
          </w:p>
        </w:tc>
        <w:tc>
          <w:tcPr>
            <w:tcW w:w="1984" w:type="dxa"/>
            <w:tcBorders>
              <w:top w:val="single" w:color="000000" w:sz="4" w:space="0"/>
              <w:left w:val="single" w:color="000000" w:sz="4" w:space="0"/>
              <w:bottom w:val="single" w:color="000000" w:sz="4" w:space="0"/>
              <w:right w:val="single" w:color="000000" w:sz="4" w:space="0"/>
            </w:tcBorders>
            <w:noWrap w:val="0"/>
            <w:vAlign w:val="center"/>
          </w:tcPr>
          <w:p w14:paraId="231933FA">
            <w:pPr>
              <w:rPr>
                <w:rFonts w:hint="eastAsia" w:ascii="仿宋_GB2312" w:eastAsia="仿宋_GB2312" w:cs="宋体"/>
                <w:color w:val="auto"/>
                <w:sz w:val="22"/>
                <w:szCs w:val="22"/>
              </w:rPr>
            </w:pPr>
            <w:r>
              <w:rPr>
                <w:rFonts w:hint="eastAsia" w:ascii="仿宋_GB2312" w:eastAsia="仿宋_GB2312" w:cs="宋体"/>
                <w:color w:val="auto"/>
                <w:sz w:val="22"/>
                <w:szCs w:val="22"/>
              </w:rPr>
              <w:t>对建设单位未将环境保护设施建设纳入施工合同</w:t>
            </w:r>
            <w:r>
              <w:rPr>
                <w:rFonts w:hint="eastAsia" w:ascii="仿宋_GB2312" w:eastAsia="仿宋_GB2312" w:cs="宋体"/>
                <w:color w:val="auto"/>
                <w:sz w:val="22"/>
                <w:szCs w:val="22"/>
                <w:lang w:eastAsia="zh-CN"/>
              </w:rPr>
              <w:t>的</w:t>
            </w:r>
            <w:r>
              <w:rPr>
                <w:rFonts w:hint="eastAsia" w:ascii="仿宋_GB2312" w:eastAsia="仿宋_GB2312" w:cs="宋体"/>
                <w:color w:val="auto"/>
                <w:sz w:val="22"/>
                <w:szCs w:val="22"/>
                <w:lang w:val="en-US" w:eastAsia="zh-CN"/>
              </w:rPr>
              <w:t>处罚</w:t>
            </w:r>
          </w:p>
        </w:tc>
        <w:tc>
          <w:tcPr>
            <w:tcW w:w="2127" w:type="dxa"/>
            <w:tcBorders>
              <w:top w:val="single" w:color="000000" w:sz="4" w:space="0"/>
              <w:left w:val="single" w:color="000000" w:sz="4" w:space="0"/>
              <w:bottom w:val="single" w:color="000000" w:sz="4" w:space="0"/>
              <w:right w:val="single" w:color="auto" w:sz="4" w:space="0"/>
            </w:tcBorders>
            <w:noWrap w:val="0"/>
            <w:vAlign w:val="center"/>
          </w:tcPr>
          <w:p w14:paraId="0F4BCA03">
            <w:pPr>
              <w:rPr>
                <w:rFonts w:hint="eastAsia" w:ascii="仿宋_GB2312" w:eastAsia="仿宋_GB2312" w:cs="宋体"/>
                <w:color w:val="auto"/>
                <w:sz w:val="22"/>
                <w:szCs w:val="22"/>
              </w:rPr>
            </w:pPr>
            <w:r>
              <w:rPr>
                <w:rFonts w:hint="eastAsia" w:ascii="仿宋_GB2312" w:eastAsia="仿宋_GB2312" w:cs="宋体"/>
                <w:color w:val="auto"/>
                <w:sz w:val="22"/>
                <w:szCs w:val="22"/>
              </w:rPr>
              <w:t>省、设区的市人民政府生态环境主管部门及其派出机构</w:t>
            </w:r>
          </w:p>
        </w:tc>
        <w:tc>
          <w:tcPr>
            <w:tcW w:w="3181" w:type="dxa"/>
            <w:tcBorders>
              <w:top w:val="single" w:color="000000" w:sz="4" w:space="0"/>
              <w:left w:val="single" w:color="auto" w:sz="4" w:space="0"/>
              <w:bottom w:val="single" w:color="000000" w:sz="4" w:space="0"/>
              <w:right w:val="single" w:color="000000" w:sz="4" w:space="0"/>
            </w:tcBorders>
            <w:noWrap w:val="0"/>
            <w:vAlign w:val="center"/>
          </w:tcPr>
          <w:p w14:paraId="0AA36B58">
            <w:pPr>
              <w:rPr>
                <w:rFonts w:hint="eastAsia" w:ascii="仿宋_GB2312" w:eastAsia="仿宋_GB2312" w:cs="宋体"/>
                <w:color w:val="auto"/>
                <w:sz w:val="22"/>
                <w:szCs w:val="22"/>
              </w:rPr>
            </w:pPr>
            <w:r>
              <w:rPr>
                <w:rFonts w:hint="eastAsia" w:ascii="仿宋_GB2312" w:eastAsia="仿宋_GB2312" w:cs="宋体"/>
                <w:color w:val="auto"/>
                <w:sz w:val="22"/>
                <w:szCs w:val="22"/>
              </w:rPr>
              <w:t>初次违法，建设项目尚处于施工阶段，且</w:t>
            </w:r>
            <w:r>
              <w:rPr>
                <w:rFonts w:hint="eastAsia" w:ascii="仿宋_GB2312" w:eastAsia="仿宋_GB2312" w:cs="宋体"/>
                <w:color w:val="auto"/>
                <w:sz w:val="22"/>
                <w:szCs w:val="22"/>
                <w:lang w:val="en-US" w:eastAsia="zh-CN"/>
              </w:rPr>
              <w:t>建设单位</w:t>
            </w:r>
            <w:r>
              <w:rPr>
                <w:rFonts w:hint="eastAsia" w:ascii="仿宋_GB2312" w:eastAsia="仿宋_GB2312" w:cs="宋体"/>
                <w:color w:val="auto"/>
                <w:sz w:val="22"/>
                <w:szCs w:val="22"/>
              </w:rPr>
              <w:t>在责令改正书确定的改正期限内完成整改的。</w:t>
            </w:r>
          </w:p>
        </w:tc>
        <w:tc>
          <w:tcPr>
            <w:tcW w:w="4757" w:type="dxa"/>
            <w:tcBorders>
              <w:top w:val="single" w:color="000000" w:sz="4" w:space="0"/>
              <w:left w:val="single" w:color="000000" w:sz="4" w:space="0"/>
              <w:bottom w:val="single" w:color="000000" w:sz="4" w:space="0"/>
              <w:right w:val="single" w:color="000000" w:sz="4" w:space="0"/>
            </w:tcBorders>
            <w:noWrap w:val="0"/>
            <w:vAlign w:val="center"/>
          </w:tcPr>
          <w:p w14:paraId="1769DEB9">
            <w:pPr>
              <w:ind w:firstLine="440" w:firstLineChars="200"/>
              <w:rPr>
                <w:rFonts w:hint="eastAsia" w:ascii="仿宋_GB2312" w:eastAsia="仿宋_GB2312" w:cs="宋体"/>
                <w:color w:val="auto"/>
                <w:sz w:val="22"/>
                <w:szCs w:val="22"/>
              </w:rPr>
            </w:pPr>
            <w:r>
              <w:rPr>
                <w:rFonts w:hint="eastAsia" w:ascii="仿宋_GB2312" w:eastAsia="仿宋_GB2312" w:cs="宋体"/>
                <w:color w:val="auto"/>
                <w:sz w:val="22"/>
                <w:szCs w:val="22"/>
              </w:rPr>
              <w:t>《建设项目环境保护管理条例》</w:t>
            </w:r>
          </w:p>
          <w:p w14:paraId="09248A44">
            <w:pPr>
              <w:ind w:firstLine="440" w:firstLineChars="200"/>
              <w:rPr>
                <w:rFonts w:ascii="仿宋_GB2312" w:eastAsia="仿宋_GB2312" w:cs="宋体"/>
                <w:color w:val="auto"/>
                <w:sz w:val="22"/>
                <w:szCs w:val="22"/>
              </w:rPr>
            </w:pPr>
            <w:r>
              <w:rPr>
                <w:rFonts w:hint="eastAsia" w:ascii="仿宋_GB2312" w:eastAsia="仿宋_GB2312" w:cs="宋体"/>
                <w:color w:val="auto"/>
                <w:sz w:val="22"/>
                <w:szCs w:val="22"/>
              </w:rPr>
              <w:t>第十六条</w:t>
            </w:r>
            <w:r>
              <w:rPr>
                <w:rFonts w:hint="eastAsia" w:ascii="仿宋_GB2312" w:eastAsia="仿宋_GB2312" w:cs="宋体"/>
                <w:color w:val="auto"/>
                <w:sz w:val="22"/>
                <w:szCs w:val="22"/>
                <w:lang w:val="en-US" w:eastAsia="zh-CN"/>
              </w:rPr>
              <w:t>第二款</w:t>
            </w:r>
            <w:r>
              <w:rPr>
                <w:rFonts w:hint="eastAsia" w:ascii="仿宋_GB2312" w:eastAsia="仿宋_GB2312" w:cs="宋体"/>
                <w:color w:val="auto"/>
                <w:sz w:val="22"/>
                <w:szCs w:val="22"/>
              </w:rPr>
              <w:t xml:space="preserve">  建设单位应当将环境保护设施建设纳入施工合同，保证环境保护设施建设进度和资金，并在项目建设过程中同时组织实施环境影响报告书、环境影响报告表及其审批部门审批决定中提出的环境保护对策措施。</w:t>
            </w:r>
          </w:p>
          <w:p w14:paraId="06D42549">
            <w:pPr>
              <w:ind w:firstLine="440" w:firstLineChars="200"/>
              <w:rPr>
                <w:rFonts w:hint="eastAsia" w:ascii="仿宋_GB2312" w:eastAsia="仿宋_GB2312" w:cs="宋体"/>
                <w:color w:val="auto"/>
                <w:sz w:val="22"/>
                <w:szCs w:val="22"/>
              </w:rPr>
            </w:pPr>
            <w:r>
              <w:rPr>
                <w:rFonts w:hint="eastAsia" w:ascii="仿宋_GB2312" w:eastAsia="仿宋_GB2312" w:cs="宋体"/>
                <w:color w:val="auto"/>
                <w:sz w:val="22"/>
                <w:szCs w:val="22"/>
              </w:rPr>
              <w:t>第二十二条第一款 违反本条例规定，建设单位编制建设项目初步设计未落实防治环境污染和生态破坏的措施以及环境保护设施投资概算，未将环境保护设施建设纳入施工合同，或者未依法开展环境影响后评价的，由建设项目所在地县级以上环境保护行政主管部门责令限期改正，处5万元以上20万元以下的罚款；逾期不改正的，处20万元以上100万元以下的罚款。</w:t>
            </w:r>
          </w:p>
        </w:tc>
        <w:tc>
          <w:tcPr>
            <w:tcW w:w="1188" w:type="dxa"/>
            <w:tcBorders>
              <w:top w:val="single" w:color="000000" w:sz="4" w:space="0"/>
              <w:left w:val="single" w:color="000000" w:sz="4" w:space="0"/>
              <w:bottom w:val="single" w:color="000000" w:sz="4" w:space="0"/>
              <w:right w:val="single" w:color="000000" w:sz="12" w:space="0"/>
            </w:tcBorders>
            <w:noWrap w:val="0"/>
            <w:vAlign w:val="center"/>
          </w:tcPr>
          <w:p w14:paraId="4FA7BCF4">
            <w:pPr>
              <w:rPr>
                <w:rFonts w:hint="eastAsia" w:ascii="仿宋_GB2312" w:eastAsia="仿宋_GB2312" w:cs="宋体"/>
                <w:color w:val="auto"/>
                <w:sz w:val="22"/>
                <w:szCs w:val="22"/>
              </w:rPr>
            </w:pPr>
          </w:p>
        </w:tc>
      </w:tr>
      <w:tr w14:paraId="4E6F09AA">
        <w:tblPrEx>
          <w:tblCellMar>
            <w:top w:w="15" w:type="dxa"/>
            <w:left w:w="15" w:type="dxa"/>
            <w:bottom w:w="15" w:type="dxa"/>
            <w:right w:w="15" w:type="dxa"/>
          </w:tblCellMar>
        </w:tblPrEx>
        <w:trPr>
          <w:trHeight w:val="514" w:hRule="atLeast"/>
          <w:jc w:val="center"/>
        </w:trPr>
        <w:tc>
          <w:tcPr>
            <w:tcW w:w="851" w:type="dxa"/>
            <w:tcBorders>
              <w:top w:val="single" w:color="000000" w:sz="4" w:space="0"/>
              <w:left w:val="single" w:color="000000" w:sz="12" w:space="0"/>
              <w:bottom w:val="single" w:color="000000" w:sz="4" w:space="0"/>
              <w:right w:val="single" w:color="000000" w:sz="4" w:space="0"/>
            </w:tcBorders>
            <w:noWrap w:val="0"/>
            <w:vAlign w:val="center"/>
          </w:tcPr>
          <w:p w14:paraId="01D422E5">
            <w:pPr>
              <w:jc w:val="center"/>
              <w:rPr>
                <w:rFonts w:hint="eastAsia" w:ascii="仿宋_GB2312" w:eastAsia="仿宋_GB2312" w:cs="宋体"/>
                <w:color w:val="auto"/>
                <w:sz w:val="22"/>
                <w:szCs w:val="22"/>
                <w:lang w:val="en-US" w:eastAsia="zh-CN"/>
              </w:rPr>
            </w:pPr>
            <w:r>
              <w:rPr>
                <w:rFonts w:hint="eastAsia" w:ascii="仿宋_GB2312" w:eastAsia="仿宋_GB2312" w:cs="宋体"/>
                <w:color w:val="auto"/>
                <w:sz w:val="22"/>
                <w:szCs w:val="22"/>
                <w:lang w:val="en-US" w:eastAsia="zh-CN"/>
              </w:rPr>
              <w:t>2</w:t>
            </w:r>
          </w:p>
        </w:tc>
        <w:tc>
          <w:tcPr>
            <w:tcW w:w="1984" w:type="dxa"/>
            <w:tcBorders>
              <w:top w:val="single" w:color="000000" w:sz="4" w:space="0"/>
              <w:left w:val="single" w:color="000000" w:sz="4" w:space="0"/>
              <w:bottom w:val="single" w:color="000000" w:sz="4" w:space="0"/>
              <w:right w:val="single" w:color="000000" w:sz="4" w:space="0"/>
            </w:tcBorders>
            <w:noWrap w:val="0"/>
            <w:vAlign w:val="center"/>
          </w:tcPr>
          <w:p w14:paraId="506A59C6">
            <w:pPr>
              <w:rPr>
                <w:rFonts w:hint="default" w:ascii="仿宋_GB2312" w:eastAsia="仿宋_GB2312" w:cs="宋体"/>
                <w:color w:val="auto"/>
                <w:sz w:val="22"/>
                <w:szCs w:val="22"/>
                <w:lang w:val="en-US" w:eastAsia="zh-CN"/>
              </w:rPr>
            </w:pPr>
            <w:r>
              <w:rPr>
                <w:rFonts w:hint="eastAsia" w:ascii="仿宋_GB2312" w:eastAsia="仿宋_GB2312" w:cs="宋体"/>
                <w:color w:val="auto"/>
                <w:sz w:val="22"/>
                <w:szCs w:val="22"/>
                <w:lang w:val="en-US" w:eastAsia="zh-CN"/>
              </w:rPr>
              <w:t>对建设单位未依法向社会公开环境保护设施验收报告</w:t>
            </w:r>
            <w:r>
              <w:rPr>
                <w:rFonts w:hint="eastAsia" w:ascii="仿宋_GB2312" w:eastAsia="仿宋_GB2312" w:cs="宋体"/>
                <w:color w:val="auto"/>
                <w:sz w:val="22"/>
                <w:szCs w:val="22"/>
                <w:lang w:eastAsia="zh-CN"/>
              </w:rPr>
              <w:t>的</w:t>
            </w:r>
            <w:r>
              <w:rPr>
                <w:rFonts w:hint="eastAsia" w:ascii="仿宋_GB2312" w:eastAsia="仿宋_GB2312" w:cs="宋体"/>
                <w:color w:val="auto"/>
                <w:sz w:val="22"/>
                <w:szCs w:val="22"/>
                <w:lang w:val="en-US" w:eastAsia="zh-CN"/>
              </w:rPr>
              <w:t>处罚</w:t>
            </w:r>
          </w:p>
        </w:tc>
        <w:tc>
          <w:tcPr>
            <w:tcW w:w="2127" w:type="dxa"/>
            <w:tcBorders>
              <w:top w:val="single" w:color="000000" w:sz="4" w:space="0"/>
              <w:left w:val="single" w:color="000000" w:sz="4" w:space="0"/>
              <w:bottom w:val="single" w:color="000000" w:sz="4" w:space="0"/>
              <w:right w:val="single" w:color="auto" w:sz="4" w:space="0"/>
            </w:tcBorders>
            <w:noWrap w:val="0"/>
            <w:vAlign w:val="center"/>
          </w:tcPr>
          <w:p w14:paraId="5F1167F8">
            <w:pPr>
              <w:rPr>
                <w:rFonts w:hint="eastAsia" w:ascii="仿宋_GB2312" w:eastAsia="仿宋_GB2312" w:cs="宋体"/>
                <w:color w:val="auto"/>
                <w:sz w:val="22"/>
                <w:szCs w:val="22"/>
              </w:rPr>
            </w:pPr>
            <w:r>
              <w:rPr>
                <w:rFonts w:hint="eastAsia" w:ascii="仿宋_GB2312" w:eastAsia="仿宋_GB2312" w:cs="宋体"/>
                <w:color w:val="auto"/>
                <w:sz w:val="22"/>
                <w:szCs w:val="22"/>
              </w:rPr>
              <w:t>省、设区的市人民政府生态环境主管部门及其派出机构</w:t>
            </w:r>
          </w:p>
        </w:tc>
        <w:tc>
          <w:tcPr>
            <w:tcW w:w="3181" w:type="dxa"/>
            <w:tcBorders>
              <w:top w:val="single" w:color="000000" w:sz="4" w:space="0"/>
              <w:left w:val="single" w:color="auto" w:sz="4" w:space="0"/>
              <w:bottom w:val="single" w:color="000000" w:sz="4" w:space="0"/>
              <w:right w:val="single" w:color="000000" w:sz="4" w:space="0"/>
            </w:tcBorders>
            <w:noWrap w:val="0"/>
            <w:vAlign w:val="center"/>
          </w:tcPr>
          <w:p w14:paraId="4748B77A">
            <w:pPr>
              <w:rPr>
                <w:rFonts w:hint="default" w:ascii="仿宋_GB2312" w:eastAsia="仿宋_GB2312" w:cs="宋体"/>
                <w:color w:val="auto"/>
                <w:sz w:val="22"/>
                <w:szCs w:val="22"/>
                <w:lang w:val="en-US"/>
              </w:rPr>
            </w:pPr>
            <w:r>
              <w:rPr>
                <w:rFonts w:hint="eastAsia" w:ascii="仿宋_GB2312" w:eastAsia="仿宋_GB2312" w:cs="宋体"/>
                <w:color w:val="auto"/>
                <w:sz w:val="22"/>
                <w:szCs w:val="22"/>
              </w:rPr>
              <w:t>初次违法，</w:t>
            </w:r>
            <w:r>
              <w:rPr>
                <w:rFonts w:hint="eastAsia" w:ascii="仿宋_GB2312" w:eastAsia="仿宋_GB2312" w:cs="宋体"/>
                <w:color w:val="auto"/>
                <w:sz w:val="22"/>
                <w:szCs w:val="22"/>
                <w:lang w:val="en-US" w:eastAsia="zh-CN"/>
              </w:rPr>
              <w:t>建设项目环境保护设施已经验收合格，并自责令改正书下达之日起5个工作日内完成整改的。</w:t>
            </w:r>
          </w:p>
        </w:tc>
        <w:tc>
          <w:tcPr>
            <w:tcW w:w="4757" w:type="dxa"/>
            <w:tcBorders>
              <w:top w:val="single" w:color="000000" w:sz="4" w:space="0"/>
              <w:left w:val="single" w:color="000000" w:sz="4" w:space="0"/>
              <w:bottom w:val="single" w:color="000000" w:sz="4" w:space="0"/>
              <w:right w:val="single" w:color="000000" w:sz="4" w:space="0"/>
            </w:tcBorders>
            <w:noWrap w:val="0"/>
            <w:vAlign w:val="center"/>
          </w:tcPr>
          <w:p w14:paraId="14AA3FFE">
            <w:pPr>
              <w:ind w:firstLine="440" w:firstLineChars="200"/>
              <w:rPr>
                <w:rFonts w:hint="eastAsia" w:ascii="仿宋_GB2312" w:eastAsia="仿宋_GB2312" w:cs="宋体"/>
                <w:color w:val="auto"/>
                <w:sz w:val="22"/>
                <w:szCs w:val="22"/>
                <w:lang w:val="en-US" w:eastAsia="zh-CN"/>
              </w:rPr>
            </w:pPr>
            <w:r>
              <w:rPr>
                <w:rFonts w:hint="eastAsia" w:ascii="仿宋_GB2312" w:eastAsia="仿宋_GB2312" w:cs="宋体"/>
                <w:color w:val="auto"/>
                <w:sz w:val="22"/>
                <w:szCs w:val="22"/>
                <w:lang w:val="en-US" w:eastAsia="zh-CN"/>
              </w:rPr>
              <w:t>《建设项目环境保护管理条例》</w:t>
            </w:r>
          </w:p>
          <w:p w14:paraId="7E7B0864">
            <w:pPr>
              <w:ind w:firstLine="440" w:firstLineChars="200"/>
              <w:rPr>
                <w:rFonts w:hint="eastAsia" w:ascii="仿宋_GB2312" w:eastAsia="仿宋_GB2312" w:cs="宋体"/>
                <w:color w:val="auto"/>
                <w:sz w:val="22"/>
                <w:szCs w:val="22"/>
              </w:rPr>
            </w:pPr>
            <w:r>
              <w:rPr>
                <w:rFonts w:hint="eastAsia" w:ascii="仿宋_GB2312" w:eastAsia="仿宋_GB2312" w:cs="宋体"/>
                <w:color w:val="auto"/>
                <w:sz w:val="22"/>
                <w:szCs w:val="22"/>
                <w:lang w:val="en-US" w:eastAsia="zh-CN"/>
              </w:rPr>
              <w:t xml:space="preserve">第十七条第三款  </w:t>
            </w:r>
            <w:r>
              <w:rPr>
                <w:rFonts w:hint="eastAsia" w:ascii="仿宋_GB2312" w:eastAsia="仿宋_GB2312" w:cs="宋体"/>
                <w:color w:val="auto"/>
                <w:sz w:val="22"/>
                <w:szCs w:val="22"/>
              </w:rPr>
              <w:t>除按照国家规定需要保密的情形外，建设单位应当依法向社会公开验收报告。</w:t>
            </w:r>
          </w:p>
          <w:p w14:paraId="4776C87A">
            <w:pPr>
              <w:ind w:firstLine="440" w:firstLineChars="200"/>
              <w:rPr>
                <w:rFonts w:hint="eastAsia" w:ascii="仿宋_GB2312" w:eastAsia="仿宋_GB2312" w:cs="宋体"/>
                <w:color w:val="auto"/>
                <w:sz w:val="22"/>
                <w:szCs w:val="22"/>
              </w:rPr>
            </w:pPr>
            <w:r>
              <w:rPr>
                <w:rFonts w:hint="eastAsia" w:ascii="仿宋_GB2312" w:eastAsia="仿宋_GB2312" w:cs="宋体"/>
                <w:color w:val="auto"/>
                <w:sz w:val="22"/>
                <w:szCs w:val="22"/>
                <w:lang w:val="en-US" w:eastAsia="zh-CN"/>
              </w:rPr>
              <w:t xml:space="preserve">第二十三条第二款  </w:t>
            </w:r>
            <w:r>
              <w:rPr>
                <w:rFonts w:hint="eastAsia" w:ascii="仿宋_GB2312" w:eastAsia="仿宋_GB2312" w:cs="宋体"/>
                <w:color w:val="auto"/>
                <w:sz w:val="22"/>
                <w:szCs w:val="22"/>
              </w:rPr>
              <w:t>违反本条例规定，建设单位未依法向社会公开环境保护设施验收报告的，由县级以上环境保护行政主管部门责令公开，处5万元以上20万元以下的罚款，并予以公告。</w:t>
            </w:r>
          </w:p>
        </w:tc>
        <w:tc>
          <w:tcPr>
            <w:tcW w:w="1188" w:type="dxa"/>
            <w:tcBorders>
              <w:top w:val="single" w:color="000000" w:sz="4" w:space="0"/>
              <w:left w:val="single" w:color="000000" w:sz="4" w:space="0"/>
              <w:bottom w:val="single" w:color="000000" w:sz="4" w:space="0"/>
              <w:right w:val="single" w:color="000000" w:sz="12" w:space="0"/>
            </w:tcBorders>
            <w:noWrap w:val="0"/>
            <w:vAlign w:val="center"/>
          </w:tcPr>
          <w:p w14:paraId="455A1649">
            <w:pPr>
              <w:rPr>
                <w:rFonts w:hint="eastAsia" w:ascii="仿宋_GB2312" w:eastAsia="仿宋_GB2312" w:cs="宋体"/>
                <w:color w:val="auto"/>
                <w:sz w:val="22"/>
                <w:szCs w:val="22"/>
              </w:rPr>
            </w:pPr>
          </w:p>
        </w:tc>
      </w:tr>
      <w:tr w14:paraId="26CFA2D3">
        <w:tblPrEx>
          <w:tblCellMar>
            <w:top w:w="15" w:type="dxa"/>
            <w:left w:w="15" w:type="dxa"/>
            <w:bottom w:w="15" w:type="dxa"/>
            <w:right w:w="15" w:type="dxa"/>
          </w:tblCellMar>
        </w:tblPrEx>
        <w:trPr>
          <w:trHeight w:val="514" w:hRule="atLeast"/>
          <w:jc w:val="center"/>
        </w:trPr>
        <w:tc>
          <w:tcPr>
            <w:tcW w:w="851" w:type="dxa"/>
            <w:tcBorders>
              <w:top w:val="single" w:color="000000" w:sz="4" w:space="0"/>
              <w:left w:val="single" w:color="000000" w:sz="12" w:space="0"/>
              <w:bottom w:val="single" w:color="000000" w:sz="4" w:space="0"/>
              <w:right w:val="single" w:color="000000" w:sz="4" w:space="0"/>
            </w:tcBorders>
            <w:noWrap w:val="0"/>
            <w:vAlign w:val="center"/>
          </w:tcPr>
          <w:p w14:paraId="4D09721B">
            <w:pPr>
              <w:jc w:val="center"/>
              <w:rPr>
                <w:rFonts w:hint="default" w:ascii="仿宋_GB2312" w:eastAsia="仿宋_GB2312" w:cs="宋体"/>
                <w:color w:val="auto"/>
                <w:sz w:val="22"/>
                <w:szCs w:val="22"/>
                <w:lang w:val="en-US" w:eastAsia="zh-CN"/>
              </w:rPr>
            </w:pPr>
            <w:r>
              <w:rPr>
                <w:rFonts w:hint="eastAsia" w:ascii="仿宋_GB2312" w:eastAsia="仿宋_GB2312" w:cs="宋体"/>
                <w:color w:val="auto"/>
                <w:sz w:val="22"/>
                <w:szCs w:val="22"/>
                <w:lang w:val="en-US" w:eastAsia="zh-CN"/>
              </w:rPr>
              <w:t>3</w:t>
            </w:r>
          </w:p>
        </w:tc>
        <w:tc>
          <w:tcPr>
            <w:tcW w:w="1984" w:type="dxa"/>
            <w:tcBorders>
              <w:top w:val="single" w:color="000000" w:sz="4" w:space="0"/>
              <w:left w:val="single" w:color="000000" w:sz="4" w:space="0"/>
              <w:bottom w:val="single" w:color="000000" w:sz="4" w:space="0"/>
              <w:right w:val="single" w:color="000000" w:sz="4" w:space="0"/>
            </w:tcBorders>
            <w:noWrap w:val="0"/>
            <w:vAlign w:val="center"/>
          </w:tcPr>
          <w:p w14:paraId="2FB6F678">
            <w:pPr>
              <w:rPr>
                <w:rFonts w:hint="eastAsia" w:ascii="仿宋_GB2312" w:eastAsia="仿宋_GB2312" w:cs="宋体"/>
                <w:color w:val="auto"/>
                <w:sz w:val="22"/>
                <w:szCs w:val="22"/>
              </w:rPr>
            </w:pPr>
            <w:r>
              <w:rPr>
                <w:rFonts w:hint="eastAsia" w:ascii="仿宋_GB2312" w:eastAsia="仿宋_GB2312" w:cs="宋体"/>
                <w:color w:val="auto"/>
                <w:sz w:val="22"/>
                <w:szCs w:val="22"/>
              </w:rPr>
              <w:t>对未依法备案建设项目环境影响登记表行为</w:t>
            </w:r>
            <w:r>
              <w:rPr>
                <w:rFonts w:hint="eastAsia" w:ascii="仿宋_GB2312" w:eastAsia="仿宋_GB2312" w:cs="宋体"/>
                <w:color w:val="auto"/>
                <w:sz w:val="22"/>
                <w:szCs w:val="22"/>
                <w:lang w:eastAsia="zh-CN"/>
              </w:rPr>
              <w:t>的</w:t>
            </w:r>
            <w:r>
              <w:rPr>
                <w:rFonts w:hint="eastAsia" w:ascii="仿宋_GB2312" w:eastAsia="仿宋_GB2312" w:cs="宋体"/>
                <w:color w:val="auto"/>
                <w:sz w:val="22"/>
                <w:szCs w:val="22"/>
                <w:lang w:val="en-US" w:eastAsia="zh-CN"/>
              </w:rPr>
              <w:t>处罚</w:t>
            </w:r>
          </w:p>
        </w:tc>
        <w:tc>
          <w:tcPr>
            <w:tcW w:w="2127" w:type="dxa"/>
            <w:tcBorders>
              <w:top w:val="single" w:color="000000" w:sz="4" w:space="0"/>
              <w:left w:val="single" w:color="000000" w:sz="4" w:space="0"/>
              <w:bottom w:val="single" w:color="000000" w:sz="4" w:space="0"/>
              <w:right w:val="single" w:color="auto" w:sz="4" w:space="0"/>
            </w:tcBorders>
            <w:noWrap w:val="0"/>
            <w:vAlign w:val="center"/>
          </w:tcPr>
          <w:p w14:paraId="19DD503A">
            <w:pPr>
              <w:rPr>
                <w:rFonts w:hint="eastAsia" w:ascii="仿宋_GB2312" w:eastAsia="仿宋_GB2312" w:cs="宋体"/>
                <w:color w:val="auto"/>
                <w:sz w:val="22"/>
                <w:szCs w:val="22"/>
              </w:rPr>
            </w:pPr>
            <w:r>
              <w:rPr>
                <w:rFonts w:hint="eastAsia" w:ascii="仿宋_GB2312" w:eastAsia="仿宋_GB2312" w:cs="宋体"/>
                <w:color w:val="auto"/>
                <w:sz w:val="22"/>
                <w:szCs w:val="22"/>
              </w:rPr>
              <w:t>省、设区的市人民政府生态环境主管部门及其派出机构</w:t>
            </w:r>
          </w:p>
        </w:tc>
        <w:tc>
          <w:tcPr>
            <w:tcW w:w="3181" w:type="dxa"/>
            <w:tcBorders>
              <w:top w:val="single" w:color="000000" w:sz="4" w:space="0"/>
              <w:left w:val="single" w:color="auto" w:sz="4" w:space="0"/>
              <w:bottom w:val="single" w:color="000000" w:sz="4" w:space="0"/>
              <w:right w:val="single" w:color="000000" w:sz="4" w:space="0"/>
            </w:tcBorders>
            <w:noWrap w:val="0"/>
            <w:vAlign w:val="center"/>
          </w:tcPr>
          <w:p w14:paraId="290A8C26">
            <w:pPr>
              <w:pStyle w:val="4"/>
              <w:rPr>
                <w:rFonts w:hint="eastAsia" w:ascii="仿宋_GB2312" w:eastAsia="仿宋_GB2312" w:cs="宋体"/>
                <w:color w:val="auto"/>
                <w:sz w:val="22"/>
                <w:szCs w:val="22"/>
              </w:rPr>
            </w:pPr>
            <w:r>
              <w:rPr>
                <w:rFonts w:hint="eastAsia" w:ascii="仿宋_GB2312" w:eastAsia="仿宋_GB2312" w:cs="仿宋_GB2312"/>
                <w:color w:val="auto"/>
                <w:sz w:val="22"/>
                <w:szCs w:val="22"/>
              </w:rPr>
              <w:t>初次违法，建设单位在责令改正书下达前主动停止建设或者停止生产，并自责令改正书下达之日起5个工作日内完成整改备案的，或主动实施关停的。</w:t>
            </w:r>
          </w:p>
        </w:tc>
        <w:tc>
          <w:tcPr>
            <w:tcW w:w="4757" w:type="dxa"/>
            <w:tcBorders>
              <w:top w:val="single" w:color="000000" w:sz="4" w:space="0"/>
              <w:left w:val="single" w:color="000000" w:sz="4" w:space="0"/>
              <w:bottom w:val="single" w:color="000000" w:sz="4" w:space="0"/>
              <w:right w:val="single" w:color="000000" w:sz="4" w:space="0"/>
            </w:tcBorders>
            <w:noWrap w:val="0"/>
            <w:vAlign w:val="center"/>
          </w:tcPr>
          <w:p w14:paraId="626A9F23">
            <w:pPr>
              <w:ind w:firstLine="440" w:firstLineChars="200"/>
              <w:rPr>
                <w:rFonts w:hint="eastAsia" w:ascii="仿宋_GB2312" w:eastAsia="仿宋_GB2312" w:cs="宋体"/>
                <w:color w:val="auto"/>
                <w:sz w:val="22"/>
                <w:szCs w:val="22"/>
              </w:rPr>
            </w:pPr>
            <w:r>
              <w:rPr>
                <w:rFonts w:hint="eastAsia" w:ascii="仿宋_GB2312" w:eastAsia="仿宋_GB2312" w:cs="宋体"/>
                <w:color w:val="auto"/>
                <w:sz w:val="22"/>
                <w:szCs w:val="22"/>
              </w:rPr>
              <w:t>1.《中华人民共和国生态环境法典》</w:t>
            </w:r>
          </w:p>
          <w:p w14:paraId="07C96DB3">
            <w:pPr>
              <w:ind w:firstLine="440" w:firstLineChars="200"/>
              <w:rPr>
                <w:rFonts w:hint="eastAsia" w:ascii="仿宋_GB2312" w:eastAsia="仿宋_GB2312" w:cs="宋体"/>
                <w:color w:val="auto"/>
                <w:sz w:val="22"/>
                <w:szCs w:val="22"/>
              </w:rPr>
            </w:pPr>
            <w:r>
              <w:rPr>
                <w:rFonts w:hint="eastAsia" w:ascii="仿宋_GB2312" w:eastAsia="仿宋_GB2312" w:cs="宋体"/>
                <w:color w:val="auto"/>
                <w:sz w:val="22"/>
                <w:szCs w:val="22"/>
              </w:rPr>
              <w:t>第一百零二条第</w:t>
            </w:r>
            <w:r>
              <w:rPr>
                <w:rFonts w:hint="eastAsia" w:ascii="仿宋_GB2312" w:eastAsia="仿宋_GB2312" w:cs="宋体"/>
                <w:color w:val="auto"/>
                <w:sz w:val="22"/>
                <w:szCs w:val="22"/>
                <w:lang w:val="en-US" w:eastAsia="zh-CN"/>
              </w:rPr>
              <w:t>三</w:t>
            </w:r>
            <w:r>
              <w:rPr>
                <w:rFonts w:hint="eastAsia" w:ascii="仿宋_GB2312" w:eastAsia="仿宋_GB2312" w:cs="宋体"/>
                <w:color w:val="auto"/>
                <w:sz w:val="22"/>
                <w:szCs w:val="22"/>
              </w:rPr>
              <w:t xml:space="preserve">款 </w:t>
            </w:r>
            <w:r>
              <w:rPr>
                <w:rFonts w:ascii="仿宋_GB2312" w:eastAsia="仿宋_GB2312" w:cs="宋体"/>
                <w:color w:val="auto"/>
                <w:sz w:val="22"/>
                <w:szCs w:val="22"/>
              </w:rPr>
              <w:t xml:space="preserve"> </w:t>
            </w:r>
            <w:r>
              <w:rPr>
                <w:rFonts w:hint="eastAsia" w:ascii="仿宋_GB2312" w:eastAsia="仿宋_GB2312" w:cs="宋体"/>
                <w:color w:val="auto"/>
                <w:sz w:val="22"/>
                <w:szCs w:val="22"/>
              </w:rPr>
              <w:t>国家对生态环境影响登记表实行备案管理。</w:t>
            </w:r>
          </w:p>
          <w:p w14:paraId="24A8417E">
            <w:pPr>
              <w:ind w:firstLine="440" w:firstLineChars="200"/>
              <w:rPr>
                <w:rFonts w:hint="eastAsia" w:ascii="仿宋_GB2312" w:eastAsia="仿宋_GB2312" w:cs="宋体"/>
                <w:color w:val="auto"/>
                <w:sz w:val="22"/>
                <w:szCs w:val="22"/>
              </w:rPr>
            </w:pPr>
            <w:r>
              <w:rPr>
                <w:rFonts w:hint="eastAsia" w:ascii="仿宋_GB2312" w:eastAsia="仿宋_GB2312" w:cs="宋体"/>
                <w:color w:val="auto"/>
                <w:sz w:val="22"/>
                <w:szCs w:val="22"/>
              </w:rPr>
              <w:t>第一千零九十五条第三款、第四款　违反本法规定，建设单位未依法将建设项目生态环境影响登记表报生态环境主管部门备案的，由生态环境主管部门责令改正，可以处五万元以下的罚款。</w:t>
            </w:r>
          </w:p>
          <w:p w14:paraId="26DB40BA">
            <w:pPr>
              <w:ind w:firstLine="440" w:firstLineChars="200"/>
              <w:rPr>
                <w:rFonts w:hint="eastAsia" w:ascii="仿宋_GB2312" w:eastAsia="仿宋_GB2312" w:cs="宋体"/>
                <w:color w:val="auto"/>
                <w:sz w:val="22"/>
                <w:szCs w:val="22"/>
              </w:rPr>
            </w:pPr>
            <w:r>
              <w:rPr>
                <w:rFonts w:hint="eastAsia" w:ascii="仿宋_GB2312" w:eastAsia="仿宋_GB2312" w:cs="宋体"/>
                <w:color w:val="auto"/>
                <w:sz w:val="22"/>
                <w:szCs w:val="22"/>
              </w:rPr>
              <w:t>违反本法规定，核设施选址、建造、运行、退役和核技术、铀（钍）矿、伴生放射性矿开发利用中有第一款至第三款规定的违法情形的，适用第一款至第三款的规定予以处罚。</w:t>
            </w:r>
          </w:p>
          <w:p w14:paraId="506D371B">
            <w:pPr>
              <w:ind w:firstLine="440" w:firstLineChars="200"/>
              <w:rPr>
                <w:rFonts w:hint="eastAsia" w:ascii="仿宋_GB2312" w:eastAsia="仿宋_GB2312" w:cs="宋体"/>
                <w:color w:val="auto"/>
                <w:sz w:val="22"/>
                <w:szCs w:val="22"/>
              </w:rPr>
            </w:pPr>
            <w:r>
              <w:rPr>
                <w:rFonts w:hint="eastAsia" w:ascii="仿宋_GB2312" w:eastAsia="仿宋_GB2312" w:cs="宋体"/>
                <w:color w:val="auto"/>
                <w:sz w:val="22"/>
                <w:szCs w:val="22"/>
              </w:rPr>
              <w:t>2.《建设项目环境保护管理条例》</w:t>
            </w:r>
          </w:p>
          <w:p w14:paraId="4CD0E8C8">
            <w:pPr>
              <w:ind w:firstLine="440" w:firstLineChars="200"/>
              <w:rPr>
                <w:rFonts w:hint="eastAsia" w:ascii="仿宋_GB2312" w:eastAsia="仿宋_GB2312" w:cs="宋体"/>
                <w:color w:val="auto"/>
                <w:sz w:val="22"/>
                <w:szCs w:val="22"/>
              </w:rPr>
            </w:pPr>
            <w:r>
              <w:rPr>
                <w:rFonts w:hint="eastAsia" w:ascii="仿宋_GB2312" w:eastAsia="仿宋_GB2312" w:cs="宋体"/>
                <w:color w:val="auto"/>
                <w:sz w:val="22"/>
                <w:szCs w:val="22"/>
              </w:rPr>
              <w:t>第九条第四款 依法应当填报环境影响登记表的建设项目，建设单位应当按照国务院环境保护行政主管部门的规定将环境影响登记表报建设项目所在地县级环境保护行政主管部门备案。</w:t>
            </w:r>
          </w:p>
          <w:p w14:paraId="2AB9D3BE">
            <w:pPr>
              <w:ind w:firstLine="440" w:firstLineChars="200"/>
              <w:rPr>
                <w:rFonts w:hint="eastAsia" w:ascii="仿宋_GB2312" w:eastAsia="仿宋_GB2312" w:cs="宋体"/>
                <w:color w:val="auto"/>
                <w:sz w:val="22"/>
                <w:szCs w:val="22"/>
              </w:rPr>
            </w:pPr>
            <w:r>
              <w:rPr>
                <w:rFonts w:hint="eastAsia" w:ascii="仿宋_GB2312" w:eastAsia="仿宋_GB2312" w:cs="宋体"/>
                <w:color w:val="auto"/>
                <w:sz w:val="22"/>
                <w:szCs w:val="22"/>
              </w:rPr>
              <w:t>3.《建设项目环境影响登记表备案管理办法》</w:t>
            </w:r>
          </w:p>
          <w:p w14:paraId="2839303F">
            <w:pPr>
              <w:ind w:firstLine="440" w:firstLineChars="200"/>
              <w:rPr>
                <w:rFonts w:hint="eastAsia" w:ascii="仿宋_GB2312" w:eastAsia="仿宋_GB2312" w:cs="宋体"/>
                <w:color w:val="auto"/>
                <w:sz w:val="22"/>
                <w:szCs w:val="22"/>
              </w:rPr>
            </w:pPr>
            <w:r>
              <w:rPr>
                <w:rFonts w:hint="eastAsia" w:ascii="仿宋_GB2312" w:eastAsia="仿宋_GB2312" w:cs="宋体"/>
                <w:color w:val="auto"/>
                <w:sz w:val="22"/>
                <w:szCs w:val="22"/>
              </w:rPr>
              <w:t>第九条 建设单位应当在建设项目建成并投入生产运营前，登录网上备案系统</w:t>
            </w:r>
            <w:r>
              <w:rPr>
                <w:rFonts w:hint="eastAsia" w:ascii="仿宋_GB2312" w:eastAsia="仿宋_GB2312" w:cs="宋体"/>
                <w:color w:val="auto"/>
                <w:sz w:val="22"/>
                <w:szCs w:val="22"/>
                <w:lang w:eastAsia="zh-CN"/>
              </w:rPr>
              <w:t>，</w:t>
            </w:r>
            <w:r>
              <w:rPr>
                <w:rFonts w:hint="eastAsia" w:ascii="仿宋_GB2312" w:eastAsia="仿宋_GB2312" w:cs="宋体"/>
                <w:color w:val="auto"/>
                <w:sz w:val="22"/>
                <w:szCs w:val="22"/>
              </w:rPr>
              <w:t>在网上备案系统注册真实信息，在线填报并提交建设项目环境影响登记表。</w:t>
            </w:r>
          </w:p>
        </w:tc>
        <w:tc>
          <w:tcPr>
            <w:tcW w:w="1188" w:type="dxa"/>
            <w:tcBorders>
              <w:top w:val="single" w:color="000000" w:sz="4" w:space="0"/>
              <w:left w:val="single" w:color="000000" w:sz="4" w:space="0"/>
              <w:bottom w:val="single" w:color="000000" w:sz="4" w:space="0"/>
              <w:right w:val="single" w:color="000000" w:sz="12" w:space="0"/>
            </w:tcBorders>
            <w:noWrap w:val="0"/>
            <w:vAlign w:val="center"/>
          </w:tcPr>
          <w:p w14:paraId="5D825595">
            <w:pPr>
              <w:rPr>
                <w:rFonts w:hint="eastAsia" w:ascii="仿宋_GB2312" w:eastAsia="仿宋_GB2312" w:cs="宋体"/>
                <w:color w:val="auto"/>
                <w:sz w:val="22"/>
                <w:szCs w:val="22"/>
              </w:rPr>
            </w:pPr>
          </w:p>
        </w:tc>
      </w:tr>
      <w:tr w14:paraId="41F87B28">
        <w:tblPrEx>
          <w:tblCellMar>
            <w:top w:w="15" w:type="dxa"/>
            <w:left w:w="15" w:type="dxa"/>
            <w:bottom w:w="15" w:type="dxa"/>
            <w:right w:w="15" w:type="dxa"/>
          </w:tblCellMar>
        </w:tblPrEx>
        <w:trPr>
          <w:trHeight w:val="3254" w:hRule="atLeast"/>
          <w:jc w:val="center"/>
        </w:trPr>
        <w:tc>
          <w:tcPr>
            <w:tcW w:w="851" w:type="dxa"/>
            <w:tcBorders>
              <w:top w:val="single" w:color="000000" w:sz="4" w:space="0"/>
              <w:left w:val="single" w:color="000000" w:sz="12" w:space="0"/>
              <w:bottom w:val="single" w:color="000000" w:sz="4" w:space="0"/>
              <w:right w:val="single" w:color="000000" w:sz="4" w:space="0"/>
            </w:tcBorders>
            <w:noWrap w:val="0"/>
            <w:vAlign w:val="center"/>
          </w:tcPr>
          <w:p w14:paraId="74EAE2C6">
            <w:pPr>
              <w:jc w:val="center"/>
              <w:rPr>
                <w:rFonts w:hint="eastAsia" w:ascii="仿宋_GB2312" w:eastAsia="仿宋_GB2312" w:cs="宋体"/>
                <w:color w:val="auto"/>
                <w:sz w:val="22"/>
                <w:szCs w:val="22"/>
              </w:rPr>
            </w:pPr>
            <w:r>
              <w:rPr>
                <w:rFonts w:hint="eastAsia" w:ascii="仿宋_GB2312" w:eastAsia="仿宋_GB2312" w:cs="宋体"/>
                <w:color w:val="auto"/>
                <w:sz w:val="22"/>
                <w:szCs w:val="22"/>
                <w:lang w:val="en-US" w:eastAsia="zh-CN"/>
              </w:rPr>
              <w:t>4</w:t>
            </w:r>
          </w:p>
        </w:tc>
        <w:tc>
          <w:tcPr>
            <w:tcW w:w="1984" w:type="dxa"/>
            <w:tcBorders>
              <w:top w:val="single" w:color="000000" w:sz="4" w:space="0"/>
              <w:left w:val="single" w:color="000000" w:sz="4" w:space="0"/>
              <w:bottom w:val="single" w:color="000000" w:sz="4" w:space="0"/>
              <w:right w:val="single" w:color="000000" w:sz="4" w:space="0"/>
            </w:tcBorders>
            <w:noWrap w:val="0"/>
            <w:vAlign w:val="center"/>
          </w:tcPr>
          <w:p w14:paraId="7B06C379">
            <w:pPr>
              <w:rPr>
                <w:rFonts w:ascii="仿宋_GB2312" w:eastAsia="仿宋_GB2312" w:cs="宋体"/>
                <w:color w:val="auto"/>
                <w:sz w:val="22"/>
                <w:szCs w:val="22"/>
              </w:rPr>
            </w:pPr>
            <w:r>
              <w:rPr>
                <w:rFonts w:hint="eastAsia" w:ascii="仿宋_GB2312" w:eastAsia="仿宋_GB2312" w:cs="宋体"/>
                <w:color w:val="auto"/>
                <w:sz w:val="22"/>
                <w:szCs w:val="22"/>
              </w:rPr>
              <w:t>对未建立环境管理台账记录制度</w:t>
            </w:r>
            <w:r>
              <w:rPr>
                <w:rFonts w:hint="eastAsia" w:ascii="仿宋_GB2312" w:eastAsia="仿宋_GB2312" w:cs="宋体"/>
                <w:color w:val="auto"/>
                <w:sz w:val="22"/>
                <w:szCs w:val="22"/>
                <w:lang w:eastAsia="zh-CN"/>
              </w:rPr>
              <w:t>的</w:t>
            </w:r>
            <w:r>
              <w:rPr>
                <w:rFonts w:hint="eastAsia" w:ascii="仿宋_GB2312" w:eastAsia="仿宋_GB2312" w:cs="宋体"/>
                <w:color w:val="auto"/>
                <w:sz w:val="22"/>
                <w:szCs w:val="22"/>
                <w:lang w:val="en-US" w:eastAsia="zh-CN"/>
              </w:rPr>
              <w:t>处罚</w:t>
            </w:r>
          </w:p>
        </w:tc>
        <w:tc>
          <w:tcPr>
            <w:tcW w:w="2127" w:type="dxa"/>
            <w:tcBorders>
              <w:top w:val="single" w:color="000000" w:sz="4" w:space="0"/>
              <w:left w:val="single" w:color="000000" w:sz="4" w:space="0"/>
              <w:bottom w:val="single" w:color="000000" w:sz="4" w:space="0"/>
              <w:right w:val="single" w:color="auto" w:sz="4" w:space="0"/>
            </w:tcBorders>
            <w:noWrap w:val="0"/>
            <w:vAlign w:val="center"/>
          </w:tcPr>
          <w:p w14:paraId="1E55B2FE">
            <w:pPr>
              <w:rPr>
                <w:rFonts w:hint="eastAsia" w:ascii="仿宋_GB2312" w:eastAsia="仿宋_GB2312" w:cs="宋体"/>
                <w:color w:val="auto"/>
                <w:sz w:val="22"/>
                <w:szCs w:val="22"/>
              </w:rPr>
            </w:pPr>
            <w:r>
              <w:rPr>
                <w:rFonts w:hint="eastAsia" w:ascii="仿宋_GB2312" w:eastAsia="仿宋_GB2312" w:cs="宋体"/>
                <w:color w:val="auto"/>
                <w:sz w:val="22"/>
                <w:szCs w:val="22"/>
              </w:rPr>
              <w:t>省、设区的市人民政府生态环境主管部门及其派出机构</w:t>
            </w:r>
          </w:p>
        </w:tc>
        <w:tc>
          <w:tcPr>
            <w:tcW w:w="3181" w:type="dxa"/>
            <w:tcBorders>
              <w:top w:val="single" w:color="000000" w:sz="4" w:space="0"/>
              <w:left w:val="single" w:color="auto" w:sz="4" w:space="0"/>
              <w:bottom w:val="single" w:color="000000" w:sz="4" w:space="0"/>
              <w:right w:val="single" w:color="000000" w:sz="4" w:space="0"/>
            </w:tcBorders>
            <w:noWrap w:val="0"/>
            <w:vAlign w:val="center"/>
          </w:tcPr>
          <w:p w14:paraId="7F18DC84">
            <w:pPr>
              <w:rPr>
                <w:rFonts w:hint="eastAsia" w:ascii="仿宋_GB2312" w:eastAsia="仿宋_GB2312" w:cs="宋体"/>
                <w:color w:val="auto"/>
                <w:sz w:val="22"/>
                <w:szCs w:val="22"/>
              </w:rPr>
            </w:pPr>
            <w:r>
              <w:rPr>
                <w:rFonts w:hint="eastAsia" w:ascii="仿宋_GB2312" w:eastAsia="仿宋_GB2312" w:cs="宋体"/>
                <w:color w:val="auto"/>
                <w:sz w:val="22"/>
                <w:szCs w:val="22"/>
              </w:rPr>
              <w:t>初次违法，违法行为持续时间不超过3个月，自责令改正书下达之日起5个工作日内完成整改的。</w:t>
            </w:r>
          </w:p>
        </w:tc>
        <w:tc>
          <w:tcPr>
            <w:tcW w:w="4757" w:type="dxa"/>
            <w:tcBorders>
              <w:top w:val="single" w:color="000000" w:sz="4" w:space="0"/>
              <w:left w:val="single" w:color="000000" w:sz="4" w:space="0"/>
              <w:bottom w:val="single" w:color="000000" w:sz="4" w:space="0"/>
              <w:right w:val="single" w:color="000000" w:sz="4" w:space="0"/>
            </w:tcBorders>
            <w:noWrap w:val="0"/>
            <w:vAlign w:val="center"/>
          </w:tcPr>
          <w:p w14:paraId="7DAB833C">
            <w:pPr>
              <w:ind w:firstLine="440" w:firstLineChars="200"/>
              <w:rPr>
                <w:rFonts w:ascii="仿宋_GB2312" w:eastAsia="仿宋_GB2312" w:cs="宋体"/>
                <w:color w:val="auto"/>
                <w:sz w:val="22"/>
                <w:szCs w:val="22"/>
              </w:rPr>
            </w:pPr>
            <w:r>
              <w:rPr>
                <w:rFonts w:hint="eastAsia" w:ascii="仿宋_GB2312" w:eastAsia="仿宋_GB2312" w:cs="宋体"/>
                <w:color w:val="auto"/>
                <w:sz w:val="22"/>
                <w:szCs w:val="22"/>
              </w:rPr>
              <w:t>《排污许可管理条例》</w:t>
            </w:r>
          </w:p>
          <w:p w14:paraId="17B06FD9">
            <w:pPr>
              <w:ind w:firstLine="440" w:firstLineChars="200"/>
              <w:rPr>
                <w:rFonts w:hint="eastAsia" w:ascii="仿宋_GB2312" w:eastAsia="仿宋_GB2312" w:cs="宋体"/>
                <w:color w:val="auto"/>
                <w:sz w:val="22"/>
                <w:szCs w:val="22"/>
              </w:rPr>
            </w:pPr>
            <w:r>
              <w:rPr>
                <w:rFonts w:hint="eastAsia" w:ascii="仿宋_GB2312" w:eastAsia="仿宋_GB2312" w:cs="宋体"/>
                <w:color w:val="auto"/>
                <w:sz w:val="22"/>
                <w:szCs w:val="22"/>
              </w:rPr>
              <w:t>第二十一条第一款 排污单位应当建立环境管理台账记录制度，按照排污许可证规定的格式、内容和频次，如实记录主要生产设施、污染防治设施运行情况以及污染物排放浓度、排放量。环境管理台账记录保存期限不得少于5年。</w:t>
            </w:r>
          </w:p>
          <w:p w14:paraId="207E9E7F">
            <w:pPr>
              <w:ind w:firstLine="440" w:firstLineChars="200"/>
              <w:rPr>
                <w:rFonts w:hint="eastAsia" w:ascii="仿宋_GB2312" w:eastAsia="仿宋_GB2312" w:cs="宋体"/>
                <w:color w:val="auto"/>
                <w:sz w:val="22"/>
                <w:szCs w:val="22"/>
              </w:rPr>
            </w:pPr>
            <w:r>
              <w:rPr>
                <w:rFonts w:hint="eastAsia" w:ascii="仿宋_GB2312" w:eastAsia="仿宋_GB2312" w:cs="宋体"/>
                <w:color w:val="auto"/>
                <w:sz w:val="22"/>
                <w:szCs w:val="22"/>
              </w:rPr>
              <w:t>第三十七条第</w:t>
            </w:r>
            <w:r>
              <w:rPr>
                <w:rFonts w:hint="eastAsia" w:ascii="仿宋_GB2312" w:eastAsia="仿宋_GB2312" w:cs="宋体"/>
                <w:color w:val="auto"/>
                <w:sz w:val="22"/>
                <w:szCs w:val="22"/>
                <w:lang w:val="en-US" w:eastAsia="zh-CN"/>
              </w:rPr>
              <w:t>一</w:t>
            </w:r>
            <w:r>
              <w:rPr>
                <w:rFonts w:hint="eastAsia" w:ascii="仿宋_GB2312" w:eastAsia="仿宋_GB2312" w:cs="宋体"/>
                <w:color w:val="auto"/>
                <w:sz w:val="22"/>
                <w:szCs w:val="22"/>
              </w:rPr>
              <w:t>项 违反本条例规定，排污单位有下列行为之一的，由生态环境主管部门责令改正，处每次5千元以上2万元以下的罚款；法律另有规定的，从其规定：（一）未建立环境管理台账记录制度，或者未按照排污许可证规定记录</w:t>
            </w:r>
            <w:r>
              <w:rPr>
                <w:rFonts w:hint="eastAsia" w:ascii="仿宋_GB2312" w:eastAsia="仿宋_GB2312" w:cs="宋体"/>
                <w:color w:val="auto"/>
                <w:sz w:val="22"/>
                <w:szCs w:val="22"/>
                <w:lang w:eastAsia="zh-CN"/>
              </w:rPr>
              <w:t>。</w:t>
            </w:r>
          </w:p>
        </w:tc>
        <w:tc>
          <w:tcPr>
            <w:tcW w:w="1188" w:type="dxa"/>
            <w:tcBorders>
              <w:top w:val="single" w:color="000000" w:sz="4" w:space="0"/>
              <w:left w:val="single" w:color="000000" w:sz="4" w:space="0"/>
              <w:bottom w:val="single" w:color="000000" w:sz="4" w:space="0"/>
              <w:right w:val="single" w:color="000000" w:sz="12" w:space="0"/>
            </w:tcBorders>
            <w:noWrap w:val="0"/>
            <w:vAlign w:val="center"/>
          </w:tcPr>
          <w:p w14:paraId="31E89E35">
            <w:pPr>
              <w:rPr>
                <w:rFonts w:hint="eastAsia" w:ascii="仿宋_GB2312" w:eastAsia="仿宋_GB2312" w:cs="宋体"/>
                <w:color w:val="auto"/>
                <w:sz w:val="22"/>
                <w:szCs w:val="22"/>
              </w:rPr>
            </w:pPr>
          </w:p>
        </w:tc>
      </w:tr>
      <w:tr w14:paraId="444589CD">
        <w:tblPrEx>
          <w:tblCellMar>
            <w:top w:w="15" w:type="dxa"/>
            <w:left w:w="15" w:type="dxa"/>
            <w:bottom w:w="15" w:type="dxa"/>
            <w:right w:w="15" w:type="dxa"/>
          </w:tblCellMar>
        </w:tblPrEx>
        <w:trPr>
          <w:trHeight w:val="514" w:hRule="atLeast"/>
          <w:jc w:val="center"/>
        </w:trPr>
        <w:tc>
          <w:tcPr>
            <w:tcW w:w="851" w:type="dxa"/>
            <w:tcBorders>
              <w:top w:val="single" w:color="000000" w:sz="4" w:space="0"/>
              <w:left w:val="single" w:color="000000" w:sz="12" w:space="0"/>
              <w:bottom w:val="single" w:color="000000" w:sz="4" w:space="0"/>
              <w:right w:val="single" w:color="000000" w:sz="4" w:space="0"/>
            </w:tcBorders>
            <w:noWrap w:val="0"/>
            <w:vAlign w:val="center"/>
          </w:tcPr>
          <w:p w14:paraId="0043531C">
            <w:pPr>
              <w:jc w:val="center"/>
              <w:rPr>
                <w:rFonts w:hint="default" w:ascii="仿宋_GB2312" w:eastAsia="仿宋_GB2312" w:cs="宋体"/>
                <w:color w:val="auto"/>
                <w:sz w:val="22"/>
                <w:szCs w:val="22"/>
                <w:lang w:val="en-US" w:eastAsia="zh-CN"/>
              </w:rPr>
            </w:pPr>
            <w:r>
              <w:rPr>
                <w:rFonts w:hint="eastAsia" w:ascii="仿宋_GB2312" w:eastAsia="仿宋_GB2312" w:cs="宋体"/>
                <w:color w:val="auto"/>
                <w:sz w:val="22"/>
                <w:szCs w:val="22"/>
                <w:lang w:val="en-US" w:eastAsia="zh-CN"/>
              </w:rPr>
              <w:t>5</w:t>
            </w:r>
          </w:p>
        </w:tc>
        <w:tc>
          <w:tcPr>
            <w:tcW w:w="1984" w:type="dxa"/>
            <w:tcBorders>
              <w:top w:val="single" w:color="000000" w:sz="4" w:space="0"/>
              <w:left w:val="single" w:color="000000" w:sz="4" w:space="0"/>
              <w:bottom w:val="single" w:color="000000" w:sz="4" w:space="0"/>
              <w:right w:val="single" w:color="000000" w:sz="4" w:space="0"/>
            </w:tcBorders>
            <w:noWrap w:val="0"/>
            <w:vAlign w:val="center"/>
          </w:tcPr>
          <w:p w14:paraId="76D3618B">
            <w:pPr>
              <w:rPr>
                <w:rFonts w:hint="eastAsia" w:ascii="仿宋_GB2312" w:eastAsia="仿宋_GB2312" w:cs="宋体"/>
                <w:color w:val="auto"/>
                <w:sz w:val="22"/>
                <w:szCs w:val="22"/>
                <w:lang w:val="en-US" w:eastAsia="zh-CN"/>
              </w:rPr>
            </w:pPr>
            <w:r>
              <w:rPr>
                <w:rFonts w:hint="eastAsia" w:ascii="仿宋_GB2312" w:eastAsia="仿宋_GB2312" w:cs="宋体"/>
                <w:color w:val="auto"/>
                <w:sz w:val="22"/>
                <w:szCs w:val="22"/>
                <w:lang w:val="en-US" w:eastAsia="zh-CN"/>
              </w:rPr>
              <w:t>对</w:t>
            </w:r>
            <w:r>
              <w:rPr>
                <w:rFonts w:hint="eastAsia" w:ascii="仿宋_GB2312" w:eastAsia="仿宋_GB2312" w:cs="宋体"/>
                <w:color w:val="auto"/>
                <w:sz w:val="22"/>
                <w:szCs w:val="22"/>
              </w:rPr>
              <w:t>需要填报排污登记表的企业事业单位和其他生产经营者未依法填报排污信息的</w:t>
            </w:r>
            <w:r>
              <w:rPr>
                <w:rFonts w:hint="eastAsia" w:ascii="仿宋_GB2312" w:eastAsia="仿宋_GB2312" w:cs="宋体"/>
                <w:color w:val="auto"/>
                <w:sz w:val="22"/>
                <w:szCs w:val="22"/>
                <w:lang w:val="en-US" w:eastAsia="zh-CN"/>
              </w:rPr>
              <w:t>处罚</w:t>
            </w:r>
          </w:p>
        </w:tc>
        <w:tc>
          <w:tcPr>
            <w:tcW w:w="2127" w:type="dxa"/>
            <w:tcBorders>
              <w:top w:val="single" w:color="000000" w:sz="4" w:space="0"/>
              <w:left w:val="single" w:color="000000" w:sz="4" w:space="0"/>
              <w:bottom w:val="single" w:color="000000" w:sz="4" w:space="0"/>
              <w:right w:val="single" w:color="auto" w:sz="4" w:space="0"/>
            </w:tcBorders>
            <w:noWrap w:val="0"/>
            <w:vAlign w:val="center"/>
          </w:tcPr>
          <w:p w14:paraId="24D07D88">
            <w:pPr>
              <w:rPr>
                <w:rFonts w:hint="eastAsia" w:ascii="仿宋_GB2312" w:eastAsia="仿宋_GB2312" w:cs="宋体"/>
                <w:color w:val="auto"/>
                <w:sz w:val="22"/>
                <w:szCs w:val="22"/>
              </w:rPr>
            </w:pPr>
            <w:r>
              <w:rPr>
                <w:rFonts w:hint="eastAsia" w:ascii="仿宋_GB2312" w:eastAsia="仿宋_GB2312" w:cs="宋体"/>
                <w:color w:val="auto"/>
                <w:sz w:val="22"/>
                <w:szCs w:val="22"/>
              </w:rPr>
              <w:t>省、设区的市人民政府生态环境主管部门及其派出机构</w:t>
            </w:r>
          </w:p>
        </w:tc>
        <w:tc>
          <w:tcPr>
            <w:tcW w:w="3181" w:type="dxa"/>
            <w:tcBorders>
              <w:top w:val="single" w:color="000000" w:sz="4" w:space="0"/>
              <w:left w:val="single" w:color="auto" w:sz="4" w:space="0"/>
              <w:bottom w:val="single" w:color="000000" w:sz="4" w:space="0"/>
              <w:right w:val="single" w:color="000000" w:sz="4" w:space="0"/>
            </w:tcBorders>
            <w:noWrap w:val="0"/>
            <w:vAlign w:val="center"/>
          </w:tcPr>
          <w:p w14:paraId="78873032">
            <w:pPr>
              <w:rPr>
                <w:rFonts w:hint="eastAsia" w:ascii="仿宋_GB2312" w:eastAsia="仿宋_GB2312" w:cs="宋体"/>
                <w:color w:val="auto"/>
                <w:sz w:val="22"/>
                <w:szCs w:val="22"/>
              </w:rPr>
            </w:pPr>
            <w:r>
              <w:rPr>
                <w:rFonts w:hint="eastAsia" w:ascii="仿宋_GB2312" w:eastAsia="仿宋_GB2312" w:cs="宋体"/>
                <w:color w:val="auto"/>
                <w:sz w:val="22"/>
                <w:szCs w:val="22"/>
              </w:rPr>
              <w:t>初次违法，违法行为持续时间不超过</w:t>
            </w:r>
            <w:r>
              <w:rPr>
                <w:rFonts w:hint="eastAsia" w:ascii="仿宋_GB2312" w:eastAsia="仿宋_GB2312" w:cs="宋体"/>
                <w:color w:val="auto"/>
                <w:sz w:val="22"/>
                <w:szCs w:val="22"/>
                <w:lang w:val="en-US" w:eastAsia="zh-CN"/>
              </w:rPr>
              <w:t>1</w:t>
            </w:r>
            <w:r>
              <w:rPr>
                <w:rFonts w:hint="eastAsia" w:ascii="仿宋_GB2312" w:eastAsia="仿宋_GB2312" w:cs="宋体"/>
                <w:color w:val="auto"/>
                <w:sz w:val="22"/>
                <w:szCs w:val="22"/>
              </w:rPr>
              <w:t>个月，自责令改正书下达之日起5个工作日内完成整改的。</w:t>
            </w:r>
          </w:p>
        </w:tc>
        <w:tc>
          <w:tcPr>
            <w:tcW w:w="4757" w:type="dxa"/>
            <w:tcBorders>
              <w:top w:val="single" w:color="000000" w:sz="4" w:space="0"/>
              <w:left w:val="single" w:color="000000" w:sz="4" w:space="0"/>
              <w:bottom w:val="single" w:color="000000" w:sz="4" w:space="0"/>
              <w:right w:val="single" w:color="000000" w:sz="4" w:space="0"/>
            </w:tcBorders>
            <w:noWrap w:val="0"/>
            <w:vAlign w:val="center"/>
          </w:tcPr>
          <w:p w14:paraId="7248ADDD">
            <w:pPr>
              <w:widowControl/>
              <w:ind w:firstLine="440" w:firstLineChars="200"/>
              <w:jc w:val="left"/>
              <w:rPr>
                <w:rFonts w:hint="eastAsia" w:ascii="仿宋_GB2312" w:eastAsia="仿宋_GB2312" w:cs="宋体"/>
                <w:color w:val="auto"/>
                <w:sz w:val="22"/>
                <w:szCs w:val="22"/>
              </w:rPr>
            </w:pPr>
            <w:r>
              <w:rPr>
                <w:rFonts w:hint="eastAsia" w:ascii="仿宋_GB2312" w:eastAsia="仿宋_GB2312" w:cs="宋体"/>
                <w:color w:val="auto"/>
                <w:sz w:val="22"/>
                <w:szCs w:val="22"/>
              </w:rPr>
              <w:t>《中华人民共和国生态环境法典》</w:t>
            </w:r>
          </w:p>
          <w:p w14:paraId="49541103">
            <w:pPr>
              <w:ind w:firstLine="440" w:firstLineChars="200"/>
              <w:rPr>
                <w:rFonts w:hint="eastAsia" w:ascii="仿宋_GB2312" w:eastAsia="仿宋_GB2312" w:cs="宋体"/>
                <w:color w:val="auto"/>
                <w:sz w:val="22"/>
                <w:szCs w:val="22"/>
              </w:rPr>
            </w:pPr>
            <w:r>
              <w:rPr>
                <w:rFonts w:hint="eastAsia" w:ascii="仿宋_GB2312" w:eastAsia="仿宋_GB2312" w:cs="宋体"/>
                <w:color w:val="auto"/>
                <w:sz w:val="22"/>
                <w:szCs w:val="22"/>
              </w:rPr>
              <w:t>第一百八十六条　污染物产生量、排放量和对生态环境的影响程度都很小的企业事业单位和其他生产经营者，应当填报排污登记表，不实行排污许可管理。排污登记表有效期为五年。</w:t>
            </w:r>
          </w:p>
          <w:p w14:paraId="56329AE6">
            <w:pPr>
              <w:ind w:firstLine="440" w:firstLineChars="200"/>
              <w:rPr>
                <w:rFonts w:hint="eastAsia" w:ascii="仿宋_GB2312" w:eastAsia="仿宋_GB2312" w:cs="宋体"/>
                <w:color w:val="auto"/>
                <w:sz w:val="22"/>
                <w:szCs w:val="22"/>
              </w:rPr>
            </w:pPr>
            <w:r>
              <w:rPr>
                <w:rFonts w:hint="eastAsia" w:ascii="仿宋_GB2312" w:eastAsia="仿宋_GB2312" w:cs="宋体"/>
                <w:color w:val="auto"/>
                <w:sz w:val="22"/>
                <w:szCs w:val="22"/>
              </w:rPr>
              <w:t>第一千一百零六条　违反本法规定，需要填报排污登记表的企业事业单位和其他生产经营者未依法填报排污信息的，由生态环境主管部门责令改正，可以处五万元以下的罚款。</w:t>
            </w:r>
          </w:p>
        </w:tc>
        <w:tc>
          <w:tcPr>
            <w:tcW w:w="1188" w:type="dxa"/>
            <w:tcBorders>
              <w:top w:val="single" w:color="000000" w:sz="4" w:space="0"/>
              <w:left w:val="single" w:color="000000" w:sz="4" w:space="0"/>
              <w:bottom w:val="single" w:color="000000" w:sz="4" w:space="0"/>
              <w:right w:val="single" w:color="000000" w:sz="12" w:space="0"/>
            </w:tcBorders>
            <w:noWrap w:val="0"/>
            <w:vAlign w:val="center"/>
          </w:tcPr>
          <w:p w14:paraId="504DCBF0">
            <w:pPr>
              <w:rPr>
                <w:rFonts w:hint="eastAsia" w:ascii="仿宋_GB2312" w:eastAsia="仿宋_GB2312" w:cs="宋体"/>
                <w:color w:val="auto"/>
                <w:sz w:val="22"/>
                <w:szCs w:val="22"/>
              </w:rPr>
            </w:pPr>
          </w:p>
        </w:tc>
      </w:tr>
      <w:tr w14:paraId="2FD00C1D">
        <w:tblPrEx>
          <w:tblCellMar>
            <w:top w:w="15" w:type="dxa"/>
            <w:left w:w="15" w:type="dxa"/>
            <w:bottom w:w="15" w:type="dxa"/>
            <w:right w:w="15" w:type="dxa"/>
          </w:tblCellMar>
        </w:tblPrEx>
        <w:trPr>
          <w:trHeight w:val="514" w:hRule="atLeast"/>
          <w:jc w:val="center"/>
        </w:trPr>
        <w:tc>
          <w:tcPr>
            <w:tcW w:w="851" w:type="dxa"/>
            <w:tcBorders>
              <w:top w:val="single" w:color="000000" w:sz="4" w:space="0"/>
              <w:left w:val="single" w:color="000000" w:sz="12" w:space="0"/>
              <w:bottom w:val="single" w:color="000000" w:sz="4" w:space="0"/>
              <w:right w:val="single" w:color="000000" w:sz="4" w:space="0"/>
            </w:tcBorders>
            <w:noWrap w:val="0"/>
            <w:vAlign w:val="center"/>
          </w:tcPr>
          <w:p w14:paraId="0EE73EA2">
            <w:pPr>
              <w:jc w:val="center"/>
              <w:rPr>
                <w:rFonts w:hint="default" w:ascii="仿宋_GB2312" w:eastAsia="仿宋_GB2312" w:cs="宋体"/>
                <w:color w:val="auto"/>
                <w:sz w:val="22"/>
                <w:szCs w:val="22"/>
                <w:lang w:val="en-US"/>
              </w:rPr>
            </w:pPr>
            <w:r>
              <w:rPr>
                <w:rFonts w:hint="eastAsia" w:ascii="仿宋_GB2312" w:eastAsia="仿宋_GB2312" w:cs="宋体"/>
                <w:color w:val="auto"/>
                <w:sz w:val="22"/>
                <w:szCs w:val="22"/>
                <w:lang w:val="en-US" w:eastAsia="zh-CN"/>
              </w:rPr>
              <w:t>6</w:t>
            </w:r>
          </w:p>
        </w:tc>
        <w:tc>
          <w:tcPr>
            <w:tcW w:w="1984" w:type="dxa"/>
            <w:tcBorders>
              <w:top w:val="single" w:color="000000" w:sz="4" w:space="0"/>
              <w:left w:val="single" w:color="000000" w:sz="4" w:space="0"/>
              <w:bottom w:val="single" w:color="000000" w:sz="4" w:space="0"/>
              <w:right w:val="single" w:color="000000" w:sz="4" w:space="0"/>
            </w:tcBorders>
            <w:noWrap w:val="0"/>
            <w:vAlign w:val="center"/>
          </w:tcPr>
          <w:p w14:paraId="1A42F5C7">
            <w:pPr>
              <w:rPr>
                <w:rFonts w:hint="eastAsia" w:ascii="仿宋_GB2312" w:eastAsia="仿宋_GB2312" w:cs="宋体"/>
                <w:color w:val="auto"/>
                <w:sz w:val="22"/>
                <w:szCs w:val="22"/>
              </w:rPr>
            </w:pPr>
            <w:r>
              <w:rPr>
                <w:rFonts w:hint="eastAsia" w:ascii="仿宋_GB2312" w:eastAsia="仿宋_GB2312" w:cs="宋体"/>
                <w:color w:val="auto"/>
                <w:kern w:val="0"/>
                <w:sz w:val="22"/>
                <w:szCs w:val="22"/>
                <w:lang w:val="en-US" w:eastAsia="zh-CN" w:bidi="ar"/>
              </w:rPr>
              <w:t>对</w:t>
            </w:r>
            <w:r>
              <w:rPr>
                <w:rFonts w:hint="eastAsia" w:ascii="仿宋_GB2312" w:eastAsia="仿宋_GB2312" w:cs="宋体"/>
                <w:color w:val="auto"/>
                <w:kern w:val="0"/>
                <w:sz w:val="22"/>
                <w:szCs w:val="22"/>
                <w:lang w:bidi="ar"/>
              </w:rPr>
              <w:t>超过污染物排放标准排放污染物</w:t>
            </w:r>
            <w:r>
              <w:rPr>
                <w:rFonts w:hint="eastAsia" w:ascii="仿宋_GB2312" w:eastAsia="仿宋_GB2312" w:cs="宋体"/>
                <w:color w:val="auto"/>
                <w:sz w:val="22"/>
                <w:szCs w:val="22"/>
                <w:lang w:eastAsia="zh-CN"/>
              </w:rPr>
              <w:t>的</w:t>
            </w:r>
            <w:r>
              <w:rPr>
                <w:rFonts w:hint="eastAsia" w:ascii="仿宋_GB2312" w:eastAsia="仿宋_GB2312" w:cs="宋体"/>
                <w:color w:val="auto"/>
                <w:sz w:val="22"/>
                <w:szCs w:val="22"/>
                <w:lang w:val="en-US" w:eastAsia="zh-CN"/>
              </w:rPr>
              <w:t>处罚</w:t>
            </w:r>
          </w:p>
        </w:tc>
        <w:tc>
          <w:tcPr>
            <w:tcW w:w="2127" w:type="dxa"/>
            <w:tcBorders>
              <w:top w:val="single" w:color="000000" w:sz="4" w:space="0"/>
              <w:left w:val="single" w:color="000000" w:sz="4" w:space="0"/>
              <w:bottom w:val="single" w:color="000000" w:sz="4" w:space="0"/>
              <w:right w:val="single" w:color="auto" w:sz="4" w:space="0"/>
            </w:tcBorders>
            <w:noWrap w:val="0"/>
            <w:vAlign w:val="center"/>
          </w:tcPr>
          <w:p w14:paraId="1B0827C7">
            <w:pPr>
              <w:rPr>
                <w:rFonts w:hint="eastAsia" w:ascii="仿宋_GB2312" w:eastAsia="仿宋_GB2312" w:cs="宋体"/>
                <w:color w:val="auto"/>
                <w:sz w:val="22"/>
                <w:szCs w:val="22"/>
              </w:rPr>
            </w:pPr>
            <w:r>
              <w:rPr>
                <w:rFonts w:hint="eastAsia" w:ascii="仿宋_GB2312" w:eastAsia="仿宋_GB2312" w:cs="宋体"/>
                <w:color w:val="auto"/>
                <w:sz w:val="22"/>
                <w:szCs w:val="22"/>
              </w:rPr>
              <w:t>省、设区的市人民政府生态环境主管部门及其派出机构</w:t>
            </w:r>
          </w:p>
        </w:tc>
        <w:tc>
          <w:tcPr>
            <w:tcW w:w="3181" w:type="dxa"/>
            <w:tcBorders>
              <w:top w:val="single" w:color="000000" w:sz="4" w:space="0"/>
              <w:left w:val="single" w:color="auto" w:sz="4" w:space="0"/>
              <w:bottom w:val="single" w:color="000000" w:sz="4" w:space="0"/>
              <w:right w:val="single" w:color="000000" w:sz="4" w:space="0"/>
            </w:tcBorders>
            <w:noWrap w:val="0"/>
            <w:vAlign w:val="center"/>
          </w:tcPr>
          <w:p w14:paraId="6563A1BB">
            <w:pPr>
              <w:widowControl/>
              <w:jc w:val="both"/>
              <w:rPr>
                <w:rFonts w:hint="eastAsia" w:ascii="仿宋_GB2312" w:eastAsia="仿宋_GB2312" w:cs="宋体"/>
                <w:color w:val="auto"/>
                <w:sz w:val="22"/>
                <w:szCs w:val="22"/>
              </w:rPr>
            </w:pPr>
            <w:r>
              <w:rPr>
                <w:rFonts w:hint="eastAsia" w:ascii="仿宋_GB2312" w:hAnsi="仿宋_GB2312" w:eastAsia="仿宋_GB2312" w:cs="仿宋_GB2312"/>
                <w:color w:val="auto"/>
                <w:kern w:val="0"/>
                <w:sz w:val="22"/>
                <w:szCs w:val="22"/>
                <w:lang w:val="en-US" w:eastAsia="zh-CN"/>
              </w:rPr>
              <w:t>1.</w:t>
            </w:r>
            <w:r>
              <w:rPr>
                <w:rFonts w:hint="eastAsia" w:ascii="仿宋_GB2312" w:hAnsi="仿宋_GB2312" w:eastAsia="仿宋_GB2312" w:cs="仿宋_GB2312"/>
                <w:color w:val="auto"/>
                <w:kern w:val="0"/>
                <w:sz w:val="22"/>
                <w:szCs w:val="22"/>
              </w:rPr>
              <w:t>初次违法，超标排放大</w:t>
            </w:r>
            <w:r>
              <w:rPr>
                <w:rFonts w:hint="eastAsia" w:ascii="仿宋_GB2312" w:eastAsia="仿宋_GB2312" w:cs="宋体"/>
                <w:color w:val="auto"/>
                <w:sz w:val="22"/>
                <w:szCs w:val="22"/>
              </w:rPr>
              <w:t>气污染物</w:t>
            </w:r>
            <w:r>
              <w:rPr>
                <w:rFonts w:hint="eastAsia" w:ascii="仿宋_GB2312" w:hAnsi="仿宋_GB2312" w:eastAsia="仿宋_GB2312" w:cs="仿宋_GB2312"/>
                <w:color w:val="auto"/>
                <w:kern w:val="0"/>
                <w:sz w:val="22"/>
                <w:szCs w:val="22"/>
              </w:rPr>
              <w:t>除有毒有害物质、放射性物质、</w:t>
            </w:r>
            <w:r>
              <w:rPr>
                <w:rFonts w:hint="eastAsia" w:ascii="仿宋_GB2312" w:hAnsi="仿宋_GB2312" w:eastAsia="仿宋_GB2312" w:cs="仿宋_GB2312"/>
                <w:color w:val="auto"/>
                <w:kern w:val="0"/>
                <w:sz w:val="22"/>
                <w:szCs w:val="22"/>
                <w:highlight w:val="none"/>
              </w:rPr>
              <w:t>重金属、持久性有机污染物之外，超标排放大气污染物（不含恶臭、机动车和非道路移动机械排放污染物、</w:t>
            </w:r>
            <w:r>
              <w:rPr>
                <w:rFonts w:hint="eastAsia" w:ascii="仿宋_GB2312" w:hAnsi="仿宋_GB2312" w:eastAsia="仿宋_GB2312" w:cs="仿宋_GB2312"/>
                <w:color w:val="auto"/>
                <w:spacing w:val="-6"/>
                <w:kern w:val="0"/>
                <w:sz w:val="22"/>
                <w:szCs w:val="22"/>
                <w:highlight w:val="none"/>
              </w:rPr>
              <w:t>生活垃圾处理单位日均值和持久性有机污染物）</w:t>
            </w:r>
            <w:r>
              <w:rPr>
                <w:rFonts w:hint="eastAsia" w:ascii="仿宋_GB2312" w:hAnsi="仿宋_GB2312" w:eastAsia="仿宋_GB2312" w:cs="仿宋_GB2312"/>
                <w:color w:val="auto"/>
                <w:spacing w:val="-6"/>
                <w:kern w:val="0"/>
                <w:sz w:val="22"/>
                <w:szCs w:val="22"/>
              </w:rPr>
              <w:t>仅有一项污染物超过规定排放标准且超标幅度</w:t>
            </w:r>
            <w:r>
              <w:rPr>
                <w:rFonts w:hint="eastAsia" w:ascii="仿宋_GB2312" w:hAnsi="仿宋_GB2312" w:eastAsia="仿宋_GB2312" w:cs="仿宋_GB2312"/>
                <w:color w:val="auto"/>
                <w:kern w:val="0"/>
                <w:sz w:val="22"/>
                <w:szCs w:val="22"/>
              </w:rPr>
              <w:t>不超过10%，</w:t>
            </w:r>
            <w:r>
              <w:rPr>
                <w:rFonts w:hint="eastAsia" w:ascii="仿宋_GB2312" w:eastAsia="仿宋_GB2312" w:cs="宋体"/>
                <w:color w:val="auto"/>
                <w:sz w:val="22"/>
                <w:szCs w:val="22"/>
              </w:rPr>
              <w:t>自责令改正决定书下达次日内改正的。</w:t>
            </w:r>
          </w:p>
          <w:p w14:paraId="67E53193">
            <w:pPr>
              <w:widowControl/>
              <w:jc w:val="both"/>
              <w:rPr>
                <w:rFonts w:hint="eastAsia" w:ascii="仿宋_GB2312" w:hAnsi="仿宋_GB2312" w:eastAsia="仿宋_GB2312" w:cs="仿宋_GB2312"/>
                <w:color w:val="auto"/>
                <w:kern w:val="0"/>
                <w:sz w:val="22"/>
                <w:szCs w:val="22"/>
              </w:rPr>
            </w:pPr>
            <w:r>
              <w:rPr>
                <w:rFonts w:hint="eastAsia" w:ascii="仿宋_GB2312" w:eastAsia="仿宋_GB2312" w:cs="宋体"/>
                <w:color w:val="auto"/>
                <w:sz w:val="22"/>
                <w:szCs w:val="22"/>
                <w:lang w:val="en-US" w:eastAsia="zh-CN"/>
              </w:rPr>
              <w:t>2.</w:t>
            </w:r>
            <w:r>
              <w:rPr>
                <w:rFonts w:hint="eastAsia" w:ascii="仿宋_GB2312" w:eastAsia="仿宋_GB2312" w:cs="宋体"/>
                <w:color w:val="auto"/>
                <w:sz w:val="22"/>
                <w:szCs w:val="22"/>
              </w:rPr>
              <w:t>初次违法，超标排放水污染物</w:t>
            </w:r>
            <w:r>
              <w:rPr>
                <w:rFonts w:hint="eastAsia" w:ascii="仿宋_GB2312" w:hAnsi="仿宋_GB2312" w:eastAsia="仿宋_GB2312" w:cs="仿宋_GB2312"/>
                <w:color w:val="auto"/>
                <w:kern w:val="0"/>
                <w:sz w:val="22"/>
                <w:szCs w:val="22"/>
              </w:rPr>
              <w:t>除第一类污染物、有毒有害物质、放射性物质、重金属、持久性有机污染物之外，超标排放水污染物（不含色度）仅有一项污染物超过规定排放标准且超标幅度不超过10%，自责令改正决定书下达次日内改正的；pH值超标幅度在±0.5以内，自责令改正决定书下</w:t>
            </w:r>
            <w:r>
              <w:rPr>
                <w:rFonts w:hint="eastAsia" w:ascii="仿宋_GB2312" w:eastAsia="仿宋_GB2312" w:cs="宋体"/>
                <w:color w:val="auto"/>
                <w:sz w:val="22"/>
                <w:szCs w:val="22"/>
              </w:rPr>
              <w:t>达</w:t>
            </w:r>
            <w:r>
              <w:rPr>
                <w:rFonts w:hint="eastAsia" w:ascii="仿宋_GB2312" w:hAnsi="仿宋_GB2312" w:eastAsia="仿宋_GB2312" w:cs="仿宋_GB2312"/>
                <w:color w:val="auto"/>
                <w:kern w:val="0"/>
                <w:sz w:val="22"/>
                <w:szCs w:val="22"/>
              </w:rPr>
              <w:t>次日内改正的。</w:t>
            </w:r>
          </w:p>
          <w:p w14:paraId="36E6FEA9">
            <w:pPr>
              <w:widowControl/>
              <w:jc w:val="both"/>
              <w:rPr>
                <w:rFonts w:hint="default"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3.初次违法，噪声超标幅度在1分贝以内（含本数）的</w:t>
            </w:r>
            <w:r>
              <w:rPr>
                <w:rFonts w:hint="eastAsia" w:ascii="仿宋_GB2312" w:hAnsi="仿宋_GB2312" w:eastAsia="仿宋_GB2312" w:cs="仿宋_GB2312"/>
                <w:color w:val="auto"/>
                <w:kern w:val="0"/>
                <w:sz w:val="22"/>
                <w:szCs w:val="22"/>
              </w:rPr>
              <w:t>，自责令改正决定书下</w:t>
            </w:r>
            <w:r>
              <w:rPr>
                <w:rFonts w:hint="eastAsia" w:ascii="仿宋_GB2312" w:eastAsia="仿宋_GB2312" w:cs="宋体"/>
                <w:color w:val="auto"/>
                <w:sz w:val="22"/>
                <w:szCs w:val="22"/>
              </w:rPr>
              <w:t>达</w:t>
            </w:r>
            <w:r>
              <w:rPr>
                <w:rFonts w:hint="eastAsia" w:ascii="仿宋_GB2312" w:hAnsi="仿宋_GB2312" w:eastAsia="仿宋_GB2312" w:cs="仿宋_GB2312"/>
                <w:color w:val="auto"/>
                <w:kern w:val="0"/>
                <w:sz w:val="22"/>
                <w:szCs w:val="22"/>
              </w:rPr>
              <w:t>次日内改正的。</w:t>
            </w:r>
          </w:p>
        </w:tc>
        <w:tc>
          <w:tcPr>
            <w:tcW w:w="4757" w:type="dxa"/>
            <w:tcBorders>
              <w:top w:val="single" w:color="000000" w:sz="4" w:space="0"/>
              <w:left w:val="single" w:color="000000" w:sz="4" w:space="0"/>
              <w:bottom w:val="single" w:color="000000" w:sz="4" w:space="0"/>
              <w:right w:val="single" w:color="000000" w:sz="4" w:space="0"/>
            </w:tcBorders>
            <w:noWrap w:val="0"/>
            <w:vAlign w:val="center"/>
          </w:tcPr>
          <w:p w14:paraId="52938FB1">
            <w:pPr>
              <w:widowControl/>
              <w:ind w:firstLine="440" w:firstLineChars="200"/>
              <w:jc w:val="left"/>
              <w:rPr>
                <w:rFonts w:hint="eastAsia" w:ascii="仿宋_GB2312" w:eastAsia="仿宋_GB2312" w:cs="宋体"/>
                <w:color w:val="auto"/>
                <w:sz w:val="22"/>
                <w:szCs w:val="22"/>
              </w:rPr>
            </w:pPr>
            <w:r>
              <w:rPr>
                <w:rFonts w:hint="eastAsia" w:ascii="仿宋_GB2312" w:eastAsia="仿宋_GB2312" w:cs="宋体"/>
                <w:color w:val="auto"/>
                <w:sz w:val="22"/>
                <w:szCs w:val="22"/>
              </w:rPr>
              <w:t>《中华人民共和国生态环境法典》</w:t>
            </w:r>
          </w:p>
          <w:p w14:paraId="5A87F0E4">
            <w:pPr>
              <w:widowControl/>
              <w:ind w:firstLine="440" w:firstLineChars="200"/>
              <w:jc w:val="left"/>
              <w:rPr>
                <w:rFonts w:hint="eastAsia" w:ascii="仿宋_GB2312" w:eastAsia="仿宋_GB2312" w:cs="宋体"/>
                <w:color w:val="auto"/>
                <w:sz w:val="22"/>
                <w:szCs w:val="22"/>
              </w:rPr>
            </w:pPr>
            <w:r>
              <w:rPr>
                <w:rFonts w:hint="eastAsia" w:ascii="仿宋_GB2312" w:eastAsia="仿宋_GB2312" w:cs="宋体"/>
                <w:color w:val="auto"/>
                <w:sz w:val="22"/>
                <w:szCs w:val="22"/>
              </w:rPr>
              <w:t>第一百五十一条　排放污染物，应当符合污染物排放标准、重点污染物排放总量控制指标、排污许可管理和有关法律、法规、规章的要求。</w:t>
            </w:r>
          </w:p>
          <w:p w14:paraId="0A2FD54A">
            <w:pPr>
              <w:widowControl/>
              <w:ind w:firstLine="440" w:firstLineChars="200"/>
              <w:jc w:val="left"/>
              <w:rPr>
                <w:rFonts w:hint="eastAsia" w:ascii="仿宋_GB2312" w:eastAsia="仿宋_GB2312" w:cs="宋体"/>
                <w:color w:val="auto"/>
                <w:sz w:val="22"/>
                <w:szCs w:val="22"/>
              </w:rPr>
            </w:pPr>
            <w:r>
              <w:rPr>
                <w:rFonts w:hint="eastAsia" w:ascii="仿宋_GB2312" w:eastAsia="仿宋_GB2312" w:cs="宋体"/>
                <w:color w:val="auto"/>
                <w:sz w:val="22"/>
                <w:szCs w:val="22"/>
              </w:rPr>
              <w:t>第一百五十七条　企业事业单位应当遵守分解落实到本单位的重点污染物排放总量控制指标。</w:t>
            </w:r>
          </w:p>
          <w:p w14:paraId="4ED4DB4D">
            <w:pPr>
              <w:widowControl/>
              <w:ind w:firstLine="440" w:firstLineChars="200"/>
              <w:jc w:val="left"/>
              <w:rPr>
                <w:rFonts w:hint="eastAsia" w:ascii="仿宋_GB2312" w:eastAsia="仿宋_GB2312" w:cs="宋体"/>
                <w:color w:val="auto"/>
                <w:sz w:val="22"/>
                <w:szCs w:val="22"/>
              </w:rPr>
            </w:pPr>
            <w:r>
              <w:rPr>
                <w:rFonts w:hint="eastAsia" w:ascii="仿宋_GB2312" w:eastAsia="仿宋_GB2312" w:cs="宋体"/>
                <w:color w:val="auto"/>
                <w:sz w:val="22"/>
                <w:szCs w:val="22"/>
              </w:rPr>
              <w:t>第三百零三条　向城镇污水集中处理设施排放水污染物，应当符合水污染物排放标准。</w:t>
            </w:r>
          </w:p>
          <w:p w14:paraId="4D9A4218">
            <w:pPr>
              <w:widowControl/>
              <w:ind w:firstLine="440" w:firstLineChars="200"/>
              <w:jc w:val="left"/>
              <w:textAlignment w:val="auto"/>
              <w:rPr>
                <w:rFonts w:hint="eastAsia" w:ascii="仿宋_GB2312" w:eastAsia="仿宋_GB2312" w:cs="宋体"/>
                <w:color w:val="auto"/>
                <w:sz w:val="22"/>
                <w:szCs w:val="22"/>
              </w:rPr>
            </w:pPr>
            <w:r>
              <w:rPr>
                <w:rFonts w:hint="eastAsia" w:ascii="仿宋_GB2312" w:eastAsia="仿宋_GB2312" w:cs="宋体"/>
                <w:color w:val="auto"/>
                <w:sz w:val="22"/>
                <w:szCs w:val="22"/>
              </w:rPr>
              <w:t>第三百一十条　从事水产养殖活动应当保护水域生态环境，排放水产养殖尾水污染物等应当符合污染物排放标准，防止污染水环境。</w:t>
            </w:r>
          </w:p>
          <w:p w14:paraId="6B09D41A">
            <w:pPr>
              <w:widowControl/>
              <w:ind w:firstLine="440" w:firstLineChars="200"/>
              <w:jc w:val="left"/>
              <w:rPr>
                <w:rFonts w:ascii="仿宋_GB2312" w:eastAsia="仿宋_GB2312" w:cs="宋体"/>
                <w:color w:val="auto"/>
                <w:sz w:val="22"/>
                <w:szCs w:val="22"/>
              </w:rPr>
            </w:pPr>
            <w:r>
              <w:rPr>
                <w:rFonts w:hint="eastAsia" w:ascii="仿宋_GB2312" w:eastAsia="仿宋_GB2312" w:cs="宋体"/>
                <w:color w:val="auto"/>
                <w:sz w:val="22"/>
                <w:szCs w:val="22"/>
              </w:rPr>
              <w:t>第一千一百零七条　违反本法规定，超过污染物排放标准或者超过重点污染物排放总量控制指标排放污染物的，由生态环境主管部门责令改正，处十万元以上一百万元以下的罚款，可以责令限制生产、停产整治；情节严重的，报经有批准权的人民政府批准，责令停业、关闭。其中，污染物为工业噪声的，罚款数额为二万元以上二十万元以下。</w:t>
            </w:r>
          </w:p>
        </w:tc>
        <w:tc>
          <w:tcPr>
            <w:tcW w:w="1188" w:type="dxa"/>
            <w:tcBorders>
              <w:top w:val="single" w:color="000000" w:sz="4" w:space="0"/>
              <w:left w:val="single" w:color="000000" w:sz="4" w:space="0"/>
              <w:bottom w:val="single" w:color="000000" w:sz="4" w:space="0"/>
              <w:right w:val="single" w:color="000000" w:sz="12" w:space="0"/>
            </w:tcBorders>
            <w:noWrap w:val="0"/>
            <w:vAlign w:val="center"/>
          </w:tcPr>
          <w:p w14:paraId="72FCA18E">
            <w:pPr>
              <w:rPr>
                <w:rFonts w:hint="eastAsia" w:ascii="仿宋_GB2312" w:eastAsia="仿宋_GB2312" w:cs="宋体"/>
                <w:color w:val="auto"/>
                <w:sz w:val="22"/>
                <w:szCs w:val="22"/>
              </w:rPr>
            </w:pPr>
          </w:p>
        </w:tc>
      </w:tr>
      <w:tr w14:paraId="1E1BCBB9">
        <w:tblPrEx>
          <w:tblCellMar>
            <w:top w:w="15" w:type="dxa"/>
            <w:left w:w="15" w:type="dxa"/>
            <w:bottom w:w="15" w:type="dxa"/>
            <w:right w:w="15" w:type="dxa"/>
          </w:tblCellMar>
        </w:tblPrEx>
        <w:trPr>
          <w:trHeight w:val="90" w:hRule="atLeast"/>
          <w:jc w:val="center"/>
        </w:trPr>
        <w:tc>
          <w:tcPr>
            <w:tcW w:w="851" w:type="dxa"/>
            <w:tcBorders>
              <w:top w:val="single" w:color="000000" w:sz="4" w:space="0"/>
              <w:left w:val="single" w:color="000000" w:sz="12" w:space="0"/>
              <w:bottom w:val="single" w:color="000000" w:sz="4" w:space="0"/>
              <w:right w:val="single" w:color="000000" w:sz="4" w:space="0"/>
            </w:tcBorders>
            <w:noWrap w:val="0"/>
            <w:vAlign w:val="center"/>
          </w:tcPr>
          <w:p w14:paraId="53F14411">
            <w:pPr>
              <w:jc w:val="center"/>
              <w:rPr>
                <w:rFonts w:hint="default" w:ascii="仿宋_GB2312" w:eastAsia="仿宋_GB2312" w:cs="宋体"/>
                <w:color w:val="auto"/>
                <w:sz w:val="22"/>
                <w:szCs w:val="22"/>
                <w:lang w:val="en-US" w:eastAsia="zh-CN"/>
              </w:rPr>
            </w:pPr>
            <w:r>
              <w:rPr>
                <w:rFonts w:hint="eastAsia" w:ascii="仿宋_GB2312" w:eastAsia="仿宋_GB2312" w:cs="宋体"/>
                <w:color w:val="auto"/>
                <w:sz w:val="22"/>
                <w:szCs w:val="22"/>
                <w:lang w:val="en-US" w:eastAsia="zh-CN"/>
              </w:rPr>
              <w:t>7</w:t>
            </w:r>
          </w:p>
        </w:tc>
        <w:tc>
          <w:tcPr>
            <w:tcW w:w="1984" w:type="dxa"/>
            <w:tcBorders>
              <w:top w:val="single" w:color="000000" w:sz="4" w:space="0"/>
              <w:left w:val="single" w:color="000000" w:sz="4" w:space="0"/>
              <w:bottom w:val="single" w:color="000000" w:sz="4" w:space="0"/>
              <w:right w:val="single" w:color="000000" w:sz="4" w:space="0"/>
            </w:tcBorders>
            <w:noWrap w:val="0"/>
            <w:vAlign w:val="center"/>
          </w:tcPr>
          <w:p w14:paraId="4E138CE4">
            <w:pPr>
              <w:rPr>
                <w:rFonts w:hint="eastAsia" w:ascii="仿宋_GB2312" w:eastAsia="仿宋_GB2312" w:cs="宋体"/>
                <w:color w:val="auto"/>
                <w:sz w:val="22"/>
                <w:szCs w:val="22"/>
                <w:lang w:val="en-US" w:eastAsia="zh-CN"/>
              </w:rPr>
            </w:pPr>
            <w:r>
              <w:rPr>
                <w:rFonts w:hint="eastAsia" w:ascii="仿宋_GB2312" w:eastAsia="仿宋_GB2312" w:cs="宋体"/>
                <w:color w:val="auto"/>
                <w:sz w:val="22"/>
                <w:szCs w:val="22"/>
                <w:lang w:val="en-US" w:eastAsia="zh-CN"/>
              </w:rPr>
              <w:t>对</w:t>
            </w:r>
            <w:r>
              <w:rPr>
                <w:rFonts w:hint="eastAsia" w:ascii="仿宋_GB2312" w:eastAsia="仿宋_GB2312" w:cs="宋体"/>
                <w:color w:val="auto"/>
                <w:sz w:val="22"/>
                <w:szCs w:val="22"/>
              </w:rPr>
              <w:t>未按照规定设置危险废物识别标志的</w:t>
            </w:r>
            <w:r>
              <w:rPr>
                <w:rFonts w:hint="eastAsia" w:ascii="仿宋_GB2312" w:eastAsia="仿宋_GB2312" w:cs="宋体"/>
                <w:color w:val="auto"/>
                <w:sz w:val="22"/>
                <w:szCs w:val="22"/>
                <w:lang w:val="en-US" w:eastAsia="zh-CN"/>
              </w:rPr>
              <w:t>处罚</w:t>
            </w:r>
          </w:p>
        </w:tc>
        <w:tc>
          <w:tcPr>
            <w:tcW w:w="2127" w:type="dxa"/>
            <w:tcBorders>
              <w:top w:val="single" w:color="000000" w:sz="4" w:space="0"/>
              <w:left w:val="single" w:color="000000" w:sz="4" w:space="0"/>
              <w:bottom w:val="single" w:color="000000" w:sz="4" w:space="0"/>
              <w:right w:val="single" w:color="auto" w:sz="4" w:space="0"/>
            </w:tcBorders>
            <w:noWrap w:val="0"/>
            <w:vAlign w:val="center"/>
          </w:tcPr>
          <w:p w14:paraId="4C6787C9">
            <w:pPr>
              <w:rPr>
                <w:rFonts w:hint="eastAsia" w:ascii="仿宋_GB2312" w:eastAsia="仿宋_GB2312" w:cs="宋体"/>
                <w:color w:val="auto"/>
                <w:sz w:val="22"/>
                <w:szCs w:val="22"/>
              </w:rPr>
            </w:pPr>
            <w:r>
              <w:rPr>
                <w:rFonts w:hint="eastAsia" w:ascii="仿宋_GB2312" w:eastAsia="仿宋_GB2312" w:cs="宋体"/>
                <w:color w:val="auto"/>
                <w:sz w:val="22"/>
                <w:szCs w:val="22"/>
              </w:rPr>
              <w:t>省、设区的市人民政府生态环境主管部门及其派出机构</w:t>
            </w:r>
          </w:p>
        </w:tc>
        <w:tc>
          <w:tcPr>
            <w:tcW w:w="3181" w:type="dxa"/>
            <w:tcBorders>
              <w:top w:val="single" w:color="000000" w:sz="4" w:space="0"/>
              <w:left w:val="single" w:color="auto" w:sz="4" w:space="0"/>
              <w:bottom w:val="single" w:color="000000" w:sz="4" w:space="0"/>
              <w:right w:val="single" w:color="000000" w:sz="4" w:space="0"/>
            </w:tcBorders>
            <w:noWrap w:val="0"/>
            <w:vAlign w:val="center"/>
          </w:tcPr>
          <w:p w14:paraId="10C16212">
            <w:pPr>
              <w:rPr>
                <w:rFonts w:hint="eastAsia" w:ascii="仿宋_GB2312" w:eastAsia="仿宋_GB2312" w:cs="宋体"/>
                <w:color w:val="auto"/>
                <w:sz w:val="22"/>
                <w:szCs w:val="22"/>
                <w:lang w:val="en-US" w:eastAsia="zh-CN"/>
              </w:rPr>
            </w:pPr>
            <w:r>
              <w:rPr>
                <w:rFonts w:hint="eastAsia" w:ascii="仿宋_GB2312" w:eastAsia="仿宋_GB2312" w:cs="宋体"/>
                <w:color w:val="auto"/>
                <w:sz w:val="22"/>
                <w:szCs w:val="22"/>
                <w:lang w:val="en-US" w:eastAsia="zh-CN"/>
              </w:rPr>
              <w:t>初次违法，</w:t>
            </w:r>
            <w:r>
              <w:rPr>
                <w:rFonts w:hint="eastAsia" w:ascii="仿宋_GB2312" w:eastAsia="仿宋_GB2312" w:cs="宋体"/>
                <w:color w:val="auto"/>
                <w:sz w:val="22"/>
                <w:szCs w:val="22"/>
              </w:rPr>
              <w:t>违法行为持续时间不超过3个月，自责令改正书下达之日起5个工作日内完成整改的。</w:t>
            </w:r>
            <w:r>
              <w:rPr>
                <w:rFonts w:hint="eastAsia" w:ascii="仿宋_GB2312" w:eastAsia="仿宋_GB2312" w:cs="宋体"/>
                <w:color w:val="auto"/>
                <w:sz w:val="22"/>
                <w:szCs w:val="22"/>
                <w:lang w:val="en-US" w:eastAsia="zh-CN"/>
              </w:rPr>
              <w:t xml:space="preserve"> </w:t>
            </w:r>
          </w:p>
        </w:tc>
        <w:tc>
          <w:tcPr>
            <w:tcW w:w="4757" w:type="dxa"/>
            <w:tcBorders>
              <w:top w:val="single" w:color="000000" w:sz="4" w:space="0"/>
              <w:left w:val="single" w:color="000000" w:sz="4" w:space="0"/>
              <w:bottom w:val="single" w:color="000000" w:sz="4" w:space="0"/>
              <w:right w:val="single" w:color="000000" w:sz="4" w:space="0"/>
            </w:tcBorders>
            <w:noWrap w:val="0"/>
            <w:vAlign w:val="center"/>
          </w:tcPr>
          <w:p w14:paraId="6ADC6958">
            <w:pPr>
              <w:ind w:firstLine="440" w:firstLineChars="200"/>
              <w:rPr>
                <w:rFonts w:hint="eastAsia" w:ascii="仿宋_GB2312" w:eastAsia="仿宋_GB2312" w:cs="宋体"/>
                <w:color w:val="auto"/>
                <w:sz w:val="22"/>
                <w:szCs w:val="22"/>
                <w:lang w:val="en-US" w:eastAsia="zh-CN"/>
              </w:rPr>
            </w:pPr>
            <w:r>
              <w:rPr>
                <w:rFonts w:hint="eastAsia" w:ascii="仿宋_GB2312" w:eastAsia="仿宋_GB2312" w:cs="宋体"/>
                <w:color w:val="auto"/>
                <w:sz w:val="22"/>
                <w:szCs w:val="22"/>
                <w:lang w:val="en-US" w:eastAsia="zh-CN"/>
              </w:rPr>
              <w:t>《中华人民共和国生态环境法典》</w:t>
            </w:r>
          </w:p>
          <w:p w14:paraId="2ADF1159">
            <w:pPr>
              <w:ind w:firstLine="440" w:firstLineChars="200"/>
              <w:rPr>
                <w:rFonts w:hint="eastAsia" w:ascii="仿宋_GB2312" w:eastAsia="仿宋_GB2312" w:cs="宋体"/>
                <w:color w:val="auto"/>
                <w:sz w:val="22"/>
                <w:szCs w:val="22"/>
                <w:lang w:val="en-US" w:eastAsia="zh-CN"/>
              </w:rPr>
            </w:pPr>
            <w:r>
              <w:rPr>
                <w:rFonts w:hint="eastAsia" w:ascii="仿宋_GB2312" w:eastAsia="仿宋_GB2312" w:cs="宋体"/>
                <w:color w:val="auto"/>
                <w:sz w:val="22"/>
                <w:szCs w:val="22"/>
                <w:lang w:val="en-US" w:eastAsia="zh-CN"/>
              </w:rPr>
              <w:t>第五百三十一条  对危险废物的容器和包装物以及收集、贮存、运输、利用、处置危险废物的设施、场所，应当按照规定设置危险废物识别标志。</w:t>
            </w:r>
          </w:p>
          <w:p w14:paraId="139E4885">
            <w:pPr>
              <w:ind w:firstLine="440" w:firstLineChars="200"/>
              <w:rPr>
                <w:rFonts w:hint="eastAsia" w:ascii="仿宋_GB2312" w:eastAsia="仿宋_GB2312" w:cs="宋体"/>
                <w:color w:val="auto"/>
                <w:sz w:val="22"/>
                <w:szCs w:val="22"/>
                <w:lang w:val="en-US" w:eastAsia="zh-CN"/>
              </w:rPr>
            </w:pPr>
            <w:r>
              <w:rPr>
                <w:rFonts w:hint="eastAsia" w:ascii="仿宋_GB2312" w:eastAsia="仿宋_GB2312" w:cs="宋体"/>
                <w:color w:val="auto"/>
                <w:sz w:val="22"/>
                <w:szCs w:val="22"/>
                <w:lang w:val="en-US" w:eastAsia="zh-CN"/>
              </w:rPr>
              <w:t>第一千一百七十五条第一款第一项、第二款  违反本法规定，有下列情形之一的，由生态环境主管部门责令改正，没收违法所得，并处以罚款：</w:t>
            </w:r>
          </w:p>
          <w:p w14:paraId="43A41B0C">
            <w:pPr>
              <w:ind w:firstLine="440" w:firstLineChars="200"/>
              <w:rPr>
                <w:rFonts w:hint="eastAsia" w:ascii="仿宋_GB2312" w:eastAsia="仿宋_GB2312" w:cs="宋体"/>
                <w:color w:val="auto"/>
                <w:sz w:val="22"/>
                <w:szCs w:val="22"/>
                <w:lang w:val="en-US" w:eastAsia="zh-CN"/>
              </w:rPr>
            </w:pPr>
            <w:r>
              <w:rPr>
                <w:rFonts w:hint="eastAsia" w:ascii="仿宋_GB2312" w:eastAsia="仿宋_GB2312" w:cs="宋体"/>
                <w:color w:val="auto"/>
                <w:sz w:val="22"/>
                <w:szCs w:val="22"/>
                <w:lang w:val="en-US" w:eastAsia="zh-CN"/>
              </w:rPr>
              <w:t>（一）未设置危险废物识别标志；</w:t>
            </w:r>
          </w:p>
          <w:p w14:paraId="4FE86754">
            <w:pPr>
              <w:ind w:firstLine="440" w:firstLineChars="200"/>
              <w:rPr>
                <w:rFonts w:hint="eastAsia" w:ascii="仿宋_GB2312" w:eastAsia="仿宋_GB2312" w:cs="宋体"/>
                <w:color w:val="auto"/>
                <w:sz w:val="22"/>
                <w:szCs w:val="22"/>
                <w:lang w:val="en-US" w:eastAsia="zh-CN"/>
              </w:rPr>
            </w:pPr>
            <w:r>
              <w:rPr>
                <w:rFonts w:hint="eastAsia" w:ascii="仿宋_GB2312" w:eastAsia="仿宋_GB2312" w:cs="宋体"/>
                <w:color w:val="auto"/>
                <w:sz w:val="22"/>
                <w:szCs w:val="22"/>
                <w:lang w:val="en-US" w:eastAsia="zh-CN"/>
              </w:rPr>
              <w:t>有前款第一项、第二项、第三项、第四项、第六项、第七项、第九项、第十项、第十一项情形之一的，处五万元以上二十万元以下的罚款，拒不改正的，处二十万元以上一百万元以下的罚款；有前款第五项、第八项情形之一的，处二十万元以上二百万元以下的罚款。</w:t>
            </w:r>
          </w:p>
        </w:tc>
        <w:tc>
          <w:tcPr>
            <w:tcW w:w="1188" w:type="dxa"/>
            <w:tcBorders>
              <w:top w:val="single" w:color="000000" w:sz="4" w:space="0"/>
              <w:left w:val="single" w:color="000000" w:sz="4" w:space="0"/>
              <w:bottom w:val="single" w:color="000000" w:sz="4" w:space="0"/>
              <w:right w:val="single" w:color="000000" w:sz="12" w:space="0"/>
            </w:tcBorders>
            <w:noWrap w:val="0"/>
            <w:vAlign w:val="center"/>
          </w:tcPr>
          <w:p w14:paraId="3294EA11">
            <w:pPr>
              <w:jc w:val="center"/>
              <w:rPr>
                <w:rFonts w:hint="eastAsia" w:ascii="仿宋_GB2312" w:eastAsia="仿宋_GB2312" w:cs="宋体"/>
                <w:color w:val="auto"/>
                <w:sz w:val="22"/>
                <w:szCs w:val="22"/>
              </w:rPr>
            </w:pPr>
          </w:p>
        </w:tc>
      </w:tr>
      <w:tr w14:paraId="209ACA63">
        <w:tblPrEx>
          <w:tblCellMar>
            <w:top w:w="15" w:type="dxa"/>
            <w:left w:w="15" w:type="dxa"/>
            <w:bottom w:w="15" w:type="dxa"/>
            <w:right w:w="15" w:type="dxa"/>
          </w:tblCellMar>
        </w:tblPrEx>
        <w:trPr>
          <w:trHeight w:val="372" w:hRule="atLeast"/>
          <w:jc w:val="center"/>
        </w:trPr>
        <w:tc>
          <w:tcPr>
            <w:tcW w:w="851" w:type="dxa"/>
            <w:tcBorders>
              <w:top w:val="single" w:color="000000" w:sz="4" w:space="0"/>
              <w:left w:val="single" w:color="000000" w:sz="12" w:space="0"/>
              <w:bottom w:val="single" w:color="000000" w:sz="4" w:space="0"/>
              <w:right w:val="single" w:color="000000" w:sz="4" w:space="0"/>
            </w:tcBorders>
            <w:noWrap w:val="0"/>
            <w:vAlign w:val="center"/>
          </w:tcPr>
          <w:p w14:paraId="4641D644">
            <w:pPr>
              <w:jc w:val="center"/>
              <w:rPr>
                <w:rFonts w:hint="default" w:ascii="仿宋_GB2312" w:eastAsia="仿宋_GB2312" w:cs="宋体"/>
                <w:color w:val="auto"/>
                <w:sz w:val="22"/>
                <w:szCs w:val="22"/>
                <w:lang w:val="en-US"/>
              </w:rPr>
            </w:pPr>
            <w:r>
              <w:rPr>
                <w:rFonts w:hint="eastAsia" w:ascii="仿宋_GB2312" w:eastAsia="仿宋_GB2312" w:cs="宋体"/>
                <w:color w:val="auto"/>
                <w:sz w:val="22"/>
                <w:szCs w:val="22"/>
                <w:lang w:val="en-US" w:eastAsia="zh-CN"/>
              </w:rPr>
              <w:t>8</w:t>
            </w:r>
          </w:p>
        </w:tc>
        <w:tc>
          <w:tcPr>
            <w:tcW w:w="1984" w:type="dxa"/>
            <w:tcBorders>
              <w:top w:val="single" w:color="000000" w:sz="4" w:space="0"/>
              <w:left w:val="single" w:color="000000" w:sz="4" w:space="0"/>
              <w:bottom w:val="single" w:color="000000" w:sz="4" w:space="0"/>
              <w:right w:val="single" w:color="000000" w:sz="4" w:space="0"/>
            </w:tcBorders>
            <w:noWrap w:val="0"/>
            <w:vAlign w:val="center"/>
          </w:tcPr>
          <w:p w14:paraId="5B747016">
            <w:pPr>
              <w:rPr>
                <w:rFonts w:hint="eastAsia" w:ascii="仿宋_GB2312" w:eastAsia="仿宋_GB2312" w:cs="宋体"/>
                <w:color w:val="auto"/>
                <w:sz w:val="22"/>
                <w:szCs w:val="22"/>
              </w:rPr>
            </w:pPr>
            <w:r>
              <w:rPr>
                <w:rFonts w:hint="eastAsia" w:ascii="仿宋_GB2312" w:eastAsia="仿宋_GB2312" w:cs="宋体"/>
                <w:color w:val="auto"/>
                <w:sz w:val="22"/>
                <w:szCs w:val="22"/>
              </w:rPr>
              <w:t>对企业披露环境信息超过规定时限的处罚</w:t>
            </w:r>
          </w:p>
        </w:tc>
        <w:tc>
          <w:tcPr>
            <w:tcW w:w="2127" w:type="dxa"/>
            <w:tcBorders>
              <w:top w:val="single" w:color="000000" w:sz="4" w:space="0"/>
              <w:left w:val="single" w:color="000000" w:sz="4" w:space="0"/>
              <w:bottom w:val="single" w:color="000000" w:sz="4" w:space="0"/>
              <w:right w:val="single" w:color="auto" w:sz="4" w:space="0"/>
            </w:tcBorders>
            <w:noWrap w:val="0"/>
            <w:vAlign w:val="center"/>
          </w:tcPr>
          <w:p w14:paraId="1C7360E7">
            <w:pPr>
              <w:rPr>
                <w:rFonts w:hint="eastAsia" w:ascii="仿宋_GB2312" w:eastAsia="仿宋_GB2312" w:cs="宋体"/>
                <w:color w:val="auto"/>
                <w:sz w:val="22"/>
                <w:szCs w:val="22"/>
              </w:rPr>
            </w:pPr>
            <w:r>
              <w:rPr>
                <w:rFonts w:hint="eastAsia" w:ascii="仿宋_GB2312" w:eastAsia="仿宋_GB2312" w:cs="宋体"/>
                <w:color w:val="auto"/>
                <w:sz w:val="22"/>
                <w:szCs w:val="22"/>
              </w:rPr>
              <w:t>省、设区的市人民政府生态环境主管部门及其派出机构</w:t>
            </w:r>
          </w:p>
        </w:tc>
        <w:tc>
          <w:tcPr>
            <w:tcW w:w="3181" w:type="dxa"/>
            <w:tcBorders>
              <w:top w:val="single" w:color="000000" w:sz="4" w:space="0"/>
              <w:left w:val="single" w:color="auto" w:sz="4" w:space="0"/>
              <w:bottom w:val="single" w:color="000000" w:sz="4" w:space="0"/>
              <w:right w:val="single" w:color="000000" w:sz="4" w:space="0"/>
            </w:tcBorders>
            <w:noWrap w:val="0"/>
            <w:vAlign w:val="center"/>
          </w:tcPr>
          <w:p w14:paraId="7E52178C">
            <w:pPr>
              <w:rPr>
                <w:rFonts w:hint="eastAsia" w:ascii="仿宋_GB2312" w:eastAsia="仿宋_GB2312" w:cs="宋体"/>
                <w:color w:val="auto"/>
                <w:sz w:val="22"/>
                <w:szCs w:val="22"/>
              </w:rPr>
            </w:pPr>
            <w:r>
              <w:rPr>
                <w:rFonts w:hint="eastAsia" w:ascii="仿宋_GB2312" w:eastAsia="仿宋_GB2312" w:cs="宋体"/>
                <w:color w:val="auto"/>
                <w:sz w:val="22"/>
                <w:szCs w:val="22"/>
              </w:rPr>
              <w:t>初次违法，违法行为持续时间不超过3个月，自责令改正书下达之日起5个工作日内完成整改的。（披露信息存在弄虚作假的除外）</w:t>
            </w:r>
          </w:p>
        </w:tc>
        <w:tc>
          <w:tcPr>
            <w:tcW w:w="4757" w:type="dxa"/>
            <w:tcBorders>
              <w:top w:val="single" w:color="000000" w:sz="4" w:space="0"/>
              <w:left w:val="single" w:color="000000" w:sz="4" w:space="0"/>
              <w:bottom w:val="single" w:color="000000" w:sz="4" w:space="0"/>
              <w:right w:val="single" w:color="000000" w:sz="4" w:space="0"/>
            </w:tcBorders>
            <w:noWrap w:val="0"/>
            <w:vAlign w:val="center"/>
          </w:tcPr>
          <w:p w14:paraId="09455C1B">
            <w:pPr>
              <w:ind w:firstLine="440" w:firstLineChars="200"/>
              <w:rPr>
                <w:rFonts w:hint="eastAsia" w:ascii="仿宋_GB2312" w:eastAsia="仿宋_GB2312" w:cs="宋体"/>
                <w:color w:val="auto"/>
                <w:sz w:val="22"/>
                <w:szCs w:val="22"/>
              </w:rPr>
            </w:pPr>
            <w:r>
              <w:rPr>
                <w:rFonts w:hint="eastAsia" w:ascii="仿宋_GB2312" w:eastAsia="仿宋_GB2312" w:cs="宋体"/>
                <w:color w:val="auto"/>
                <w:sz w:val="22"/>
                <w:szCs w:val="22"/>
              </w:rPr>
              <w:t>《企业环境信息依法披露管理办法》</w:t>
            </w:r>
          </w:p>
          <w:p w14:paraId="0AA6A176">
            <w:pPr>
              <w:ind w:firstLine="440" w:firstLineChars="200"/>
              <w:rPr>
                <w:rFonts w:hint="eastAsia" w:ascii="仿宋_GB2312" w:eastAsia="仿宋_GB2312" w:cs="宋体"/>
                <w:color w:val="auto"/>
                <w:sz w:val="22"/>
                <w:szCs w:val="22"/>
              </w:rPr>
            </w:pPr>
            <w:r>
              <w:rPr>
                <w:rFonts w:hint="eastAsia" w:ascii="仿宋_GB2312" w:eastAsia="仿宋_GB2312" w:cs="宋体"/>
                <w:color w:val="auto"/>
                <w:sz w:val="22"/>
                <w:szCs w:val="22"/>
              </w:rPr>
              <w:t xml:space="preserve">第十七条 </w:t>
            </w:r>
            <w:r>
              <w:rPr>
                <w:rFonts w:hint="eastAsia" w:ascii="仿宋_GB2312" w:eastAsia="仿宋_GB2312" w:cs="宋体"/>
                <w:color w:val="auto"/>
                <w:sz w:val="22"/>
                <w:szCs w:val="22"/>
                <w:lang w:val="en-US" w:eastAsia="zh-CN"/>
              </w:rPr>
              <w:t xml:space="preserve"> </w:t>
            </w:r>
            <w:r>
              <w:rPr>
                <w:rFonts w:hint="eastAsia" w:ascii="仿宋_GB2312" w:eastAsia="仿宋_GB2312" w:cs="宋体"/>
                <w:color w:val="auto"/>
                <w:sz w:val="22"/>
                <w:szCs w:val="22"/>
              </w:rPr>
              <w:t>企业应当自收到相关法律文书之日起五个工作日内，以临时环境信息依法披露报告的形式，披露以下环境信息：</w:t>
            </w:r>
          </w:p>
          <w:p w14:paraId="3F763E23">
            <w:pPr>
              <w:ind w:firstLine="440" w:firstLineChars="200"/>
              <w:rPr>
                <w:rFonts w:hint="eastAsia" w:ascii="仿宋_GB2312" w:eastAsia="仿宋_GB2312" w:cs="宋体"/>
                <w:color w:val="auto"/>
                <w:sz w:val="22"/>
                <w:szCs w:val="22"/>
              </w:rPr>
            </w:pPr>
            <w:r>
              <w:rPr>
                <w:rFonts w:hint="eastAsia" w:ascii="仿宋_GB2312" w:eastAsia="仿宋_GB2312" w:cs="宋体"/>
                <w:color w:val="auto"/>
                <w:sz w:val="22"/>
                <w:szCs w:val="22"/>
              </w:rPr>
              <w:t>（一）生态环境行政许可准予、变更、延续、撤销等信息；</w:t>
            </w:r>
          </w:p>
          <w:p w14:paraId="7C1B60AA">
            <w:pPr>
              <w:ind w:firstLine="440" w:firstLineChars="200"/>
              <w:rPr>
                <w:rFonts w:hint="eastAsia" w:ascii="仿宋_GB2312" w:eastAsia="仿宋_GB2312" w:cs="宋体"/>
                <w:color w:val="auto"/>
                <w:sz w:val="22"/>
                <w:szCs w:val="22"/>
              </w:rPr>
            </w:pPr>
            <w:r>
              <w:rPr>
                <w:rFonts w:hint="eastAsia" w:ascii="仿宋_GB2312" w:eastAsia="仿宋_GB2312" w:cs="宋体"/>
                <w:color w:val="auto"/>
                <w:sz w:val="22"/>
                <w:szCs w:val="22"/>
              </w:rPr>
              <w:t>（二）因生态环境违法行为受到行政处罚的信息；</w:t>
            </w:r>
          </w:p>
          <w:p w14:paraId="0D3D3A6C">
            <w:pPr>
              <w:ind w:firstLine="440" w:firstLineChars="200"/>
              <w:rPr>
                <w:rFonts w:hint="eastAsia" w:ascii="仿宋_GB2312" w:eastAsia="仿宋_GB2312" w:cs="宋体"/>
                <w:color w:val="auto"/>
                <w:sz w:val="22"/>
                <w:szCs w:val="22"/>
              </w:rPr>
            </w:pPr>
            <w:r>
              <w:rPr>
                <w:rFonts w:hint="eastAsia" w:ascii="仿宋_GB2312" w:eastAsia="仿宋_GB2312" w:cs="宋体"/>
                <w:color w:val="auto"/>
                <w:sz w:val="22"/>
                <w:szCs w:val="22"/>
              </w:rPr>
              <w:t>（三）因生态环境违法行为，其法定代表人、主要负责人、直接负责的主管人员和其他直接责任人员被依法处以行政拘留的信息；</w:t>
            </w:r>
          </w:p>
          <w:p w14:paraId="1F2042C5">
            <w:pPr>
              <w:ind w:firstLine="440" w:firstLineChars="200"/>
              <w:rPr>
                <w:rFonts w:hint="eastAsia" w:ascii="仿宋_GB2312" w:eastAsia="仿宋_GB2312" w:cs="宋体"/>
                <w:color w:val="auto"/>
                <w:sz w:val="22"/>
                <w:szCs w:val="22"/>
              </w:rPr>
            </w:pPr>
            <w:r>
              <w:rPr>
                <w:rFonts w:hint="eastAsia" w:ascii="仿宋_GB2312" w:eastAsia="仿宋_GB2312" w:cs="宋体"/>
                <w:color w:val="auto"/>
                <w:sz w:val="22"/>
                <w:szCs w:val="22"/>
              </w:rPr>
              <w:t>（四）因生态环境违法行为，企业或者其法定代表人、主要负责人、直接负责的主管人员和其他直接责任人员被追究刑事责任的信息；</w:t>
            </w:r>
          </w:p>
          <w:p w14:paraId="4D679FDF">
            <w:pPr>
              <w:ind w:firstLine="440" w:firstLineChars="200"/>
              <w:rPr>
                <w:rFonts w:hint="eastAsia" w:ascii="仿宋_GB2312" w:eastAsia="仿宋_GB2312" w:cs="宋体"/>
                <w:color w:val="auto"/>
                <w:sz w:val="22"/>
                <w:szCs w:val="22"/>
              </w:rPr>
            </w:pPr>
            <w:r>
              <w:rPr>
                <w:rFonts w:hint="eastAsia" w:ascii="仿宋_GB2312" w:eastAsia="仿宋_GB2312" w:cs="宋体"/>
                <w:color w:val="auto"/>
                <w:sz w:val="22"/>
                <w:szCs w:val="22"/>
              </w:rPr>
              <w:t>（五）生态环境损害赔偿及协议信息。</w:t>
            </w:r>
          </w:p>
          <w:p w14:paraId="3615EC2B">
            <w:pPr>
              <w:ind w:firstLine="440" w:firstLineChars="200"/>
              <w:rPr>
                <w:rFonts w:hint="eastAsia" w:ascii="仿宋_GB2312" w:eastAsia="仿宋_GB2312" w:cs="宋体"/>
                <w:color w:val="auto"/>
                <w:sz w:val="22"/>
                <w:szCs w:val="22"/>
              </w:rPr>
            </w:pPr>
            <w:r>
              <w:rPr>
                <w:rFonts w:hint="eastAsia" w:ascii="仿宋_GB2312" w:eastAsia="仿宋_GB2312" w:cs="宋体"/>
                <w:color w:val="auto"/>
                <w:sz w:val="22"/>
                <w:szCs w:val="22"/>
              </w:rPr>
              <w:t>企业发生突发环境事件的，应当依照有关法律法规规定披露相关信息。</w:t>
            </w:r>
          </w:p>
          <w:p w14:paraId="311994FA">
            <w:pPr>
              <w:ind w:firstLine="440" w:firstLineChars="200"/>
              <w:rPr>
                <w:rFonts w:hint="eastAsia" w:ascii="仿宋_GB2312" w:eastAsia="仿宋_GB2312" w:cs="宋体"/>
                <w:color w:val="auto"/>
                <w:sz w:val="22"/>
                <w:szCs w:val="22"/>
              </w:rPr>
            </w:pPr>
            <w:r>
              <w:rPr>
                <w:rFonts w:hint="eastAsia" w:ascii="仿宋_GB2312" w:eastAsia="仿宋_GB2312" w:cs="宋体"/>
                <w:color w:val="auto"/>
                <w:sz w:val="22"/>
                <w:szCs w:val="22"/>
              </w:rPr>
              <w:t xml:space="preserve">第十九条 </w:t>
            </w:r>
            <w:r>
              <w:rPr>
                <w:rFonts w:hint="eastAsia" w:ascii="仿宋_GB2312" w:eastAsia="仿宋_GB2312" w:cs="宋体"/>
                <w:color w:val="auto"/>
                <w:sz w:val="22"/>
                <w:szCs w:val="22"/>
                <w:lang w:val="en-US" w:eastAsia="zh-CN"/>
              </w:rPr>
              <w:t xml:space="preserve"> </w:t>
            </w:r>
            <w:r>
              <w:rPr>
                <w:rFonts w:hint="eastAsia" w:ascii="仿宋_GB2312" w:eastAsia="仿宋_GB2312" w:cs="宋体"/>
                <w:color w:val="auto"/>
                <w:sz w:val="22"/>
                <w:szCs w:val="22"/>
              </w:rPr>
              <w:t>企业应当于每年3月15日前披露上一年度1月1日至12月31日的环境信息。</w:t>
            </w:r>
          </w:p>
          <w:p w14:paraId="3473F778">
            <w:pPr>
              <w:ind w:firstLine="440" w:firstLineChars="200"/>
              <w:rPr>
                <w:rFonts w:hint="eastAsia" w:ascii="仿宋_GB2312" w:eastAsia="仿宋_GB2312" w:cs="宋体"/>
                <w:color w:val="auto"/>
                <w:sz w:val="22"/>
                <w:szCs w:val="22"/>
              </w:rPr>
            </w:pPr>
            <w:r>
              <w:rPr>
                <w:rFonts w:hint="eastAsia" w:ascii="仿宋_GB2312" w:eastAsia="仿宋_GB2312" w:cs="宋体"/>
                <w:color w:val="auto"/>
                <w:sz w:val="22"/>
                <w:szCs w:val="22"/>
              </w:rPr>
              <w:t xml:space="preserve">第二十条 </w:t>
            </w:r>
            <w:r>
              <w:rPr>
                <w:rFonts w:hint="eastAsia" w:ascii="仿宋_GB2312" w:eastAsia="仿宋_GB2312" w:cs="宋体"/>
                <w:color w:val="auto"/>
                <w:sz w:val="22"/>
                <w:szCs w:val="22"/>
                <w:lang w:val="en-US" w:eastAsia="zh-CN"/>
              </w:rPr>
              <w:t xml:space="preserve"> </w:t>
            </w:r>
            <w:r>
              <w:rPr>
                <w:rFonts w:hint="eastAsia" w:ascii="仿宋_GB2312" w:eastAsia="仿宋_GB2312" w:cs="宋体"/>
                <w:color w:val="auto"/>
                <w:sz w:val="22"/>
                <w:szCs w:val="22"/>
              </w:rPr>
              <w:t>企业在企业名单公布前存在本办法第十七条规定的环境信息的，应当于企业名单公布后十个工作日内以临时环境信息依法披露报告的形式披露本年度企业名单公布前的相关信息。</w:t>
            </w:r>
          </w:p>
          <w:p w14:paraId="6590DABD">
            <w:pPr>
              <w:ind w:firstLine="440" w:firstLineChars="200"/>
              <w:rPr>
                <w:rFonts w:hint="eastAsia" w:ascii="仿宋_GB2312" w:eastAsia="仿宋_GB2312" w:cs="宋体"/>
                <w:color w:val="auto"/>
                <w:sz w:val="22"/>
                <w:szCs w:val="22"/>
                <w:lang w:eastAsia="zh-CN"/>
              </w:rPr>
            </w:pPr>
            <w:r>
              <w:rPr>
                <w:rFonts w:hint="eastAsia" w:ascii="仿宋_GB2312" w:eastAsia="仿宋_GB2312" w:cs="宋体"/>
                <w:color w:val="auto"/>
                <w:sz w:val="22"/>
                <w:szCs w:val="22"/>
              </w:rPr>
              <w:t>第二十九条第二项</w:t>
            </w:r>
            <w:r>
              <w:rPr>
                <w:rFonts w:hint="eastAsia" w:ascii="仿宋_GB2312" w:eastAsia="仿宋_GB2312" w:cs="宋体"/>
                <w:color w:val="auto"/>
                <w:sz w:val="22"/>
                <w:szCs w:val="22"/>
                <w:lang w:val="en-US" w:eastAsia="zh-CN"/>
              </w:rPr>
              <w:t xml:space="preserve"> </w:t>
            </w:r>
            <w:r>
              <w:rPr>
                <w:rFonts w:hint="eastAsia" w:ascii="仿宋_GB2312" w:eastAsia="仿宋_GB2312" w:cs="宋体"/>
                <w:color w:val="auto"/>
                <w:sz w:val="22"/>
                <w:szCs w:val="22"/>
              </w:rPr>
              <w:t xml:space="preserve"> 企业违反本办法规定，有下列行为之一的，由设区的市级以上生态环境主管部门责令改正，通报批评，并可以处五万元以下的罚款：（二）披露环境信息超过规定时限的</w:t>
            </w:r>
            <w:r>
              <w:rPr>
                <w:rFonts w:hint="eastAsia" w:ascii="仿宋_GB2312" w:eastAsia="仿宋_GB2312" w:cs="宋体"/>
                <w:color w:val="auto"/>
                <w:sz w:val="22"/>
                <w:szCs w:val="22"/>
                <w:lang w:eastAsia="zh-CN"/>
              </w:rPr>
              <w:t>。</w:t>
            </w:r>
          </w:p>
        </w:tc>
        <w:tc>
          <w:tcPr>
            <w:tcW w:w="1188" w:type="dxa"/>
            <w:tcBorders>
              <w:top w:val="single" w:color="000000" w:sz="4" w:space="0"/>
              <w:left w:val="single" w:color="000000" w:sz="4" w:space="0"/>
              <w:bottom w:val="single" w:color="000000" w:sz="4" w:space="0"/>
              <w:right w:val="single" w:color="000000" w:sz="12" w:space="0"/>
            </w:tcBorders>
            <w:noWrap w:val="0"/>
            <w:vAlign w:val="center"/>
          </w:tcPr>
          <w:p w14:paraId="5E9D9EAD">
            <w:pPr>
              <w:jc w:val="center"/>
              <w:rPr>
                <w:rFonts w:hint="eastAsia" w:ascii="仿宋_GB2312" w:eastAsia="仿宋_GB2312" w:cs="宋体"/>
                <w:color w:val="auto"/>
                <w:sz w:val="22"/>
                <w:szCs w:val="22"/>
              </w:rPr>
            </w:pPr>
          </w:p>
        </w:tc>
      </w:tr>
      <w:tr w14:paraId="3378A2D7">
        <w:tblPrEx>
          <w:tblCellMar>
            <w:top w:w="15" w:type="dxa"/>
            <w:left w:w="15" w:type="dxa"/>
            <w:bottom w:w="15" w:type="dxa"/>
            <w:right w:w="15" w:type="dxa"/>
          </w:tblCellMar>
        </w:tblPrEx>
        <w:trPr>
          <w:trHeight w:val="1007" w:hRule="atLeast"/>
          <w:jc w:val="center"/>
        </w:trPr>
        <w:tc>
          <w:tcPr>
            <w:tcW w:w="851" w:type="dxa"/>
            <w:tcBorders>
              <w:top w:val="single" w:color="000000" w:sz="4" w:space="0"/>
              <w:left w:val="single" w:color="000000" w:sz="12" w:space="0"/>
              <w:bottom w:val="single" w:color="000000" w:sz="4" w:space="0"/>
              <w:right w:val="single" w:color="000000" w:sz="4" w:space="0"/>
            </w:tcBorders>
            <w:noWrap w:val="0"/>
            <w:vAlign w:val="center"/>
          </w:tcPr>
          <w:p w14:paraId="436F64DC">
            <w:pPr>
              <w:jc w:val="center"/>
              <w:rPr>
                <w:rFonts w:hint="default" w:ascii="仿宋_GB2312" w:eastAsia="仿宋_GB2312" w:cs="宋体"/>
                <w:color w:val="auto"/>
                <w:sz w:val="22"/>
                <w:szCs w:val="22"/>
                <w:lang w:val="en-US" w:eastAsia="zh-CN"/>
              </w:rPr>
            </w:pPr>
            <w:r>
              <w:rPr>
                <w:rFonts w:hint="eastAsia" w:ascii="仿宋_GB2312" w:eastAsia="仿宋_GB2312" w:cs="宋体"/>
                <w:color w:val="auto"/>
                <w:sz w:val="22"/>
                <w:szCs w:val="22"/>
                <w:lang w:val="en-US" w:eastAsia="zh-CN"/>
              </w:rPr>
              <w:t>9</w:t>
            </w:r>
          </w:p>
        </w:tc>
        <w:tc>
          <w:tcPr>
            <w:tcW w:w="1984" w:type="dxa"/>
            <w:tcBorders>
              <w:top w:val="single" w:color="000000" w:sz="4" w:space="0"/>
              <w:left w:val="single" w:color="000000" w:sz="4" w:space="0"/>
              <w:bottom w:val="single" w:color="000000" w:sz="4" w:space="0"/>
              <w:right w:val="single" w:color="000000" w:sz="4" w:space="0"/>
            </w:tcBorders>
            <w:noWrap w:val="0"/>
            <w:vAlign w:val="center"/>
          </w:tcPr>
          <w:p w14:paraId="15B24A00">
            <w:pPr>
              <w:rPr>
                <w:rFonts w:hint="eastAsia" w:ascii="仿宋_GB2312" w:eastAsia="仿宋_GB2312" w:cs="宋体"/>
                <w:color w:val="auto"/>
                <w:sz w:val="22"/>
                <w:szCs w:val="22"/>
              </w:rPr>
            </w:pPr>
            <w:r>
              <w:rPr>
                <w:rFonts w:hint="eastAsia" w:ascii="仿宋_GB2312" w:eastAsia="仿宋_GB2312" w:cs="宋体"/>
                <w:color w:val="auto"/>
                <w:sz w:val="22"/>
                <w:szCs w:val="22"/>
              </w:rPr>
              <w:t>对未将环境信息上传至企业环境信息依法披露系统的处罚</w:t>
            </w:r>
          </w:p>
        </w:tc>
        <w:tc>
          <w:tcPr>
            <w:tcW w:w="2127" w:type="dxa"/>
            <w:tcBorders>
              <w:top w:val="single" w:color="000000" w:sz="4" w:space="0"/>
              <w:left w:val="single" w:color="000000" w:sz="4" w:space="0"/>
              <w:bottom w:val="single" w:color="000000" w:sz="4" w:space="0"/>
              <w:right w:val="single" w:color="auto" w:sz="4" w:space="0"/>
            </w:tcBorders>
            <w:noWrap w:val="0"/>
            <w:vAlign w:val="center"/>
          </w:tcPr>
          <w:p w14:paraId="1659BD18">
            <w:pPr>
              <w:rPr>
                <w:rFonts w:hint="eastAsia" w:ascii="仿宋_GB2312" w:eastAsia="仿宋_GB2312" w:cs="宋体"/>
                <w:color w:val="auto"/>
                <w:sz w:val="22"/>
                <w:szCs w:val="22"/>
              </w:rPr>
            </w:pPr>
            <w:r>
              <w:rPr>
                <w:rFonts w:hint="eastAsia" w:ascii="仿宋_GB2312" w:eastAsia="仿宋_GB2312" w:cs="宋体"/>
                <w:color w:val="auto"/>
                <w:sz w:val="22"/>
                <w:szCs w:val="22"/>
              </w:rPr>
              <w:t>省、设区的市人民政府生态环境主管部门及其派出机构</w:t>
            </w:r>
          </w:p>
        </w:tc>
        <w:tc>
          <w:tcPr>
            <w:tcW w:w="3181" w:type="dxa"/>
            <w:tcBorders>
              <w:top w:val="single" w:color="000000" w:sz="4" w:space="0"/>
              <w:left w:val="single" w:color="auto" w:sz="4" w:space="0"/>
              <w:bottom w:val="single" w:color="000000" w:sz="4" w:space="0"/>
              <w:right w:val="single" w:color="000000" w:sz="4" w:space="0"/>
            </w:tcBorders>
            <w:noWrap w:val="0"/>
            <w:vAlign w:val="center"/>
          </w:tcPr>
          <w:p w14:paraId="3DC4A752">
            <w:pPr>
              <w:rPr>
                <w:rFonts w:hint="eastAsia" w:ascii="仿宋_GB2312" w:eastAsia="仿宋_GB2312" w:cs="宋体"/>
                <w:color w:val="auto"/>
                <w:sz w:val="22"/>
                <w:szCs w:val="22"/>
              </w:rPr>
            </w:pPr>
            <w:r>
              <w:rPr>
                <w:rFonts w:hint="eastAsia" w:ascii="仿宋_GB2312" w:eastAsia="仿宋_GB2312" w:cs="宋体"/>
                <w:color w:val="auto"/>
                <w:sz w:val="22"/>
                <w:szCs w:val="22"/>
              </w:rPr>
              <w:t>初次违法，违法行为持续时间不超过3个月，自责令改正书下达之日起5个工作日内完成整改的。（披露信息存在弄虚作假的除外）</w:t>
            </w:r>
          </w:p>
        </w:tc>
        <w:tc>
          <w:tcPr>
            <w:tcW w:w="4757" w:type="dxa"/>
            <w:tcBorders>
              <w:top w:val="single" w:color="000000" w:sz="4" w:space="0"/>
              <w:left w:val="single" w:color="000000" w:sz="4" w:space="0"/>
              <w:bottom w:val="single" w:color="000000" w:sz="4" w:space="0"/>
              <w:right w:val="single" w:color="000000" w:sz="4" w:space="0"/>
            </w:tcBorders>
            <w:noWrap w:val="0"/>
            <w:vAlign w:val="center"/>
          </w:tcPr>
          <w:p w14:paraId="4DA2ED03">
            <w:pPr>
              <w:ind w:firstLine="440" w:firstLineChars="200"/>
              <w:rPr>
                <w:rFonts w:hint="eastAsia" w:ascii="仿宋_GB2312" w:eastAsia="仿宋_GB2312" w:cs="宋体"/>
                <w:color w:val="auto"/>
                <w:sz w:val="22"/>
                <w:szCs w:val="22"/>
              </w:rPr>
            </w:pPr>
            <w:r>
              <w:rPr>
                <w:rFonts w:hint="eastAsia" w:ascii="仿宋_GB2312" w:eastAsia="仿宋_GB2312" w:cs="宋体"/>
                <w:color w:val="auto"/>
                <w:sz w:val="22"/>
                <w:szCs w:val="22"/>
              </w:rPr>
              <w:t>《企业环境信息依法披露管理办法》</w:t>
            </w:r>
          </w:p>
          <w:p w14:paraId="5F84EA02">
            <w:pPr>
              <w:ind w:firstLine="440" w:firstLineChars="200"/>
              <w:rPr>
                <w:rFonts w:hint="default" w:ascii="仿宋_GB2312" w:eastAsia="仿宋_GB2312" w:cs="宋体"/>
                <w:color w:val="auto"/>
                <w:sz w:val="22"/>
                <w:szCs w:val="22"/>
                <w:lang w:val="en-US" w:eastAsia="zh-CN"/>
              </w:rPr>
            </w:pPr>
            <w:r>
              <w:rPr>
                <w:rFonts w:hint="eastAsia" w:ascii="仿宋_GB2312" w:eastAsia="仿宋_GB2312" w:cs="宋体"/>
                <w:color w:val="auto"/>
                <w:sz w:val="22"/>
                <w:szCs w:val="22"/>
                <w:lang w:val="en-US" w:eastAsia="zh-CN"/>
              </w:rPr>
              <w:t xml:space="preserve">第十一条第二款  </w:t>
            </w:r>
            <w:r>
              <w:rPr>
                <w:rFonts w:hint="eastAsia" w:ascii="仿宋_GB2312" w:eastAsia="仿宋_GB2312" w:cs="宋体"/>
                <w:color w:val="auto"/>
                <w:sz w:val="22"/>
                <w:szCs w:val="22"/>
              </w:rPr>
              <w:t>企业应当按照准则编制年度环境信息依法披露报告和临时环境信息依法披露报告，并上传至企业环境信息依法披露系统。</w:t>
            </w:r>
          </w:p>
          <w:p w14:paraId="07D8564C">
            <w:pPr>
              <w:ind w:firstLine="440" w:firstLineChars="200"/>
              <w:rPr>
                <w:rFonts w:hint="eastAsia" w:ascii="仿宋_GB2312" w:eastAsia="仿宋_GB2312" w:cs="宋体"/>
                <w:color w:val="auto"/>
                <w:sz w:val="22"/>
                <w:szCs w:val="22"/>
              </w:rPr>
            </w:pPr>
            <w:r>
              <w:rPr>
                <w:rFonts w:hint="eastAsia" w:ascii="仿宋_GB2312" w:eastAsia="仿宋_GB2312" w:cs="宋体"/>
                <w:color w:val="auto"/>
                <w:sz w:val="22"/>
                <w:szCs w:val="22"/>
              </w:rPr>
              <w:t xml:space="preserve">第二十九条第三项 </w:t>
            </w:r>
            <w:r>
              <w:rPr>
                <w:rFonts w:hint="eastAsia" w:ascii="仿宋_GB2312" w:eastAsia="仿宋_GB2312" w:cs="宋体"/>
                <w:color w:val="auto"/>
                <w:sz w:val="22"/>
                <w:szCs w:val="22"/>
                <w:lang w:val="en-US" w:eastAsia="zh-CN"/>
              </w:rPr>
              <w:t xml:space="preserve"> </w:t>
            </w:r>
            <w:r>
              <w:rPr>
                <w:rFonts w:hint="eastAsia" w:ascii="仿宋_GB2312" w:eastAsia="仿宋_GB2312" w:cs="宋体"/>
                <w:color w:val="auto"/>
                <w:sz w:val="22"/>
                <w:szCs w:val="22"/>
              </w:rPr>
              <w:t>企业违反本办法规定，有下列行为之一的，由设区的市级以上生态环境主管部门责令改正，通报批评，并可以处五万元以下的罚款：（三）未将环境信息上传至企业环境信息依法披露系统的。</w:t>
            </w:r>
          </w:p>
        </w:tc>
        <w:tc>
          <w:tcPr>
            <w:tcW w:w="1188" w:type="dxa"/>
            <w:tcBorders>
              <w:top w:val="single" w:color="000000" w:sz="4" w:space="0"/>
              <w:left w:val="single" w:color="000000" w:sz="4" w:space="0"/>
              <w:bottom w:val="single" w:color="000000" w:sz="4" w:space="0"/>
              <w:right w:val="single" w:color="000000" w:sz="12" w:space="0"/>
            </w:tcBorders>
            <w:noWrap w:val="0"/>
            <w:vAlign w:val="center"/>
          </w:tcPr>
          <w:p w14:paraId="63C89630">
            <w:pPr>
              <w:jc w:val="center"/>
              <w:rPr>
                <w:rFonts w:hint="eastAsia" w:ascii="仿宋_GB2312" w:eastAsia="仿宋_GB2312" w:cs="宋体"/>
                <w:color w:val="auto"/>
                <w:sz w:val="22"/>
                <w:szCs w:val="22"/>
              </w:rPr>
            </w:pPr>
          </w:p>
        </w:tc>
      </w:tr>
      <w:tr w14:paraId="39BC106D">
        <w:tblPrEx>
          <w:tblCellMar>
            <w:top w:w="15" w:type="dxa"/>
            <w:left w:w="15" w:type="dxa"/>
            <w:bottom w:w="15" w:type="dxa"/>
            <w:right w:w="15" w:type="dxa"/>
          </w:tblCellMar>
        </w:tblPrEx>
        <w:trPr>
          <w:trHeight w:val="514" w:hRule="atLeast"/>
          <w:jc w:val="center"/>
        </w:trPr>
        <w:tc>
          <w:tcPr>
            <w:tcW w:w="14088" w:type="dxa"/>
            <w:gridSpan w:val="6"/>
            <w:tcBorders>
              <w:top w:val="single" w:color="000000" w:sz="4" w:space="0"/>
              <w:left w:val="single" w:color="000000" w:sz="12" w:space="0"/>
              <w:bottom w:val="single" w:color="000000" w:sz="4" w:space="0"/>
              <w:right w:val="single" w:color="000000" w:sz="12" w:space="0"/>
            </w:tcBorders>
            <w:noWrap w:val="0"/>
            <w:vAlign w:val="center"/>
          </w:tcPr>
          <w:p w14:paraId="632EDE9F">
            <w:pPr>
              <w:rPr>
                <w:rFonts w:hint="eastAsia" w:ascii="仿宋_GB2312" w:hAnsi="Calibri" w:eastAsia="仿宋_GB2312" w:cs="宋体"/>
                <w:color w:val="auto"/>
                <w:kern w:val="2"/>
                <w:sz w:val="22"/>
                <w:szCs w:val="21"/>
                <w:lang w:val="en-US" w:eastAsia="zh-CN" w:bidi="ar-SA"/>
              </w:rPr>
            </w:pPr>
            <w:r>
              <w:rPr>
                <w:rFonts w:hint="eastAsia" w:ascii="黑体" w:eastAsia="黑体" w:cs="黑体"/>
                <w:color w:val="auto"/>
                <w:sz w:val="24"/>
                <w:szCs w:val="24"/>
              </w:rPr>
              <w:t>三、下列违法行为当事人有证据足以证明没有主观过错的，不予行政处罚</w:t>
            </w:r>
          </w:p>
        </w:tc>
      </w:tr>
      <w:tr w14:paraId="49938A12">
        <w:tblPrEx>
          <w:tblCellMar>
            <w:top w:w="15" w:type="dxa"/>
            <w:left w:w="15" w:type="dxa"/>
            <w:bottom w:w="15" w:type="dxa"/>
            <w:right w:w="15" w:type="dxa"/>
          </w:tblCellMar>
        </w:tblPrEx>
        <w:trPr>
          <w:trHeight w:val="514" w:hRule="atLeast"/>
          <w:jc w:val="center"/>
        </w:trPr>
        <w:tc>
          <w:tcPr>
            <w:tcW w:w="851" w:type="dxa"/>
            <w:tcBorders>
              <w:top w:val="single" w:color="000000" w:sz="4" w:space="0"/>
              <w:left w:val="single" w:color="000000" w:sz="12" w:space="0"/>
              <w:bottom w:val="single" w:color="000000" w:sz="4" w:space="0"/>
              <w:right w:val="single" w:color="000000" w:sz="4" w:space="0"/>
            </w:tcBorders>
            <w:noWrap w:val="0"/>
            <w:vAlign w:val="center"/>
          </w:tcPr>
          <w:p w14:paraId="795F7CD0">
            <w:pPr>
              <w:jc w:val="center"/>
              <w:rPr>
                <w:rFonts w:hint="eastAsia" w:ascii="仿宋_GB2312" w:eastAsia="仿宋_GB2312" w:cs="宋体"/>
                <w:color w:val="auto"/>
                <w:sz w:val="22"/>
                <w:szCs w:val="22"/>
                <w:lang w:val="en-US" w:eastAsia="zh-CN"/>
              </w:rPr>
            </w:pPr>
            <w:r>
              <w:rPr>
                <w:rFonts w:hint="eastAsia" w:ascii="仿宋_GB2312" w:eastAsia="仿宋_GB2312" w:cs="宋体"/>
                <w:color w:val="auto"/>
                <w:sz w:val="22"/>
                <w:szCs w:val="22"/>
                <w:lang w:val="en-US" w:eastAsia="zh-CN"/>
              </w:rPr>
              <w:t>1</w:t>
            </w:r>
          </w:p>
        </w:tc>
        <w:tc>
          <w:tcPr>
            <w:tcW w:w="1984" w:type="dxa"/>
            <w:tcBorders>
              <w:top w:val="single" w:color="000000" w:sz="4" w:space="0"/>
              <w:left w:val="single" w:color="000000" w:sz="4" w:space="0"/>
              <w:bottom w:val="single" w:color="000000" w:sz="4" w:space="0"/>
              <w:right w:val="single" w:color="000000" w:sz="4" w:space="0"/>
            </w:tcBorders>
            <w:noWrap w:val="0"/>
            <w:vAlign w:val="center"/>
          </w:tcPr>
          <w:p w14:paraId="02258EA1">
            <w:pPr>
              <w:rPr>
                <w:rFonts w:hint="eastAsia" w:ascii="仿宋_GB2312" w:eastAsia="仿宋_GB2312" w:cs="宋体"/>
                <w:color w:val="auto"/>
                <w:sz w:val="22"/>
                <w:szCs w:val="22"/>
              </w:rPr>
            </w:pPr>
            <w:r>
              <w:rPr>
                <w:rFonts w:hint="eastAsia" w:ascii="仿宋_GB2312" w:eastAsia="仿宋_GB2312" w:cs="宋体"/>
                <w:color w:val="auto"/>
                <w:sz w:val="22"/>
                <w:szCs w:val="22"/>
              </w:rPr>
              <w:t>对未按照排污许可证的规定运行和维护污染防治设施</w:t>
            </w:r>
            <w:r>
              <w:rPr>
                <w:rFonts w:hint="eastAsia" w:ascii="仿宋_GB2312" w:eastAsia="仿宋_GB2312" w:cs="宋体"/>
                <w:color w:val="auto"/>
                <w:sz w:val="22"/>
                <w:szCs w:val="22"/>
                <w:lang w:eastAsia="zh-CN"/>
              </w:rPr>
              <w:t>，</w:t>
            </w:r>
            <w:r>
              <w:rPr>
                <w:rFonts w:hint="eastAsia" w:ascii="仿宋_GB2312" w:eastAsia="仿宋_GB2312" w:cs="宋体"/>
                <w:color w:val="auto"/>
                <w:sz w:val="22"/>
                <w:szCs w:val="22"/>
              </w:rPr>
              <w:t>致使污染防治设施不能正常发挥作用，但不属于以逃避监管方式排放污染物的处罚</w:t>
            </w:r>
          </w:p>
        </w:tc>
        <w:tc>
          <w:tcPr>
            <w:tcW w:w="2127" w:type="dxa"/>
            <w:tcBorders>
              <w:top w:val="single" w:color="000000" w:sz="4" w:space="0"/>
              <w:left w:val="single" w:color="000000" w:sz="4" w:space="0"/>
              <w:bottom w:val="single" w:color="000000" w:sz="4" w:space="0"/>
              <w:right w:val="single" w:color="auto" w:sz="4" w:space="0"/>
            </w:tcBorders>
            <w:noWrap w:val="0"/>
            <w:vAlign w:val="center"/>
          </w:tcPr>
          <w:p w14:paraId="46634EA1">
            <w:pPr>
              <w:rPr>
                <w:rFonts w:hint="eastAsia" w:ascii="仿宋_GB2312" w:eastAsia="仿宋_GB2312" w:cs="宋体"/>
                <w:color w:val="auto"/>
                <w:sz w:val="22"/>
                <w:szCs w:val="22"/>
              </w:rPr>
            </w:pPr>
            <w:r>
              <w:rPr>
                <w:rFonts w:hint="eastAsia" w:ascii="仿宋_GB2312" w:eastAsia="仿宋_GB2312" w:cs="宋体"/>
                <w:color w:val="auto"/>
                <w:sz w:val="22"/>
                <w:szCs w:val="22"/>
              </w:rPr>
              <w:t>省、设区的市人民政府生态环境主管部门及其派出机构</w:t>
            </w:r>
          </w:p>
        </w:tc>
        <w:tc>
          <w:tcPr>
            <w:tcW w:w="3181" w:type="dxa"/>
            <w:tcBorders>
              <w:top w:val="single" w:color="000000" w:sz="4" w:space="0"/>
              <w:left w:val="single" w:color="auto" w:sz="4" w:space="0"/>
              <w:bottom w:val="single" w:color="000000" w:sz="4" w:space="0"/>
              <w:right w:val="single" w:color="000000" w:sz="4" w:space="0"/>
            </w:tcBorders>
            <w:noWrap w:val="0"/>
            <w:vAlign w:val="center"/>
          </w:tcPr>
          <w:p w14:paraId="25B8547A">
            <w:pPr>
              <w:rPr>
                <w:rFonts w:ascii="仿宋_GB2312" w:eastAsia="仿宋_GB2312" w:cs="宋体"/>
                <w:color w:val="auto"/>
                <w:sz w:val="22"/>
                <w:szCs w:val="22"/>
              </w:rPr>
            </w:pPr>
            <w:r>
              <w:rPr>
                <w:rFonts w:hint="eastAsia" w:ascii="仿宋_GB2312" w:eastAsia="仿宋_GB2312" w:cs="宋体"/>
                <w:color w:val="auto"/>
                <w:sz w:val="22"/>
                <w:szCs w:val="22"/>
              </w:rPr>
              <w:t>满足下列情形之一的：</w:t>
            </w:r>
          </w:p>
          <w:p w14:paraId="5BF60687">
            <w:pPr>
              <w:rPr>
                <w:rFonts w:hint="eastAsia" w:ascii="仿宋_GB2312" w:eastAsia="仿宋_GB2312" w:cs="宋体"/>
                <w:color w:val="auto"/>
                <w:sz w:val="22"/>
                <w:szCs w:val="22"/>
              </w:rPr>
            </w:pPr>
            <w:r>
              <w:rPr>
                <w:rFonts w:hint="eastAsia" w:ascii="仿宋_GB2312" w:eastAsia="仿宋_GB2312" w:cs="宋体"/>
                <w:color w:val="auto"/>
                <w:sz w:val="22"/>
                <w:szCs w:val="22"/>
              </w:rPr>
              <w:t>1.当事人有证据证明因不可抗力等非主观过错因素导致污染防治设施不正常运行的，并在污染防治设施不正常运行发生</w:t>
            </w:r>
            <w:r>
              <w:rPr>
                <w:rFonts w:hint="eastAsia" w:ascii="仿宋_GB2312" w:eastAsia="仿宋_GB2312" w:cs="宋体"/>
                <w:color w:val="auto"/>
                <w:sz w:val="22"/>
                <w:szCs w:val="22"/>
                <w:lang w:val="en-US" w:eastAsia="zh-CN"/>
              </w:rPr>
              <w:t>24</w:t>
            </w:r>
            <w:r>
              <w:rPr>
                <w:rFonts w:hint="eastAsia" w:ascii="仿宋_GB2312" w:eastAsia="仿宋_GB2312" w:cs="宋体"/>
                <w:color w:val="auto"/>
                <w:sz w:val="22"/>
                <w:szCs w:val="22"/>
              </w:rPr>
              <w:t>小时内及时报告。</w:t>
            </w:r>
          </w:p>
          <w:p w14:paraId="718B799E">
            <w:pPr>
              <w:rPr>
                <w:rFonts w:hint="eastAsia" w:ascii="仿宋_GB2312" w:eastAsia="仿宋_GB2312" w:cs="宋体"/>
                <w:color w:val="auto"/>
                <w:sz w:val="22"/>
                <w:szCs w:val="22"/>
              </w:rPr>
            </w:pPr>
            <w:r>
              <w:rPr>
                <w:rFonts w:hint="eastAsia" w:ascii="仿宋_GB2312" w:eastAsia="仿宋_GB2312" w:cs="宋体"/>
                <w:color w:val="auto"/>
                <w:sz w:val="22"/>
                <w:szCs w:val="22"/>
              </w:rPr>
              <w:t>2.当事人因设备故障在污染防治设施不正常运行发生</w:t>
            </w:r>
            <w:r>
              <w:rPr>
                <w:rFonts w:hint="eastAsia" w:ascii="仿宋_GB2312" w:eastAsia="仿宋_GB2312" w:cs="宋体"/>
                <w:color w:val="auto"/>
                <w:sz w:val="22"/>
                <w:szCs w:val="22"/>
                <w:lang w:val="en-US" w:eastAsia="zh-CN"/>
              </w:rPr>
              <w:t>24</w:t>
            </w:r>
            <w:r>
              <w:rPr>
                <w:rFonts w:hint="eastAsia" w:ascii="仿宋_GB2312" w:eastAsia="仿宋_GB2312" w:cs="宋体"/>
                <w:color w:val="auto"/>
                <w:sz w:val="22"/>
                <w:szCs w:val="22"/>
              </w:rPr>
              <w:t>小时内及时报告并采取停、限产措施减少污染物排放，且</w:t>
            </w:r>
            <w:r>
              <w:rPr>
                <w:rFonts w:hint="eastAsia" w:ascii="仿宋_GB2312" w:eastAsia="仿宋_GB2312" w:cs="宋体"/>
                <w:color w:val="auto"/>
                <w:sz w:val="22"/>
                <w:szCs w:val="22"/>
                <w:lang w:eastAsia="zh-CN"/>
              </w:rPr>
              <w:t>排放水污染物</w:t>
            </w:r>
            <w:r>
              <w:rPr>
                <w:rFonts w:hint="eastAsia" w:ascii="仿宋_GB2312" w:eastAsia="仿宋_GB2312" w:cs="宋体"/>
                <w:color w:val="auto"/>
                <w:sz w:val="22"/>
                <w:szCs w:val="22"/>
              </w:rPr>
              <w:t>日均值未超标</w:t>
            </w:r>
            <w:r>
              <w:rPr>
                <w:rFonts w:hint="eastAsia" w:ascii="仿宋_GB2312" w:eastAsia="仿宋_GB2312" w:cs="宋体"/>
                <w:color w:val="auto"/>
                <w:sz w:val="22"/>
                <w:szCs w:val="22"/>
                <w:lang w:eastAsia="zh-CN"/>
              </w:rPr>
              <w:t>、排放大气污染物小时均值未超标</w:t>
            </w:r>
            <w:r>
              <w:rPr>
                <w:rFonts w:hint="eastAsia" w:ascii="仿宋_GB2312" w:eastAsia="仿宋_GB2312" w:cs="宋体"/>
                <w:color w:val="auto"/>
                <w:sz w:val="22"/>
                <w:szCs w:val="22"/>
              </w:rPr>
              <w:t>的。</w:t>
            </w:r>
          </w:p>
          <w:p w14:paraId="6A839F8D">
            <w:pPr>
              <w:rPr>
                <w:rFonts w:hint="eastAsia" w:ascii="仿宋_GB2312" w:eastAsia="仿宋_GB2312" w:cs="宋体"/>
                <w:color w:val="auto"/>
                <w:sz w:val="22"/>
                <w:szCs w:val="22"/>
              </w:rPr>
            </w:pPr>
            <w:r>
              <w:rPr>
                <w:rFonts w:hint="eastAsia" w:ascii="仿宋_GB2312" w:eastAsia="仿宋_GB2312" w:cs="宋体"/>
                <w:color w:val="auto"/>
                <w:sz w:val="22"/>
                <w:szCs w:val="22"/>
              </w:rPr>
              <w:t>3.涉及民生、公共利益或生产安全等需要无法实施停产，因设施故障、维修等原因导致污染防治设施不正常运行，但当事人提前</w:t>
            </w:r>
            <w:r>
              <w:rPr>
                <w:rFonts w:hint="eastAsia" w:ascii="仿宋_GB2312" w:eastAsia="仿宋_GB2312" w:cs="宋体"/>
                <w:color w:val="auto"/>
                <w:sz w:val="22"/>
                <w:szCs w:val="22"/>
                <w:lang w:val="en-US" w:eastAsia="zh-CN"/>
              </w:rPr>
              <w:t>24</w:t>
            </w:r>
            <w:r>
              <w:rPr>
                <w:rFonts w:hint="eastAsia" w:ascii="仿宋_GB2312" w:eastAsia="仿宋_GB2312" w:cs="宋体"/>
                <w:color w:val="auto"/>
                <w:sz w:val="22"/>
                <w:szCs w:val="22"/>
              </w:rPr>
              <w:t>小时书面报告并采取减缓措施减少污染物排放，且未造成危害后果的。</w:t>
            </w:r>
          </w:p>
        </w:tc>
        <w:tc>
          <w:tcPr>
            <w:tcW w:w="4757" w:type="dxa"/>
            <w:tcBorders>
              <w:top w:val="single" w:color="000000" w:sz="4" w:space="0"/>
              <w:left w:val="single" w:color="000000" w:sz="4" w:space="0"/>
              <w:bottom w:val="single" w:color="000000" w:sz="4" w:space="0"/>
              <w:right w:val="single" w:color="000000" w:sz="4" w:space="0"/>
            </w:tcBorders>
            <w:noWrap w:val="0"/>
            <w:vAlign w:val="center"/>
          </w:tcPr>
          <w:p w14:paraId="0B73A05A">
            <w:pPr>
              <w:ind w:firstLine="440" w:firstLineChars="200"/>
              <w:rPr>
                <w:rFonts w:hint="eastAsia" w:ascii="仿宋_GB2312" w:eastAsia="仿宋_GB2312" w:cs="宋体"/>
                <w:color w:val="auto"/>
                <w:sz w:val="22"/>
                <w:szCs w:val="22"/>
              </w:rPr>
            </w:pPr>
            <w:r>
              <w:rPr>
                <w:rFonts w:hint="eastAsia" w:ascii="仿宋_GB2312" w:eastAsia="仿宋_GB2312" w:cs="宋体"/>
                <w:color w:val="auto"/>
                <w:sz w:val="22"/>
                <w:szCs w:val="22"/>
              </w:rPr>
              <w:t>1</w:t>
            </w:r>
            <w:r>
              <w:rPr>
                <w:rFonts w:ascii="仿宋_GB2312" w:eastAsia="仿宋_GB2312" w:cs="宋体"/>
                <w:color w:val="auto"/>
                <w:sz w:val="22"/>
                <w:szCs w:val="22"/>
              </w:rPr>
              <w:t>.</w:t>
            </w:r>
            <w:r>
              <w:rPr>
                <w:rFonts w:hint="eastAsia" w:ascii="仿宋_GB2312" w:eastAsia="仿宋_GB2312" w:cs="宋体"/>
                <w:color w:val="auto"/>
                <w:sz w:val="22"/>
                <w:szCs w:val="22"/>
              </w:rPr>
              <w:t>《中华人民共和国生态环境法典》</w:t>
            </w:r>
          </w:p>
          <w:p w14:paraId="59C372AD">
            <w:pPr>
              <w:ind w:firstLine="440" w:firstLineChars="200"/>
              <w:rPr>
                <w:rFonts w:hint="eastAsia" w:ascii="仿宋_GB2312" w:eastAsia="仿宋_GB2312" w:cs="宋体"/>
                <w:color w:val="auto"/>
                <w:sz w:val="22"/>
                <w:szCs w:val="22"/>
              </w:rPr>
            </w:pPr>
            <w:r>
              <w:rPr>
                <w:rFonts w:hint="eastAsia" w:ascii="仿宋_GB2312" w:eastAsia="仿宋_GB2312" w:cs="宋体"/>
                <w:color w:val="auto"/>
                <w:sz w:val="22"/>
                <w:szCs w:val="22"/>
              </w:rPr>
              <w:t>第一百七十九条第二款  实行排污许可管理的企业事业单位和其他生产经营者应当遵守排污许可证的要求，按照规定运行和维护污染防治设施，建立生态环境管理制度，严格控制污染物排放。</w:t>
            </w:r>
          </w:p>
          <w:p w14:paraId="3BEBA9B2">
            <w:pPr>
              <w:ind w:firstLine="440" w:firstLineChars="200"/>
              <w:rPr>
                <w:rFonts w:hint="eastAsia" w:ascii="仿宋_GB2312" w:hAnsi="宋体" w:eastAsia="仿宋_GB2312" w:cs="宋体"/>
                <w:color w:val="auto"/>
                <w:sz w:val="22"/>
                <w:szCs w:val="22"/>
                <w:lang w:val="en-US" w:eastAsia="zh-CN"/>
              </w:rPr>
            </w:pPr>
            <w:r>
              <w:rPr>
                <w:rFonts w:hint="eastAsia" w:ascii="仿宋_GB2312" w:hAnsi="宋体" w:eastAsia="仿宋_GB2312" w:cs="宋体"/>
                <w:color w:val="auto"/>
                <w:sz w:val="22"/>
                <w:szCs w:val="22"/>
              </w:rPr>
              <w:t>第一千一百零四条</w:t>
            </w:r>
            <w:r>
              <w:rPr>
                <w:rFonts w:hint="eastAsia" w:ascii="仿宋_GB2312" w:hAnsi="宋体" w:eastAsia="仿宋_GB2312" w:cs="宋体"/>
                <w:color w:val="auto"/>
                <w:sz w:val="22"/>
                <w:szCs w:val="22"/>
                <w:lang w:val="en-US" w:eastAsia="zh-CN"/>
              </w:rPr>
              <w:t>第一款</w:t>
            </w:r>
            <w:r>
              <w:rPr>
                <w:rFonts w:hint="eastAsia" w:ascii="仿宋_GB2312" w:hAnsi="宋体" w:eastAsia="仿宋_GB2312" w:cs="宋体"/>
                <w:color w:val="auto"/>
                <w:sz w:val="22"/>
                <w:szCs w:val="22"/>
              </w:rPr>
              <w:t>　违反本法规定，未按照排污许可证的规定运行和维护污染防治设施的，由生态环境主管部门责令改正，处二万元以上五万元以下的罚款；致使污染防治设施不能正常发挥作用，但不属于以逃避监管方式排放污染物的，由生态环境主管部门责令改正，处五万元以上二十万元以下的罚款；情节严重的，责令限制生产、停产整治。</w:t>
            </w:r>
          </w:p>
          <w:p w14:paraId="104FE0A0">
            <w:pPr>
              <w:ind w:firstLine="440" w:firstLineChars="200"/>
              <w:rPr>
                <w:rFonts w:hint="eastAsia" w:ascii="仿宋_GB2312" w:eastAsia="仿宋_GB2312" w:cs="宋体"/>
                <w:color w:val="auto"/>
                <w:sz w:val="22"/>
                <w:szCs w:val="22"/>
              </w:rPr>
            </w:pPr>
            <w:r>
              <w:rPr>
                <w:rFonts w:hint="eastAsia" w:ascii="仿宋_GB2312" w:hAnsi="宋体" w:eastAsia="仿宋_GB2312" w:cs="宋体"/>
                <w:color w:val="auto"/>
                <w:sz w:val="22"/>
                <w:szCs w:val="22"/>
                <w:lang w:val="en-US" w:eastAsia="zh-CN"/>
              </w:rPr>
              <w:t>2</w:t>
            </w:r>
            <w:r>
              <w:rPr>
                <w:rFonts w:hint="eastAsia" w:ascii="仿宋_GB2312" w:eastAsia="仿宋_GB2312" w:cs="宋体"/>
                <w:color w:val="auto"/>
                <w:sz w:val="22"/>
                <w:szCs w:val="22"/>
              </w:rPr>
              <w:t>.《排污许可管理条例》</w:t>
            </w:r>
          </w:p>
          <w:p w14:paraId="2A74B3C6">
            <w:pPr>
              <w:ind w:firstLine="440" w:firstLineChars="200"/>
              <w:rPr>
                <w:rFonts w:hint="eastAsia" w:ascii="仿宋_GB2312" w:eastAsia="仿宋_GB2312" w:cs="宋体"/>
                <w:color w:val="auto"/>
                <w:sz w:val="22"/>
                <w:szCs w:val="22"/>
              </w:rPr>
            </w:pPr>
            <w:r>
              <w:rPr>
                <w:rFonts w:hint="eastAsia" w:ascii="仿宋_GB2312" w:eastAsia="仿宋_GB2312" w:cs="宋体"/>
                <w:color w:val="auto"/>
                <w:sz w:val="22"/>
                <w:szCs w:val="22"/>
              </w:rPr>
              <w:t>第十七条第二款  排污单位应当遵守排污许可证规定</w:t>
            </w:r>
            <w:r>
              <w:rPr>
                <w:rFonts w:hint="default" w:ascii="Times New Roman" w:hAnsi="Times New Roman" w:eastAsia="宋体" w:cs="Times New Roman"/>
                <w:b/>
                <w:bCs/>
                <w:color w:val="auto"/>
                <w:sz w:val="22"/>
                <w:szCs w:val="22"/>
              </w:rPr>
              <w:t>，</w:t>
            </w:r>
            <w:r>
              <w:rPr>
                <w:rFonts w:hint="eastAsia" w:ascii="仿宋_GB2312" w:eastAsia="仿宋_GB2312" w:cs="宋体"/>
                <w:color w:val="auto"/>
                <w:sz w:val="22"/>
                <w:szCs w:val="22"/>
              </w:rPr>
              <w:t>按照生态环境管理要求运行和维护污染防治设施，建立环境管理制度，严格控制污染物排放。</w:t>
            </w:r>
          </w:p>
        </w:tc>
        <w:tc>
          <w:tcPr>
            <w:tcW w:w="1188" w:type="dxa"/>
            <w:tcBorders>
              <w:top w:val="single" w:color="000000" w:sz="4" w:space="0"/>
              <w:left w:val="single" w:color="000000" w:sz="4" w:space="0"/>
              <w:bottom w:val="single" w:color="000000" w:sz="4" w:space="0"/>
              <w:right w:val="single" w:color="000000" w:sz="12" w:space="0"/>
            </w:tcBorders>
            <w:noWrap w:val="0"/>
            <w:vAlign w:val="center"/>
          </w:tcPr>
          <w:p w14:paraId="6567F582">
            <w:pPr>
              <w:rPr>
                <w:rFonts w:hint="eastAsia" w:ascii="仿宋_GB2312" w:hAnsi="Calibri" w:eastAsia="仿宋_GB2312" w:cs="宋体"/>
                <w:color w:val="auto"/>
                <w:kern w:val="2"/>
                <w:sz w:val="22"/>
                <w:szCs w:val="21"/>
                <w:lang w:val="en-US" w:eastAsia="zh-CN" w:bidi="ar-SA"/>
              </w:rPr>
            </w:pPr>
          </w:p>
        </w:tc>
      </w:tr>
      <w:tr w14:paraId="6A4C0CF8">
        <w:tblPrEx>
          <w:tblCellMar>
            <w:top w:w="15" w:type="dxa"/>
            <w:left w:w="15" w:type="dxa"/>
            <w:bottom w:w="15" w:type="dxa"/>
            <w:right w:w="15" w:type="dxa"/>
          </w:tblCellMar>
        </w:tblPrEx>
        <w:trPr>
          <w:trHeight w:val="657" w:hRule="atLeast"/>
          <w:jc w:val="center"/>
        </w:trPr>
        <w:tc>
          <w:tcPr>
            <w:tcW w:w="851" w:type="dxa"/>
            <w:tcBorders>
              <w:top w:val="nil"/>
              <w:left w:val="nil"/>
              <w:bottom w:val="nil"/>
              <w:right w:val="nil"/>
            </w:tcBorders>
            <w:noWrap w:val="0"/>
            <w:vAlign w:val="center"/>
          </w:tcPr>
          <w:p w14:paraId="6A83EEBE">
            <w:pPr>
              <w:widowControl/>
              <w:jc w:val="left"/>
              <w:textAlignment w:val="auto"/>
              <w:rPr>
                <w:rFonts w:hint="eastAsia" w:ascii="仿宋_GB2312" w:eastAsia="仿宋_GB2312"/>
                <w:color w:val="auto"/>
                <w:kern w:val="0"/>
                <w:sz w:val="22"/>
                <w:szCs w:val="28"/>
              </w:rPr>
            </w:pPr>
            <w:r>
              <w:rPr>
                <w:color w:val="auto"/>
                <w:sz w:val="22"/>
                <w:szCs w:val="22"/>
              </w:rPr>
              <w:br w:type="page"/>
            </w:r>
          </w:p>
        </w:tc>
        <w:tc>
          <w:tcPr>
            <w:tcW w:w="1984" w:type="dxa"/>
            <w:tcBorders>
              <w:top w:val="nil"/>
              <w:left w:val="nil"/>
              <w:bottom w:val="nil"/>
              <w:right w:val="nil"/>
            </w:tcBorders>
            <w:noWrap w:val="0"/>
            <w:vAlign w:val="center"/>
          </w:tcPr>
          <w:p w14:paraId="687D9BF7">
            <w:pPr>
              <w:rPr>
                <w:rFonts w:hint="eastAsia" w:ascii="宋体" w:cs="宋体"/>
                <w:color w:val="auto"/>
                <w:sz w:val="22"/>
                <w:szCs w:val="22"/>
              </w:rPr>
            </w:pPr>
          </w:p>
        </w:tc>
        <w:tc>
          <w:tcPr>
            <w:tcW w:w="5308" w:type="dxa"/>
            <w:gridSpan w:val="2"/>
            <w:tcBorders>
              <w:top w:val="nil"/>
              <w:left w:val="nil"/>
              <w:bottom w:val="nil"/>
              <w:right w:val="nil"/>
            </w:tcBorders>
            <w:noWrap w:val="0"/>
            <w:vAlign w:val="center"/>
          </w:tcPr>
          <w:p w14:paraId="299595EE">
            <w:pPr>
              <w:rPr>
                <w:rFonts w:hint="eastAsia" w:ascii="宋体" w:cs="宋体"/>
                <w:color w:val="auto"/>
                <w:sz w:val="22"/>
                <w:szCs w:val="22"/>
              </w:rPr>
            </w:pPr>
          </w:p>
        </w:tc>
        <w:tc>
          <w:tcPr>
            <w:tcW w:w="4757" w:type="dxa"/>
            <w:tcBorders>
              <w:top w:val="nil"/>
              <w:left w:val="nil"/>
              <w:bottom w:val="nil"/>
              <w:right w:val="nil"/>
            </w:tcBorders>
            <w:noWrap w:val="0"/>
            <w:vAlign w:val="center"/>
          </w:tcPr>
          <w:p w14:paraId="335130AE">
            <w:pPr>
              <w:rPr>
                <w:rFonts w:hint="eastAsia" w:ascii="宋体" w:cs="宋体"/>
                <w:color w:val="auto"/>
                <w:sz w:val="22"/>
                <w:szCs w:val="22"/>
              </w:rPr>
            </w:pPr>
          </w:p>
        </w:tc>
        <w:tc>
          <w:tcPr>
            <w:tcW w:w="1188" w:type="dxa"/>
            <w:tcBorders>
              <w:top w:val="nil"/>
              <w:left w:val="nil"/>
              <w:bottom w:val="nil"/>
              <w:right w:val="nil"/>
            </w:tcBorders>
            <w:noWrap w:val="0"/>
            <w:vAlign w:val="center"/>
          </w:tcPr>
          <w:p w14:paraId="3F9D6E95">
            <w:pPr>
              <w:rPr>
                <w:rFonts w:hint="eastAsia" w:ascii="宋体" w:cs="宋体"/>
                <w:color w:val="auto"/>
                <w:sz w:val="22"/>
                <w:szCs w:val="22"/>
              </w:rPr>
            </w:pPr>
          </w:p>
        </w:tc>
      </w:tr>
    </w:tbl>
    <w:p w14:paraId="373FF4AA">
      <w:pPr>
        <w:widowControl/>
        <w:jc w:val="center"/>
        <w:textAlignment w:val="center"/>
        <w:rPr>
          <w:rFonts w:hint="eastAsia" w:ascii="方正小标宋简体" w:eastAsia="方正小标宋简体" w:cs="方正小标宋简体"/>
          <w:color w:val="auto"/>
          <w:kern w:val="0"/>
          <w:sz w:val="40"/>
          <w:szCs w:val="40"/>
        </w:rPr>
      </w:pPr>
      <w:r>
        <w:rPr>
          <w:rFonts w:hint="eastAsia" w:ascii="方正小标宋简体" w:eastAsia="方正小标宋简体" w:cs="方正小标宋简体"/>
          <w:color w:val="auto"/>
          <w:kern w:val="0"/>
          <w:sz w:val="40"/>
          <w:szCs w:val="40"/>
        </w:rPr>
        <w:br w:type="page"/>
      </w:r>
    </w:p>
    <w:tbl>
      <w:tblPr>
        <w:tblStyle w:val="8"/>
        <w:tblW w:w="14088" w:type="dxa"/>
        <w:jc w:val="center"/>
        <w:tblLayout w:type="fixed"/>
        <w:tblCellMar>
          <w:top w:w="15" w:type="dxa"/>
          <w:left w:w="15" w:type="dxa"/>
          <w:bottom w:w="15" w:type="dxa"/>
          <w:right w:w="15" w:type="dxa"/>
        </w:tblCellMar>
      </w:tblPr>
      <w:tblGrid>
        <w:gridCol w:w="851"/>
        <w:gridCol w:w="1984"/>
        <w:gridCol w:w="2474"/>
        <w:gridCol w:w="2834"/>
        <w:gridCol w:w="4757"/>
        <w:gridCol w:w="1188"/>
      </w:tblGrid>
      <w:tr w14:paraId="3734757F">
        <w:tblPrEx>
          <w:tblCellMar>
            <w:top w:w="15" w:type="dxa"/>
            <w:left w:w="15" w:type="dxa"/>
            <w:bottom w:w="15" w:type="dxa"/>
            <w:right w:w="15" w:type="dxa"/>
          </w:tblCellMar>
        </w:tblPrEx>
        <w:trPr>
          <w:trHeight w:val="884" w:hRule="atLeast"/>
          <w:jc w:val="center"/>
        </w:trPr>
        <w:tc>
          <w:tcPr>
            <w:tcW w:w="14088" w:type="dxa"/>
            <w:gridSpan w:val="6"/>
            <w:tcBorders>
              <w:top w:val="nil"/>
              <w:left w:val="nil"/>
              <w:bottom w:val="nil"/>
              <w:right w:val="nil"/>
            </w:tcBorders>
            <w:noWrap w:val="0"/>
            <w:vAlign w:val="center"/>
          </w:tcPr>
          <w:p w14:paraId="1AD393F5">
            <w:pPr>
              <w:widowControl/>
              <w:jc w:val="center"/>
              <w:textAlignment w:val="center"/>
              <w:rPr>
                <w:rFonts w:hint="eastAsia" w:ascii="方正小标宋简体" w:eastAsia="方正小标宋简体" w:cs="方正小标宋简体"/>
                <w:color w:val="auto"/>
                <w:sz w:val="40"/>
                <w:szCs w:val="40"/>
              </w:rPr>
            </w:pPr>
            <w:r>
              <w:rPr>
                <w:rFonts w:hint="eastAsia" w:ascii="方正小标宋简体" w:eastAsia="方正小标宋简体" w:cs="方正小标宋简体"/>
                <w:color w:val="auto"/>
                <w:kern w:val="0"/>
                <w:sz w:val="40"/>
                <w:szCs w:val="40"/>
              </w:rPr>
              <w:t>免予行政强制事项清单</w:t>
            </w:r>
          </w:p>
        </w:tc>
      </w:tr>
      <w:tr w14:paraId="0715F402">
        <w:tblPrEx>
          <w:tblCellMar>
            <w:top w:w="15" w:type="dxa"/>
            <w:left w:w="15" w:type="dxa"/>
            <w:bottom w:w="15" w:type="dxa"/>
            <w:right w:w="15" w:type="dxa"/>
          </w:tblCellMar>
        </w:tblPrEx>
        <w:trPr>
          <w:trHeight w:val="840" w:hRule="atLeast"/>
          <w:jc w:val="center"/>
        </w:trPr>
        <w:tc>
          <w:tcPr>
            <w:tcW w:w="851" w:type="dxa"/>
            <w:tcBorders>
              <w:top w:val="single" w:color="000000" w:sz="12" w:space="0"/>
              <w:left w:val="single" w:color="000000" w:sz="12" w:space="0"/>
              <w:bottom w:val="single" w:color="000000" w:sz="4" w:space="0"/>
              <w:right w:val="single" w:color="000000" w:sz="4" w:space="0"/>
            </w:tcBorders>
            <w:noWrap w:val="0"/>
            <w:vAlign w:val="center"/>
          </w:tcPr>
          <w:p w14:paraId="092AD6A7">
            <w:pPr>
              <w:widowControl/>
              <w:jc w:val="center"/>
              <w:textAlignment w:val="center"/>
              <w:rPr>
                <w:rFonts w:hint="eastAsia" w:ascii="黑体" w:eastAsia="黑体"/>
                <w:color w:val="auto"/>
                <w:sz w:val="24"/>
                <w:szCs w:val="24"/>
              </w:rPr>
            </w:pPr>
            <w:r>
              <w:rPr>
                <w:rFonts w:hint="eastAsia" w:ascii="黑体" w:eastAsia="黑体"/>
                <w:color w:val="auto"/>
                <w:kern w:val="0"/>
                <w:sz w:val="24"/>
                <w:szCs w:val="24"/>
              </w:rPr>
              <w:t>序号</w:t>
            </w:r>
          </w:p>
        </w:tc>
        <w:tc>
          <w:tcPr>
            <w:tcW w:w="1984" w:type="dxa"/>
            <w:tcBorders>
              <w:top w:val="single" w:color="000000" w:sz="12" w:space="0"/>
              <w:left w:val="single" w:color="000000" w:sz="4" w:space="0"/>
              <w:bottom w:val="single" w:color="000000" w:sz="4" w:space="0"/>
              <w:right w:val="single" w:color="000000" w:sz="4" w:space="0"/>
            </w:tcBorders>
            <w:noWrap w:val="0"/>
            <w:vAlign w:val="center"/>
          </w:tcPr>
          <w:p w14:paraId="7EBD6BAD">
            <w:pPr>
              <w:widowControl/>
              <w:jc w:val="center"/>
              <w:textAlignment w:val="center"/>
              <w:rPr>
                <w:rFonts w:hint="eastAsia" w:ascii="黑体" w:eastAsia="黑体"/>
                <w:color w:val="auto"/>
                <w:sz w:val="24"/>
                <w:szCs w:val="24"/>
              </w:rPr>
            </w:pPr>
            <w:r>
              <w:rPr>
                <w:rFonts w:hint="eastAsia" w:ascii="黑体" w:eastAsia="黑体"/>
                <w:color w:val="auto"/>
                <w:kern w:val="0"/>
                <w:sz w:val="24"/>
                <w:szCs w:val="24"/>
              </w:rPr>
              <w:t>行政强制事项</w:t>
            </w:r>
          </w:p>
        </w:tc>
        <w:tc>
          <w:tcPr>
            <w:tcW w:w="2474" w:type="dxa"/>
            <w:tcBorders>
              <w:top w:val="single" w:color="000000" w:sz="12" w:space="0"/>
              <w:left w:val="single" w:color="000000" w:sz="4" w:space="0"/>
              <w:bottom w:val="single" w:color="000000" w:sz="4" w:space="0"/>
              <w:right w:val="single" w:color="auto" w:sz="4" w:space="0"/>
            </w:tcBorders>
            <w:noWrap w:val="0"/>
            <w:vAlign w:val="center"/>
          </w:tcPr>
          <w:p w14:paraId="71B147B5">
            <w:pPr>
              <w:widowControl/>
              <w:jc w:val="center"/>
              <w:textAlignment w:val="center"/>
              <w:rPr>
                <w:rFonts w:hint="eastAsia" w:ascii="黑体" w:eastAsia="黑体"/>
                <w:color w:val="auto"/>
                <w:sz w:val="24"/>
                <w:szCs w:val="24"/>
              </w:rPr>
            </w:pPr>
            <w:r>
              <w:rPr>
                <w:rFonts w:hint="eastAsia" w:ascii="黑体" w:eastAsia="黑体"/>
                <w:color w:val="auto"/>
                <w:sz w:val="24"/>
                <w:szCs w:val="24"/>
              </w:rPr>
              <w:t>实施机关</w:t>
            </w:r>
          </w:p>
        </w:tc>
        <w:tc>
          <w:tcPr>
            <w:tcW w:w="2834" w:type="dxa"/>
            <w:tcBorders>
              <w:top w:val="single" w:color="000000" w:sz="12" w:space="0"/>
              <w:left w:val="single" w:color="auto" w:sz="4" w:space="0"/>
              <w:bottom w:val="single" w:color="000000" w:sz="4" w:space="0"/>
              <w:right w:val="single" w:color="000000" w:sz="4" w:space="0"/>
            </w:tcBorders>
            <w:noWrap w:val="0"/>
            <w:vAlign w:val="center"/>
          </w:tcPr>
          <w:p w14:paraId="213A591C">
            <w:pPr>
              <w:jc w:val="center"/>
              <w:textAlignment w:val="center"/>
              <w:rPr>
                <w:rFonts w:hint="eastAsia" w:ascii="黑体" w:eastAsia="黑体"/>
                <w:color w:val="auto"/>
                <w:sz w:val="24"/>
                <w:szCs w:val="24"/>
              </w:rPr>
            </w:pPr>
            <w:r>
              <w:rPr>
                <w:rFonts w:hint="eastAsia" w:ascii="黑体" w:eastAsia="黑体"/>
                <w:color w:val="auto"/>
                <w:kern w:val="0"/>
                <w:sz w:val="24"/>
                <w:szCs w:val="24"/>
              </w:rPr>
              <w:t>免予行政强制适用条件</w:t>
            </w:r>
          </w:p>
        </w:tc>
        <w:tc>
          <w:tcPr>
            <w:tcW w:w="4757" w:type="dxa"/>
            <w:tcBorders>
              <w:top w:val="single" w:color="000000" w:sz="12" w:space="0"/>
              <w:left w:val="single" w:color="000000" w:sz="4" w:space="0"/>
              <w:bottom w:val="single" w:color="000000" w:sz="4" w:space="0"/>
              <w:right w:val="single" w:color="000000" w:sz="4" w:space="0"/>
            </w:tcBorders>
            <w:noWrap w:val="0"/>
            <w:vAlign w:val="center"/>
          </w:tcPr>
          <w:p w14:paraId="5688FCCA">
            <w:pPr>
              <w:widowControl/>
              <w:jc w:val="center"/>
              <w:textAlignment w:val="center"/>
              <w:rPr>
                <w:rFonts w:hint="eastAsia" w:ascii="黑体" w:eastAsia="黑体"/>
                <w:color w:val="auto"/>
                <w:sz w:val="24"/>
                <w:szCs w:val="24"/>
              </w:rPr>
            </w:pPr>
            <w:r>
              <w:rPr>
                <w:rFonts w:hint="eastAsia" w:ascii="黑体" w:eastAsia="黑体"/>
                <w:color w:val="auto"/>
                <w:kern w:val="0"/>
                <w:sz w:val="24"/>
                <w:szCs w:val="24"/>
              </w:rPr>
              <w:t>法律依据</w:t>
            </w:r>
          </w:p>
        </w:tc>
        <w:tc>
          <w:tcPr>
            <w:tcW w:w="1188" w:type="dxa"/>
            <w:tcBorders>
              <w:top w:val="single" w:color="000000" w:sz="12" w:space="0"/>
              <w:left w:val="single" w:color="000000" w:sz="4" w:space="0"/>
              <w:bottom w:val="single" w:color="000000" w:sz="4" w:space="0"/>
              <w:right w:val="single" w:color="000000" w:sz="12" w:space="0"/>
            </w:tcBorders>
            <w:noWrap w:val="0"/>
            <w:vAlign w:val="center"/>
          </w:tcPr>
          <w:p w14:paraId="305BC9FC">
            <w:pPr>
              <w:widowControl/>
              <w:jc w:val="center"/>
              <w:textAlignment w:val="center"/>
              <w:rPr>
                <w:rFonts w:hint="eastAsia" w:ascii="黑体" w:eastAsia="黑体"/>
                <w:color w:val="auto"/>
                <w:sz w:val="24"/>
                <w:szCs w:val="24"/>
              </w:rPr>
            </w:pPr>
            <w:r>
              <w:rPr>
                <w:rFonts w:hint="eastAsia" w:ascii="黑体" w:eastAsia="黑体"/>
                <w:color w:val="auto"/>
                <w:kern w:val="0"/>
                <w:sz w:val="24"/>
                <w:szCs w:val="24"/>
              </w:rPr>
              <w:t>备注</w:t>
            </w:r>
          </w:p>
        </w:tc>
      </w:tr>
      <w:tr w14:paraId="790B7D26">
        <w:tblPrEx>
          <w:tblCellMar>
            <w:top w:w="15" w:type="dxa"/>
            <w:left w:w="15" w:type="dxa"/>
            <w:bottom w:w="15" w:type="dxa"/>
            <w:right w:w="15" w:type="dxa"/>
          </w:tblCellMar>
        </w:tblPrEx>
        <w:trPr>
          <w:trHeight w:val="473" w:hRule="atLeast"/>
          <w:jc w:val="center"/>
        </w:trPr>
        <w:tc>
          <w:tcPr>
            <w:tcW w:w="851" w:type="dxa"/>
            <w:tcBorders>
              <w:top w:val="single" w:color="000000" w:sz="4" w:space="0"/>
              <w:left w:val="single" w:color="000000" w:sz="12" w:space="0"/>
              <w:bottom w:val="single" w:color="000000" w:sz="4" w:space="0"/>
              <w:right w:val="single" w:color="000000" w:sz="4" w:space="0"/>
            </w:tcBorders>
            <w:noWrap w:val="0"/>
            <w:vAlign w:val="center"/>
          </w:tcPr>
          <w:p w14:paraId="76CC8078">
            <w:pPr>
              <w:jc w:val="center"/>
              <w:rPr>
                <w:rFonts w:hint="eastAsia" w:ascii="仿宋_GB2312" w:eastAsia="仿宋_GB2312" w:cs="宋体"/>
                <w:color w:val="auto"/>
                <w:sz w:val="22"/>
                <w:szCs w:val="22"/>
              </w:rPr>
            </w:pPr>
            <w:r>
              <w:rPr>
                <w:rFonts w:hint="eastAsia" w:ascii="仿宋_GB2312" w:eastAsia="仿宋_GB2312" w:cs="宋体"/>
                <w:color w:val="auto"/>
                <w:sz w:val="22"/>
                <w:szCs w:val="22"/>
              </w:rPr>
              <w:t>1</w:t>
            </w:r>
          </w:p>
        </w:tc>
        <w:tc>
          <w:tcPr>
            <w:tcW w:w="1984" w:type="dxa"/>
            <w:tcBorders>
              <w:top w:val="single" w:color="000000" w:sz="4" w:space="0"/>
              <w:left w:val="single" w:color="000000" w:sz="4" w:space="0"/>
              <w:bottom w:val="single" w:color="000000" w:sz="4" w:space="0"/>
              <w:right w:val="single" w:color="000000" w:sz="4" w:space="0"/>
            </w:tcBorders>
            <w:noWrap w:val="0"/>
            <w:vAlign w:val="center"/>
          </w:tcPr>
          <w:p w14:paraId="618BC92C">
            <w:pPr>
              <w:rPr>
                <w:rFonts w:hint="eastAsia" w:ascii="仿宋_GB2312" w:eastAsia="仿宋_GB2312" w:cs="宋体"/>
                <w:color w:val="auto"/>
                <w:sz w:val="22"/>
                <w:szCs w:val="22"/>
              </w:rPr>
            </w:pPr>
            <w:r>
              <w:rPr>
                <w:rFonts w:hint="eastAsia" w:ascii="仿宋_GB2312" w:eastAsia="仿宋_GB2312" w:cs="宋体"/>
                <w:color w:val="auto"/>
                <w:sz w:val="22"/>
                <w:szCs w:val="22"/>
              </w:rPr>
              <w:t>对涉及基本民生、公共利益、生产安全等生产经营活动，造成或者可能造成严重污染排污者的</w:t>
            </w:r>
            <w:r>
              <w:rPr>
                <w:rFonts w:hint="eastAsia" w:ascii="仿宋_GB2312" w:eastAsia="仿宋_GB2312" w:cs="宋体"/>
                <w:color w:val="auto"/>
                <w:sz w:val="22"/>
                <w:szCs w:val="22"/>
                <w:lang w:val="en-US" w:eastAsia="zh-CN"/>
              </w:rPr>
              <w:t>查封、扣押</w:t>
            </w:r>
          </w:p>
        </w:tc>
        <w:tc>
          <w:tcPr>
            <w:tcW w:w="2474" w:type="dxa"/>
            <w:tcBorders>
              <w:top w:val="single" w:color="000000" w:sz="4" w:space="0"/>
              <w:left w:val="single" w:color="000000" w:sz="4" w:space="0"/>
              <w:bottom w:val="single" w:color="000000" w:sz="4" w:space="0"/>
              <w:right w:val="single" w:color="auto" w:sz="4" w:space="0"/>
            </w:tcBorders>
            <w:noWrap w:val="0"/>
            <w:vAlign w:val="center"/>
          </w:tcPr>
          <w:p w14:paraId="1179604D">
            <w:pPr>
              <w:rPr>
                <w:rFonts w:hint="eastAsia" w:ascii="仿宋_GB2312" w:eastAsia="仿宋_GB2312" w:cs="宋体"/>
                <w:color w:val="auto"/>
                <w:sz w:val="22"/>
                <w:szCs w:val="22"/>
              </w:rPr>
            </w:pPr>
            <w:r>
              <w:rPr>
                <w:rFonts w:hint="eastAsia" w:ascii="仿宋_GB2312" w:eastAsia="仿宋_GB2312" w:cs="宋体"/>
                <w:color w:val="auto"/>
                <w:sz w:val="22"/>
                <w:szCs w:val="22"/>
              </w:rPr>
              <w:t>省、设区的市人民政府生态环境主管部门及其派出机构</w:t>
            </w:r>
          </w:p>
        </w:tc>
        <w:tc>
          <w:tcPr>
            <w:tcW w:w="2834" w:type="dxa"/>
            <w:tcBorders>
              <w:top w:val="single" w:color="000000" w:sz="4" w:space="0"/>
              <w:left w:val="single" w:color="auto" w:sz="4" w:space="0"/>
              <w:bottom w:val="single" w:color="000000" w:sz="4" w:space="0"/>
              <w:right w:val="single" w:color="000000" w:sz="4" w:space="0"/>
            </w:tcBorders>
            <w:noWrap w:val="0"/>
            <w:vAlign w:val="center"/>
          </w:tcPr>
          <w:p w14:paraId="16EC1BBA">
            <w:pPr>
              <w:numPr>
                <w:ilvl w:val="0"/>
                <w:numId w:val="0"/>
              </w:numPr>
              <w:rPr>
                <w:rFonts w:hint="eastAsia" w:ascii="仿宋_GB2312" w:eastAsia="仿宋_GB2312" w:cs="宋体"/>
                <w:color w:val="auto"/>
                <w:sz w:val="22"/>
                <w:szCs w:val="22"/>
              </w:rPr>
            </w:pPr>
            <w:r>
              <w:rPr>
                <w:rFonts w:hint="eastAsia" w:ascii="仿宋_GB2312" w:hAnsi="Calibri" w:eastAsia="仿宋_GB2312" w:cs="宋体"/>
                <w:color w:val="auto"/>
                <w:kern w:val="2"/>
                <w:sz w:val="22"/>
                <w:szCs w:val="22"/>
                <w:lang w:val="en-US" w:eastAsia="zh-CN" w:bidi="ar-SA"/>
              </w:rPr>
              <w:t>1.</w:t>
            </w:r>
            <w:r>
              <w:rPr>
                <w:rFonts w:hint="eastAsia" w:ascii="仿宋_GB2312" w:eastAsia="仿宋_GB2312" w:cs="宋体"/>
                <w:color w:val="auto"/>
                <w:sz w:val="22"/>
                <w:szCs w:val="22"/>
              </w:rPr>
              <w:t>涉及城镇污水处理、垃圾处理、危险废物处置等公共设施，或者供水、供气、供热等与民生密切相关的</w:t>
            </w:r>
            <w:r>
              <w:rPr>
                <w:rFonts w:hint="eastAsia" w:ascii="仿宋_GB2312" w:eastAsia="仿宋_GB2312" w:cs="宋体"/>
                <w:color w:val="auto"/>
                <w:sz w:val="22"/>
                <w:szCs w:val="22"/>
                <w:lang w:val="en-US" w:eastAsia="zh-CN"/>
              </w:rPr>
              <w:t>公共</w:t>
            </w:r>
            <w:r>
              <w:rPr>
                <w:rFonts w:hint="eastAsia" w:ascii="仿宋_GB2312" w:eastAsia="仿宋_GB2312" w:cs="宋体"/>
                <w:color w:val="auto"/>
                <w:sz w:val="22"/>
                <w:szCs w:val="22"/>
              </w:rPr>
              <w:t>设施，或者实施查封、扣押可能影响生产安全的</w:t>
            </w:r>
            <w:r>
              <w:rPr>
                <w:rFonts w:hint="eastAsia" w:ascii="仿宋_GB2312" w:eastAsia="仿宋_GB2312" w:cs="宋体"/>
                <w:color w:val="auto"/>
                <w:sz w:val="22"/>
                <w:szCs w:val="22"/>
                <w:lang w:val="en-US" w:eastAsia="zh-CN"/>
              </w:rPr>
              <w:t>公共设施</w:t>
            </w:r>
            <w:r>
              <w:rPr>
                <w:rFonts w:hint="eastAsia" w:ascii="仿宋_GB2312" w:eastAsia="仿宋_GB2312" w:cs="宋体"/>
                <w:color w:val="auto"/>
                <w:sz w:val="22"/>
                <w:szCs w:val="22"/>
              </w:rPr>
              <w:t>；</w:t>
            </w:r>
          </w:p>
          <w:p w14:paraId="50B45BBD">
            <w:pPr>
              <w:numPr>
                <w:ilvl w:val="0"/>
                <w:numId w:val="0"/>
              </w:numPr>
              <w:rPr>
                <w:rFonts w:hint="eastAsia" w:ascii="仿宋_GB2312" w:eastAsia="仿宋_GB2312" w:cs="宋体"/>
                <w:color w:val="auto"/>
                <w:sz w:val="22"/>
                <w:szCs w:val="22"/>
              </w:rPr>
            </w:pPr>
            <w:r>
              <w:rPr>
                <w:rFonts w:hint="eastAsia" w:ascii="仿宋_GB2312" w:hAnsi="Calibri" w:eastAsia="仿宋_GB2312" w:cs="宋体"/>
                <w:color w:val="auto"/>
                <w:kern w:val="2"/>
                <w:sz w:val="22"/>
                <w:szCs w:val="22"/>
                <w:lang w:val="en-US" w:eastAsia="zh-CN" w:bidi="ar-SA"/>
              </w:rPr>
              <w:t>2.</w:t>
            </w:r>
            <w:r>
              <w:rPr>
                <w:rFonts w:hint="eastAsia" w:ascii="仿宋_GB2312" w:eastAsia="仿宋_GB2312" w:cs="宋体"/>
                <w:color w:val="auto"/>
                <w:sz w:val="22"/>
                <w:szCs w:val="22"/>
              </w:rPr>
              <w:t>违法行为情节显著轻微或者社会危害</w:t>
            </w:r>
            <w:r>
              <w:rPr>
                <w:rFonts w:hint="eastAsia" w:ascii="仿宋_GB2312" w:eastAsia="仿宋_GB2312" w:cs="宋体"/>
                <w:color w:val="auto"/>
                <w:sz w:val="22"/>
                <w:szCs w:val="22"/>
                <w:lang w:val="en-US" w:eastAsia="zh-CN"/>
              </w:rPr>
              <w:t>较小</w:t>
            </w:r>
            <w:r>
              <w:rPr>
                <w:rFonts w:hint="eastAsia" w:ascii="仿宋_GB2312" w:eastAsia="仿宋_GB2312" w:cs="宋体"/>
                <w:color w:val="auto"/>
                <w:sz w:val="22"/>
                <w:szCs w:val="22"/>
              </w:rPr>
              <w:t>；</w:t>
            </w:r>
          </w:p>
          <w:p w14:paraId="0FA04B56">
            <w:pPr>
              <w:numPr>
                <w:ilvl w:val="0"/>
                <w:numId w:val="0"/>
              </w:numPr>
              <w:rPr>
                <w:rFonts w:hint="eastAsia" w:ascii="仿宋_GB2312" w:eastAsia="仿宋_GB2312" w:cs="宋体"/>
                <w:color w:val="auto"/>
                <w:sz w:val="22"/>
                <w:szCs w:val="22"/>
              </w:rPr>
            </w:pPr>
            <w:r>
              <w:rPr>
                <w:rFonts w:hint="eastAsia" w:ascii="仿宋_GB2312" w:hAnsi="Calibri" w:eastAsia="仿宋_GB2312" w:cs="宋体"/>
                <w:color w:val="auto"/>
                <w:kern w:val="2"/>
                <w:sz w:val="22"/>
                <w:szCs w:val="22"/>
                <w:lang w:val="en-US" w:eastAsia="zh-CN" w:bidi="ar-SA"/>
              </w:rPr>
              <w:t>3.</w:t>
            </w:r>
            <w:r>
              <w:rPr>
                <w:rFonts w:hint="eastAsia" w:ascii="仿宋_GB2312" w:eastAsia="仿宋_GB2312" w:cs="宋体"/>
                <w:color w:val="auto"/>
                <w:sz w:val="22"/>
                <w:szCs w:val="22"/>
              </w:rPr>
              <w:t>采用非强制性手段能够达到行政管理目的。</w:t>
            </w:r>
          </w:p>
        </w:tc>
        <w:tc>
          <w:tcPr>
            <w:tcW w:w="4757" w:type="dxa"/>
            <w:tcBorders>
              <w:top w:val="single" w:color="000000" w:sz="4" w:space="0"/>
              <w:left w:val="single" w:color="000000" w:sz="4" w:space="0"/>
              <w:bottom w:val="single" w:color="000000" w:sz="4" w:space="0"/>
              <w:right w:val="single" w:color="000000" w:sz="4" w:space="0"/>
            </w:tcBorders>
            <w:noWrap w:val="0"/>
            <w:vAlign w:val="center"/>
          </w:tcPr>
          <w:p w14:paraId="631C6041">
            <w:pPr>
              <w:widowControl/>
              <w:ind w:firstLine="440" w:firstLineChars="200"/>
              <w:jc w:val="both"/>
              <w:rPr>
                <w:rFonts w:hint="eastAsia" w:ascii="仿宋_GB2312" w:hAnsi="宋体" w:eastAsia="仿宋_GB2312" w:cs="宋体"/>
                <w:color w:val="auto"/>
                <w:sz w:val="22"/>
                <w:szCs w:val="22"/>
              </w:rPr>
            </w:pPr>
            <w:r>
              <w:rPr>
                <w:rFonts w:hint="eastAsia" w:ascii="仿宋_GB2312" w:hAnsi="宋体" w:eastAsia="仿宋_GB2312" w:cs="宋体"/>
                <w:color w:val="auto"/>
                <w:sz w:val="22"/>
                <w:szCs w:val="22"/>
              </w:rPr>
              <w:t>《环境保护主管部门实施查封、扣押办法》</w:t>
            </w:r>
          </w:p>
          <w:p w14:paraId="067DC01D">
            <w:pPr>
              <w:widowControl/>
              <w:ind w:firstLine="440" w:firstLineChars="200"/>
              <w:jc w:val="both"/>
              <w:rPr>
                <w:rFonts w:hint="eastAsia" w:ascii="仿宋_GB2312" w:hAnsi="宋体" w:eastAsia="仿宋_GB2312" w:cs="宋体"/>
                <w:color w:val="auto"/>
                <w:sz w:val="22"/>
                <w:szCs w:val="22"/>
              </w:rPr>
            </w:pPr>
            <w:r>
              <w:rPr>
                <w:rFonts w:hint="eastAsia" w:ascii="仿宋_GB2312" w:hAnsi="宋体" w:eastAsia="仿宋_GB2312" w:cs="宋体"/>
                <w:color w:val="auto"/>
                <w:sz w:val="22"/>
                <w:szCs w:val="22"/>
              </w:rPr>
              <w:t xml:space="preserve">第六条 </w:t>
            </w:r>
            <w:r>
              <w:rPr>
                <w:rFonts w:hint="eastAsia" w:ascii="仿宋_GB2312" w:hAnsi="宋体" w:eastAsia="仿宋_GB2312" w:cs="宋体"/>
                <w:color w:val="auto"/>
                <w:sz w:val="22"/>
                <w:szCs w:val="22"/>
                <w:lang w:val="en-US" w:eastAsia="zh-CN"/>
              </w:rPr>
              <w:t xml:space="preserve"> </w:t>
            </w:r>
            <w:r>
              <w:rPr>
                <w:rFonts w:hint="eastAsia" w:ascii="仿宋_GB2312" w:hAnsi="宋体" w:eastAsia="仿宋_GB2312" w:cs="宋体"/>
                <w:color w:val="auto"/>
                <w:sz w:val="22"/>
                <w:szCs w:val="22"/>
              </w:rPr>
              <w:t>具备下列情形之一的排污者，造成或者可能造成严重污染的，环境保护主管部门应当按照有关环境保护法律法规予以处罚，可以不予实施查封、扣押：</w:t>
            </w:r>
          </w:p>
          <w:p w14:paraId="244DE3C0">
            <w:pPr>
              <w:widowControl/>
              <w:ind w:firstLine="440" w:firstLineChars="200"/>
              <w:jc w:val="both"/>
              <w:rPr>
                <w:rFonts w:hint="eastAsia" w:ascii="仿宋_GB2312" w:hAnsi="宋体" w:eastAsia="仿宋_GB2312" w:cs="宋体"/>
                <w:color w:val="auto"/>
                <w:sz w:val="22"/>
                <w:szCs w:val="22"/>
              </w:rPr>
            </w:pPr>
            <w:r>
              <w:rPr>
                <w:rFonts w:hint="eastAsia" w:ascii="仿宋_GB2312" w:hAnsi="宋体" w:eastAsia="仿宋_GB2312" w:cs="宋体"/>
                <w:color w:val="auto"/>
                <w:sz w:val="22"/>
                <w:szCs w:val="22"/>
              </w:rPr>
              <w:t>（一）城镇污水处理、垃圾处理、危险废物处置等公共设施的运营单位；</w:t>
            </w:r>
          </w:p>
          <w:p w14:paraId="5ACB398A">
            <w:pPr>
              <w:widowControl/>
              <w:ind w:firstLine="440" w:firstLineChars="200"/>
              <w:jc w:val="both"/>
              <w:rPr>
                <w:rFonts w:hint="eastAsia" w:ascii="仿宋_GB2312" w:hAnsi="宋体" w:eastAsia="仿宋_GB2312" w:cs="宋体"/>
                <w:color w:val="auto"/>
                <w:sz w:val="22"/>
                <w:szCs w:val="22"/>
              </w:rPr>
            </w:pPr>
            <w:r>
              <w:rPr>
                <w:rFonts w:hint="eastAsia" w:ascii="仿宋_GB2312" w:hAnsi="宋体" w:eastAsia="仿宋_GB2312" w:cs="宋体"/>
                <w:color w:val="auto"/>
                <w:sz w:val="22"/>
                <w:szCs w:val="22"/>
              </w:rPr>
              <w:t>（二）生产经营业务涉及基本民生、公共利益的；</w:t>
            </w:r>
          </w:p>
          <w:p w14:paraId="723D46AD">
            <w:pPr>
              <w:widowControl/>
              <w:ind w:firstLine="440" w:firstLineChars="200"/>
              <w:jc w:val="both"/>
              <w:rPr>
                <w:rFonts w:ascii="仿宋_GB2312" w:hAnsi="宋体" w:eastAsia="仿宋_GB2312" w:cs="宋体"/>
                <w:color w:val="auto"/>
                <w:sz w:val="22"/>
                <w:szCs w:val="22"/>
              </w:rPr>
            </w:pPr>
            <w:r>
              <w:rPr>
                <w:rFonts w:hint="eastAsia" w:ascii="仿宋_GB2312" w:hAnsi="宋体" w:eastAsia="仿宋_GB2312" w:cs="宋体"/>
                <w:color w:val="auto"/>
                <w:sz w:val="22"/>
                <w:szCs w:val="22"/>
              </w:rPr>
              <w:t>（三）实施查封、扣押可能影响生产安全的。</w:t>
            </w:r>
          </w:p>
        </w:tc>
        <w:tc>
          <w:tcPr>
            <w:tcW w:w="1188" w:type="dxa"/>
            <w:tcBorders>
              <w:top w:val="single" w:color="000000" w:sz="4" w:space="0"/>
              <w:left w:val="single" w:color="000000" w:sz="4" w:space="0"/>
              <w:bottom w:val="single" w:color="000000" w:sz="4" w:space="0"/>
              <w:right w:val="single" w:color="000000" w:sz="12" w:space="0"/>
            </w:tcBorders>
            <w:noWrap w:val="0"/>
            <w:vAlign w:val="center"/>
          </w:tcPr>
          <w:p w14:paraId="34A34D2C">
            <w:pPr>
              <w:rPr>
                <w:rFonts w:hint="eastAsia" w:ascii="仿宋_GB2312" w:eastAsia="仿宋_GB2312" w:cs="宋体"/>
                <w:color w:val="auto"/>
                <w:sz w:val="22"/>
                <w:szCs w:val="22"/>
              </w:rPr>
            </w:pPr>
          </w:p>
        </w:tc>
      </w:tr>
    </w:tbl>
    <w:p w14:paraId="279E6B63"/>
    <w:p w14:paraId="55C5F9B0">
      <w:pPr>
        <w:rPr>
          <w:rFonts w:hint="default" w:ascii="仿宋_GB2312" w:hAnsi="仿宋_GB2312" w:eastAsia="仿宋_GB2312" w:cs="仿宋_GB2312"/>
          <w:sz w:val="32"/>
          <w:szCs w:val="32"/>
          <w:highlight w:val="none"/>
          <w:lang w:val="en-US" w:eastAsia="zh-CN"/>
        </w:rPr>
      </w:pPr>
    </w:p>
    <w:sectPr>
      <w:footerReference r:id="rId9" w:type="default"/>
      <w:pgSz w:w="16838" w:h="11906" w:orient="landscape"/>
      <w:pgMar w:top="1587" w:right="2098" w:bottom="1587" w:left="2098" w:header="851" w:footer="1417" w:gutter="0"/>
      <w:pgNumType w:fmt="decimal"/>
      <w:cols w:space="0" w:num="1"/>
      <w:rtlGutter w:val="0"/>
      <w:docGrid w:type="lines" w:linePitch="32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楷体_GBK">
    <w:altName w:val="微软雅黑"/>
    <w:panose1 w:val="02000000000000000000"/>
    <w:charset w:val="86"/>
    <w:family w:val="auto"/>
    <w:pitch w:val="default"/>
    <w:sig w:usb0="00000000" w:usb1="00000000" w:usb2="00000000" w:usb3="00000000" w:csb0="00040000" w:csb1="00000000"/>
  </w:font>
  <w:font w:name="方正仿宋_GBK">
    <w:altName w:val="微软雅黑"/>
    <w:panose1 w:val="02000000000000000000"/>
    <w:charset w:val="86"/>
    <w:family w:val="script"/>
    <w:pitch w:val="default"/>
    <w:sig w:usb0="00000000" w:usb1="0000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方正小标宋简体">
    <w:panose1 w:val="02000000000000000000"/>
    <w:charset w:val="86"/>
    <w:family w:val="auto"/>
    <w:pitch w:val="default"/>
    <w:sig w:usb0="00000001" w:usb1="08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auto"/>
    <w:pitch w:val="default"/>
    <w:sig w:usb0="00000000" w:usb1="00000000" w:usb2="00000000" w:usb3="00000000" w:csb0="00040000" w:csb1="00000000"/>
  </w:font>
  <w:font w:name="华文SimSun">
    <w:altName w:val="方正公文仿宋"/>
    <w:panose1 w:val="00000000000000000000"/>
    <w:charset w:val="00"/>
    <w:family w:val="auto"/>
    <w:pitch w:val="default"/>
    <w:sig w:usb0="00000000" w:usb1="00000000" w:usb2="00000000" w:usb3="00000000" w:csb0="00040001" w:csb1="00000000"/>
  </w:font>
  <w:font w:name="方正公文小标宋">
    <w:altName w:val="宋体"/>
    <w:panose1 w:val="00000000000000000000"/>
    <w:charset w:val="00"/>
    <w:family w:val="auto"/>
    <w:pitch w:val="default"/>
    <w:sig w:usb0="00000000" w:usb1="00000000" w:usb2="00000000" w:usb3="00000000" w:csb0="00000000"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CD5BF1">
    <w:pPr>
      <w:pStyle w:val="5"/>
      <w:ind w:firstLine="7840" w:firstLineChars="2800"/>
      <w:rPr>
        <w:rFonts w:hint="eastAsia" w:ascii="宋体" w:hAnsi="宋体" w:eastAsia="宋体" w:cs="宋体"/>
        <w:b/>
        <w:bCs/>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1F35ED">
                          <w:pPr>
                            <w:pStyle w:val="5"/>
                            <w:ind w:firstLine="5040" w:firstLineChars="2800"/>
                          </w:pPr>
                        </w:p>
                        <w:p w14:paraId="004AD1F6"/>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A1F35ED">
                    <w:pPr>
                      <w:pStyle w:val="5"/>
                      <w:ind w:firstLine="5040" w:firstLineChars="2800"/>
                    </w:pPr>
                  </w:p>
                  <w:p w14:paraId="004AD1F6"/>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60C734">
    <w:pPr>
      <w:pStyle w:val="5"/>
      <w:ind w:firstLine="180" w:firstLineChars="10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39E71F">
    <w:pPr>
      <w:pStyle w:val="5"/>
      <w:ind w:firstLine="7840" w:firstLineChars="2800"/>
      <w:rPr>
        <w:rFonts w:hint="eastAsia" w:ascii="宋体" w:hAnsi="宋体" w:eastAsia="宋体" w:cs="宋体"/>
        <w:b/>
        <w:bCs/>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64B442">
                          <w:pPr>
                            <w:pStyle w:val="5"/>
                            <w:ind w:firstLine="5040" w:firstLineChars="2800"/>
                          </w:pPr>
                        </w:p>
                        <w:p w14:paraId="18C086F0"/>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1A64B442">
                    <w:pPr>
                      <w:pStyle w:val="5"/>
                      <w:ind w:firstLine="5040" w:firstLineChars="2800"/>
                    </w:pPr>
                  </w:p>
                  <w:p w14:paraId="18C086F0"/>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834FCF">
    <w:pPr>
      <w:pStyle w:val="5"/>
      <w:ind w:firstLine="180" w:firstLineChars="10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E9A74D">
    <w:pPr>
      <w:pStyle w:val="5"/>
      <w:ind w:firstLine="7840" w:firstLineChars="2800"/>
      <w:rPr>
        <w:rFonts w:hint="eastAsia" w:ascii="宋体" w:hAnsi="宋体" w:eastAsia="宋体" w:cs="宋体"/>
        <w:b/>
        <w:bCs/>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72B518">
                          <w:pPr>
                            <w:pStyle w:val="5"/>
                            <w:ind w:firstLine="0" w:firstLineChars="0"/>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972B518">
                    <w:pPr>
                      <w:pStyle w:val="5"/>
                      <w:ind w:firstLine="0" w:firstLineChars="0"/>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2CA73A">
    <w:pPr>
      <w:pStyle w:val="5"/>
      <w:ind w:firstLine="280" w:firstLineChars="100"/>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C147B6">
    <w:pPr>
      <w:pStyle w:val="5"/>
      <w:ind w:firstLine="11480" w:firstLineChars="4100"/>
      <w:rPr>
        <w:rFonts w:hint="eastAsia" w:ascii="宋体" w:hAnsi="宋体" w:eastAsia="宋体" w:cs="宋体"/>
        <w:b/>
        <w:bCs/>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5069CE">
                          <w:pPr>
                            <w:pStyle w:val="5"/>
                            <w:ind w:firstLine="0" w:firstLineChars="0"/>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1B5069CE">
                    <w:pPr>
                      <w:pStyle w:val="5"/>
                      <w:ind w:firstLine="0" w:firstLineChars="0"/>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61"/>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FB12535"/>
    <w:rsid w:val="00202EC6"/>
    <w:rsid w:val="002C76AE"/>
    <w:rsid w:val="002D3A42"/>
    <w:rsid w:val="00382DEE"/>
    <w:rsid w:val="00714B25"/>
    <w:rsid w:val="007C58FB"/>
    <w:rsid w:val="00987AA9"/>
    <w:rsid w:val="011E7074"/>
    <w:rsid w:val="016B772C"/>
    <w:rsid w:val="01721323"/>
    <w:rsid w:val="01D53FCD"/>
    <w:rsid w:val="028E07AB"/>
    <w:rsid w:val="02A9706C"/>
    <w:rsid w:val="02C00E90"/>
    <w:rsid w:val="02E45BCC"/>
    <w:rsid w:val="02F76F90"/>
    <w:rsid w:val="035A360D"/>
    <w:rsid w:val="03D96696"/>
    <w:rsid w:val="04003C23"/>
    <w:rsid w:val="043231C5"/>
    <w:rsid w:val="04E80761"/>
    <w:rsid w:val="058A1323"/>
    <w:rsid w:val="05E277B3"/>
    <w:rsid w:val="05EC6DD5"/>
    <w:rsid w:val="065B3BFA"/>
    <w:rsid w:val="06620BC5"/>
    <w:rsid w:val="06D54FB0"/>
    <w:rsid w:val="072C4C84"/>
    <w:rsid w:val="07300E97"/>
    <w:rsid w:val="077B08A2"/>
    <w:rsid w:val="07986E84"/>
    <w:rsid w:val="07AA546D"/>
    <w:rsid w:val="07BB058C"/>
    <w:rsid w:val="07F27D26"/>
    <w:rsid w:val="085C2446"/>
    <w:rsid w:val="08E66B26"/>
    <w:rsid w:val="08EB2CA5"/>
    <w:rsid w:val="08F97D45"/>
    <w:rsid w:val="090E7CEB"/>
    <w:rsid w:val="0922420F"/>
    <w:rsid w:val="092D456E"/>
    <w:rsid w:val="09530A27"/>
    <w:rsid w:val="0A4C631C"/>
    <w:rsid w:val="0A775C69"/>
    <w:rsid w:val="0A844711"/>
    <w:rsid w:val="0A94028D"/>
    <w:rsid w:val="0AEF7373"/>
    <w:rsid w:val="0B045796"/>
    <w:rsid w:val="0B684647"/>
    <w:rsid w:val="0B8051E1"/>
    <w:rsid w:val="0C6A76ED"/>
    <w:rsid w:val="0C99751F"/>
    <w:rsid w:val="0CE021D4"/>
    <w:rsid w:val="0CE9383E"/>
    <w:rsid w:val="0CF827D4"/>
    <w:rsid w:val="0D055443"/>
    <w:rsid w:val="0D24607B"/>
    <w:rsid w:val="0DE41961"/>
    <w:rsid w:val="0E3D7000"/>
    <w:rsid w:val="0E493638"/>
    <w:rsid w:val="0E5376F8"/>
    <w:rsid w:val="0E947F92"/>
    <w:rsid w:val="0EA0672E"/>
    <w:rsid w:val="0ECB2AF4"/>
    <w:rsid w:val="0EFE4A09"/>
    <w:rsid w:val="0F0E2ABF"/>
    <w:rsid w:val="0F14764B"/>
    <w:rsid w:val="0F4C3028"/>
    <w:rsid w:val="0F717F8E"/>
    <w:rsid w:val="0F7352C5"/>
    <w:rsid w:val="0F783207"/>
    <w:rsid w:val="0F7C7F74"/>
    <w:rsid w:val="0F8751F8"/>
    <w:rsid w:val="0FB35ED0"/>
    <w:rsid w:val="0FBA10DE"/>
    <w:rsid w:val="10403FCE"/>
    <w:rsid w:val="105256D8"/>
    <w:rsid w:val="10686C78"/>
    <w:rsid w:val="109602E0"/>
    <w:rsid w:val="10A8619F"/>
    <w:rsid w:val="10C64A93"/>
    <w:rsid w:val="10D821AF"/>
    <w:rsid w:val="1104237A"/>
    <w:rsid w:val="110A33CE"/>
    <w:rsid w:val="110C1984"/>
    <w:rsid w:val="112428AE"/>
    <w:rsid w:val="1162530F"/>
    <w:rsid w:val="1193356B"/>
    <w:rsid w:val="11F92CFD"/>
    <w:rsid w:val="12065420"/>
    <w:rsid w:val="121106BB"/>
    <w:rsid w:val="1252421A"/>
    <w:rsid w:val="12AF16AB"/>
    <w:rsid w:val="12E93494"/>
    <w:rsid w:val="133B2E27"/>
    <w:rsid w:val="137D5F06"/>
    <w:rsid w:val="139336E3"/>
    <w:rsid w:val="13966E30"/>
    <w:rsid w:val="13B902E9"/>
    <w:rsid w:val="13C23177"/>
    <w:rsid w:val="14503CE0"/>
    <w:rsid w:val="14807912"/>
    <w:rsid w:val="14A613C2"/>
    <w:rsid w:val="14AF6AE1"/>
    <w:rsid w:val="14D62FCD"/>
    <w:rsid w:val="15067F8B"/>
    <w:rsid w:val="15114F0F"/>
    <w:rsid w:val="151E7A1D"/>
    <w:rsid w:val="15343C95"/>
    <w:rsid w:val="15786FC5"/>
    <w:rsid w:val="15E84ECC"/>
    <w:rsid w:val="160D6064"/>
    <w:rsid w:val="16270E4D"/>
    <w:rsid w:val="162C7D6D"/>
    <w:rsid w:val="164359E3"/>
    <w:rsid w:val="165C73DE"/>
    <w:rsid w:val="167801ED"/>
    <w:rsid w:val="16B17C2B"/>
    <w:rsid w:val="16DF5613"/>
    <w:rsid w:val="16E701AA"/>
    <w:rsid w:val="16F65939"/>
    <w:rsid w:val="179705F3"/>
    <w:rsid w:val="17BC2A05"/>
    <w:rsid w:val="17EB6A4A"/>
    <w:rsid w:val="1801537E"/>
    <w:rsid w:val="183F2E23"/>
    <w:rsid w:val="18403F55"/>
    <w:rsid w:val="184467EB"/>
    <w:rsid w:val="18496DE3"/>
    <w:rsid w:val="184C2EC1"/>
    <w:rsid w:val="18BB16A1"/>
    <w:rsid w:val="18BD2625"/>
    <w:rsid w:val="18BE35FB"/>
    <w:rsid w:val="18CD45C3"/>
    <w:rsid w:val="1967374C"/>
    <w:rsid w:val="197400B4"/>
    <w:rsid w:val="19850B34"/>
    <w:rsid w:val="19A4161E"/>
    <w:rsid w:val="19DE5F80"/>
    <w:rsid w:val="19ED4F15"/>
    <w:rsid w:val="19EF1013"/>
    <w:rsid w:val="1A0F517A"/>
    <w:rsid w:val="1A1F2BFD"/>
    <w:rsid w:val="1A414FE6"/>
    <w:rsid w:val="1AFF3E59"/>
    <w:rsid w:val="1B2C448E"/>
    <w:rsid w:val="1BD35136"/>
    <w:rsid w:val="1BE21ECD"/>
    <w:rsid w:val="1C4A05F8"/>
    <w:rsid w:val="1CA27B15"/>
    <w:rsid w:val="1CBE3694"/>
    <w:rsid w:val="1CD970E6"/>
    <w:rsid w:val="1CE22479"/>
    <w:rsid w:val="1D005A32"/>
    <w:rsid w:val="1D182EDE"/>
    <w:rsid w:val="1D1B764B"/>
    <w:rsid w:val="1D562D94"/>
    <w:rsid w:val="1D622F67"/>
    <w:rsid w:val="1D6E705F"/>
    <w:rsid w:val="1D736037"/>
    <w:rsid w:val="1D7644E2"/>
    <w:rsid w:val="1D9724A0"/>
    <w:rsid w:val="1DD27276"/>
    <w:rsid w:val="1E053A28"/>
    <w:rsid w:val="1E0E6048"/>
    <w:rsid w:val="1E371D04"/>
    <w:rsid w:val="1E5054CA"/>
    <w:rsid w:val="1EF72978"/>
    <w:rsid w:val="1F4B69E7"/>
    <w:rsid w:val="1F8E2953"/>
    <w:rsid w:val="1FA64C01"/>
    <w:rsid w:val="1FB12535"/>
    <w:rsid w:val="1FD31DC3"/>
    <w:rsid w:val="201B4A67"/>
    <w:rsid w:val="204001F8"/>
    <w:rsid w:val="21262A22"/>
    <w:rsid w:val="21363721"/>
    <w:rsid w:val="21540FBA"/>
    <w:rsid w:val="216A34B2"/>
    <w:rsid w:val="21B7325D"/>
    <w:rsid w:val="21B91FE3"/>
    <w:rsid w:val="21D14A39"/>
    <w:rsid w:val="220A669F"/>
    <w:rsid w:val="222A4ED8"/>
    <w:rsid w:val="22333EAB"/>
    <w:rsid w:val="224E24D7"/>
    <w:rsid w:val="226E080D"/>
    <w:rsid w:val="22803FAB"/>
    <w:rsid w:val="22896E39"/>
    <w:rsid w:val="2291678C"/>
    <w:rsid w:val="229B6D53"/>
    <w:rsid w:val="22AA3280"/>
    <w:rsid w:val="22B60C01"/>
    <w:rsid w:val="22D12F02"/>
    <w:rsid w:val="234730B3"/>
    <w:rsid w:val="2349266D"/>
    <w:rsid w:val="23915E44"/>
    <w:rsid w:val="23A32E08"/>
    <w:rsid w:val="23DF1969"/>
    <w:rsid w:val="23FF441C"/>
    <w:rsid w:val="24150CAC"/>
    <w:rsid w:val="2457032D"/>
    <w:rsid w:val="246D5D68"/>
    <w:rsid w:val="24773407"/>
    <w:rsid w:val="2480073C"/>
    <w:rsid w:val="24816F73"/>
    <w:rsid w:val="2483337D"/>
    <w:rsid w:val="248868FE"/>
    <w:rsid w:val="248D4F84"/>
    <w:rsid w:val="24D6108E"/>
    <w:rsid w:val="252E251A"/>
    <w:rsid w:val="2555109C"/>
    <w:rsid w:val="2568016B"/>
    <w:rsid w:val="257E230E"/>
    <w:rsid w:val="260666B6"/>
    <w:rsid w:val="260941CC"/>
    <w:rsid w:val="263917F9"/>
    <w:rsid w:val="264C080D"/>
    <w:rsid w:val="265D2145"/>
    <w:rsid w:val="2683543F"/>
    <w:rsid w:val="26E86A6C"/>
    <w:rsid w:val="27562D97"/>
    <w:rsid w:val="278C2C1E"/>
    <w:rsid w:val="27A14592"/>
    <w:rsid w:val="27B8796B"/>
    <w:rsid w:val="281C6EFA"/>
    <w:rsid w:val="283D14DA"/>
    <w:rsid w:val="284827A1"/>
    <w:rsid w:val="28932DF7"/>
    <w:rsid w:val="28C668F3"/>
    <w:rsid w:val="28F37905"/>
    <w:rsid w:val="29246C8C"/>
    <w:rsid w:val="293F0B3B"/>
    <w:rsid w:val="295108F9"/>
    <w:rsid w:val="29574E8E"/>
    <w:rsid w:val="29B10594"/>
    <w:rsid w:val="2A1127A5"/>
    <w:rsid w:val="2A29653A"/>
    <w:rsid w:val="2A362B5A"/>
    <w:rsid w:val="2A8D151D"/>
    <w:rsid w:val="2AD92954"/>
    <w:rsid w:val="2AF11387"/>
    <w:rsid w:val="2B035E9D"/>
    <w:rsid w:val="2B0E3D45"/>
    <w:rsid w:val="2B3A3DF9"/>
    <w:rsid w:val="2B577D1D"/>
    <w:rsid w:val="2B6D5435"/>
    <w:rsid w:val="2C0632E2"/>
    <w:rsid w:val="2C302A48"/>
    <w:rsid w:val="2C425EFD"/>
    <w:rsid w:val="2C7567E2"/>
    <w:rsid w:val="2CA218AB"/>
    <w:rsid w:val="2CB126E1"/>
    <w:rsid w:val="2CC07376"/>
    <w:rsid w:val="2CDA5AA3"/>
    <w:rsid w:val="2CF62372"/>
    <w:rsid w:val="2D2C202A"/>
    <w:rsid w:val="2D323F34"/>
    <w:rsid w:val="2D3B06CC"/>
    <w:rsid w:val="2D4652DE"/>
    <w:rsid w:val="2D5C2B7A"/>
    <w:rsid w:val="2D5E607D"/>
    <w:rsid w:val="2D68440E"/>
    <w:rsid w:val="2D9924D0"/>
    <w:rsid w:val="2DBB2B93"/>
    <w:rsid w:val="2E643E09"/>
    <w:rsid w:val="2E800869"/>
    <w:rsid w:val="2EA01071"/>
    <w:rsid w:val="2F085EF8"/>
    <w:rsid w:val="2F78636C"/>
    <w:rsid w:val="2FF8D251"/>
    <w:rsid w:val="30247B0A"/>
    <w:rsid w:val="309E3BD0"/>
    <w:rsid w:val="30B60AFD"/>
    <w:rsid w:val="30F674AB"/>
    <w:rsid w:val="310709E0"/>
    <w:rsid w:val="3127200B"/>
    <w:rsid w:val="31AA12C4"/>
    <w:rsid w:val="31D45EAE"/>
    <w:rsid w:val="31E542D4"/>
    <w:rsid w:val="31FD0899"/>
    <w:rsid w:val="32145064"/>
    <w:rsid w:val="327F01F0"/>
    <w:rsid w:val="32AC3CB0"/>
    <w:rsid w:val="32D373F3"/>
    <w:rsid w:val="33071BBC"/>
    <w:rsid w:val="3383510D"/>
    <w:rsid w:val="33840F66"/>
    <w:rsid w:val="33851415"/>
    <w:rsid w:val="33874918"/>
    <w:rsid w:val="33DC1E24"/>
    <w:rsid w:val="34034262"/>
    <w:rsid w:val="341B0266"/>
    <w:rsid w:val="34410A44"/>
    <w:rsid w:val="348F6779"/>
    <w:rsid w:val="34D310B7"/>
    <w:rsid w:val="34FC7CFD"/>
    <w:rsid w:val="350A1211"/>
    <w:rsid w:val="353158AD"/>
    <w:rsid w:val="35347E57"/>
    <w:rsid w:val="35967856"/>
    <w:rsid w:val="35C31E09"/>
    <w:rsid w:val="36863F80"/>
    <w:rsid w:val="36897549"/>
    <w:rsid w:val="36AB275C"/>
    <w:rsid w:val="3709455A"/>
    <w:rsid w:val="37E54946"/>
    <w:rsid w:val="37F222D9"/>
    <w:rsid w:val="381C1827"/>
    <w:rsid w:val="382E3860"/>
    <w:rsid w:val="383F450C"/>
    <w:rsid w:val="38957564"/>
    <w:rsid w:val="38B0474A"/>
    <w:rsid w:val="38D92C2D"/>
    <w:rsid w:val="392F3EDF"/>
    <w:rsid w:val="396A4FBD"/>
    <w:rsid w:val="397E6483"/>
    <w:rsid w:val="39EC7B15"/>
    <w:rsid w:val="39F351BE"/>
    <w:rsid w:val="3A266AC2"/>
    <w:rsid w:val="3A5E23D3"/>
    <w:rsid w:val="3A6B7341"/>
    <w:rsid w:val="3AF4276A"/>
    <w:rsid w:val="3B25439A"/>
    <w:rsid w:val="3B4F4738"/>
    <w:rsid w:val="3B6643B1"/>
    <w:rsid w:val="3B667382"/>
    <w:rsid w:val="3BBC230F"/>
    <w:rsid w:val="3BCD02B3"/>
    <w:rsid w:val="3C352ED2"/>
    <w:rsid w:val="3C601127"/>
    <w:rsid w:val="3C6B25BD"/>
    <w:rsid w:val="3C7364F1"/>
    <w:rsid w:val="3CAF73C9"/>
    <w:rsid w:val="3CBB3DB3"/>
    <w:rsid w:val="3CEC4BFF"/>
    <w:rsid w:val="3D1B795E"/>
    <w:rsid w:val="3D595B76"/>
    <w:rsid w:val="3D615EC3"/>
    <w:rsid w:val="3DB3244A"/>
    <w:rsid w:val="3DB4678B"/>
    <w:rsid w:val="3DC515B5"/>
    <w:rsid w:val="3DDD1FB7"/>
    <w:rsid w:val="3DE83042"/>
    <w:rsid w:val="3E235F81"/>
    <w:rsid w:val="3EA026DD"/>
    <w:rsid w:val="3EA477D4"/>
    <w:rsid w:val="3EB96E07"/>
    <w:rsid w:val="3ECA7A13"/>
    <w:rsid w:val="3EDF08B2"/>
    <w:rsid w:val="3EE427BB"/>
    <w:rsid w:val="3F0C04EE"/>
    <w:rsid w:val="3F181D11"/>
    <w:rsid w:val="3F1A2437"/>
    <w:rsid w:val="3FA702FB"/>
    <w:rsid w:val="3FCE2739"/>
    <w:rsid w:val="3FF46C1E"/>
    <w:rsid w:val="3FFE3A57"/>
    <w:rsid w:val="407673E3"/>
    <w:rsid w:val="40857CE9"/>
    <w:rsid w:val="40B53DF7"/>
    <w:rsid w:val="40DF2441"/>
    <w:rsid w:val="40ED32DF"/>
    <w:rsid w:val="4120324D"/>
    <w:rsid w:val="416034ED"/>
    <w:rsid w:val="417575F2"/>
    <w:rsid w:val="42075B30"/>
    <w:rsid w:val="421929AF"/>
    <w:rsid w:val="421B1084"/>
    <w:rsid w:val="42243896"/>
    <w:rsid w:val="42353CCD"/>
    <w:rsid w:val="42444459"/>
    <w:rsid w:val="426F0B0E"/>
    <w:rsid w:val="429D2B11"/>
    <w:rsid w:val="42BD2E0C"/>
    <w:rsid w:val="430C0B17"/>
    <w:rsid w:val="43244FFD"/>
    <w:rsid w:val="433E1392"/>
    <w:rsid w:val="43675823"/>
    <w:rsid w:val="43EC179D"/>
    <w:rsid w:val="447B78EA"/>
    <w:rsid w:val="448004EE"/>
    <w:rsid w:val="44A147AE"/>
    <w:rsid w:val="44B1023F"/>
    <w:rsid w:val="44D47F78"/>
    <w:rsid w:val="44D74780"/>
    <w:rsid w:val="456B71F2"/>
    <w:rsid w:val="45B222C8"/>
    <w:rsid w:val="45DC499B"/>
    <w:rsid w:val="45ED20FC"/>
    <w:rsid w:val="461B0CAB"/>
    <w:rsid w:val="46370A11"/>
    <w:rsid w:val="463A6B3C"/>
    <w:rsid w:val="46D0453B"/>
    <w:rsid w:val="47171684"/>
    <w:rsid w:val="473906E7"/>
    <w:rsid w:val="47BA7D3C"/>
    <w:rsid w:val="47C11514"/>
    <w:rsid w:val="47C615D0"/>
    <w:rsid w:val="47D9517B"/>
    <w:rsid w:val="47E2567D"/>
    <w:rsid w:val="48145CB5"/>
    <w:rsid w:val="482A0672"/>
    <w:rsid w:val="48700764"/>
    <w:rsid w:val="48762EAF"/>
    <w:rsid w:val="48885E0A"/>
    <w:rsid w:val="48965ED0"/>
    <w:rsid w:val="48FF25D1"/>
    <w:rsid w:val="49252811"/>
    <w:rsid w:val="495B7468"/>
    <w:rsid w:val="496B7702"/>
    <w:rsid w:val="496D2C05"/>
    <w:rsid w:val="49B53337"/>
    <w:rsid w:val="49DF5977"/>
    <w:rsid w:val="49EA5A52"/>
    <w:rsid w:val="49F7474D"/>
    <w:rsid w:val="4A0343FD"/>
    <w:rsid w:val="4A1E2A29"/>
    <w:rsid w:val="4A407C50"/>
    <w:rsid w:val="4A8D525B"/>
    <w:rsid w:val="4AAC19B8"/>
    <w:rsid w:val="4AB94E26"/>
    <w:rsid w:val="4AC83F74"/>
    <w:rsid w:val="4AD337D1"/>
    <w:rsid w:val="4AFE7AB2"/>
    <w:rsid w:val="4B82207D"/>
    <w:rsid w:val="4B8C6A38"/>
    <w:rsid w:val="4B972600"/>
    <w:rsid w:val="4BDC56F8"/>
    <w:rsid w:val="4C24655C"/>
    <w:rsid w:val="4CC24534"/>
    <w:rsid w:val="4CFA6659"/>
    <w:rsid w:val="4D287B2B"/>
    <w:rsid w:val="4D3A50CF"/>
    <w:rsid w:val="4D5D01DD"/>
    <w:rsid w:val="4DD4222A"/>
    <w:rsid w:val="4E2875CB"/>
    <w:rsid w:val="4EBC6CA7"/>
    <w:rsid w:val="4F2A2ECF"/>
    <w:rsid w:val="4F646707"/>
    <w:rsid w:val="4F6905EE"/>
    <w:rsid w:val="4F6F3B5F"/>
    <w:rsid w:val="4FC61FF0"/>
    <w:rsid w:val="4FFA70EC"/>
    <w:rsid w:val="50306AAF"/>
    <w:rsid w:val="504A0EAA"/>
    <w:rsid w:val="504E494E"/>
    <w:rsid w:val="50673F2E"/>
    <w:rsid w:val="506C3506"/>
    <w:rsid w:val="50707958"/>
    <w:rsid w:val="507C629B"/>
    <w:rsid w:val="5091713A"/>
    <w:rsid w:val="50D23C7B"/>
    <w:rsid w:val="50F05223"/>
    <w:rsid w:val="50FC3C8D"/>
    <w:rsid w:val="51027FCC"/>
    <w:rsid w:val="517B61BE"/>
    <w:rsid w:val="51943A11"/>
    <w:rsid w:val="51E26E67"/>
    <w:rsid w:val="51E57DEC"/>
    <w:rsid w:val="52016097"/>
    <w:rsid w:val="521572B6"/>
    <w:rsid w:val="521A36CE"/>
    <w:rsid w:val="5245110A"/>
    <w:rsid w:val="529E1BE0"/>
    <w:rsid w:val="52ED1A56"/>
    <w:rsid w:val="52F318E6"/>
    <w:rsid w:val="530025CF"/>
    <w:rsid w:val="53523CC7"/>
    <w:rsid w:val="538A6632"/>
    <w:rsid w:val="539B439B"/>
    <w:rsid w:val="539E3291"/>
    <w:rsid w:val="53B2748C"/>
    <w:rsid w:val="53D756FB"/>
    <w:rsid w:val="53DB6C22"/>
    <w:rsid w:val="54681AD2"/>
    <w:rsid w:val="54AA27C2"/>
    <w:rsid w:val="54B57C0A"/>
    <w:rsid w:val="54FB7079"/>
    <w:rsid w:val="554B7717"/>
    <w:rsid w:val="55640CA7"/>
    <w:rsid w:val="55867E9D"/>
    <w:rsid w:val="55A16646"/>
    <w:rsid w:val="55C3429A"/>
    <w:rsid w:val="55C36AC2"/>
    <w:rsid w:val="55DF63F2"/>
    <w:rsid w:val="562561CF"/>
    <w:rsid w:val="56340C20"/>
    <w:rsid w:val="56501BA9"/>
    <w:rsid w:val="567168BE"/>
    <w:rsid w:val="568669DA"/>
    <w:rsid w:val="57B35F6D"/>
    <w:rsid w:val="57E1103B"/>
    <w:rsid w:val="57F9079B"/>
    <w:rsid w:val="585070F0"/>
    <w:rsid w:val="58614E0C"/>
    <w:rsid w:val="586915B1"/>
    <w:rsid w:val="586C0DE1"/>
    <w:rsid w:val="58731391"/>
    <w:rsid w:val="58847AF3"/>
    <w:rsid w:val="588A01CF"/>
    <w:rsid w:val="5891595B"/>
    <w:rsid w:val="58AB381A"/>
    <w:rsid w:val="58B13C92"/>
    <w:rsid w:val="58C85C32"/>
    <w:rsid w:val="58D64DCB"/>
    <w:rsid w:val="58DC5E07"/>
    <w:rsid w:val="58F86605"/>
    <w:rsid w:val="591F1D47"/>
    <w:rsid w:val="59335165"/>
    <w:rsid w:val="593B6ECF"/>
    <w:rsid w:val="593C7FF3"/>
    <w:rsid w:val="597823D6"/>
    <w:rsid w:val="597B2CC1"/>
    <w:rsid w:val="59C53F20"/>
    <w:rsid w:val="5A0077EB"/>
    <w:rsid w:val="5A114B53"/>
    <w:rsid w:val="5A252118"/>
    <w:rsid w:val="5A795751"/>
    <w:rsid w:val="5A815E0F"/>
    <w:rsid w:val="5B405245"/>
    <w:rsid w:val="5B490AD6"/>
    <w:rsid w:val="5B6E0358"/>
    <w:rsid w:val="5BC53F6F"/>
    <w:rsid w:val="5BEC78DC"/>
    <w:rsid w:val="5BF136F2"/>
    <w:rsid w:val="5C2432B9"/>
    <w:rsid w:val="5C441A74"/>
    <w:rsid w:val="5C5A5991"/>
    <w:rsid w:val="5C9F2C03"/>
    <w:rsid w:val="5CA52A3F"/>
    <w:rsid w:val="5CB04A23"/>
    <w:rsid w:val="5CD5691D"/>
    <w:rsid w:val="5CDF39EC"/>
    <w:rsid w:val="5D79399F"/>
    <w:rsid w:val="5DB20097"/>
    <w:rsid w:val="5E6A0F75"/>
    <w:rsid w:val="5EA2049C"/>
    <w:rsid w:val="5EAC6564"/>
    <w:rsid w:val="5ECE6B6D"/>
    <w:rsid w:val="5EE11F7F"/>
    <w:rsid w:val="5EEA2EAA"/>
    <w:rsid w:val="5EEF1EBF"/>
    <w:rsid w:val="5F087B79"/>
    <w:rsid w:val="5F0A307C"/>
    <w:rsid w:val="5F213E80"/>
    <w:rsid w:val="5F28266A"/>
    <w:rsid w:val="5F670982"/>
    <w:rsid w:val="5FCE397E"/>
    <w:rsid w:val="5FDB1B0F"/>
    <w:rsid w:val="5FED586D"/>
    <w:rsid w:val="604C7F47"/>
    <w:rsid w:val="606E70C0"/>
    <w:rsid w:val="60E51267"/>
    <w:rsid w:val="61B60159"/>
    <w:rsid w:val="61BD1EDA"/>
    <w:rsid w:val="61CE3DFA"/>
    <w:rsid w:val="624C6651"/>
    <w:rsid w:val="62747816"/>
    <w:rsid w:val="627821ED"/>
    <w:rsid w:val="627F6860"/>
    <w:rsid w:val="629152E7"/>
    <w:rsid w:val="629E41F9"/>
    <w:rsid w:val="62E27353"/>
    <w:rsid w:val="63265DAD"/>
    <w:rsid w:val="63523361"/>
    <w:rsid w:val="637F151D"/>
    <w:rsid w:val="63A05C7E"/>
    <w:rsid w:val="63F77918"/>
    <w:rsid w:val="643B3017"/>
    <w:rsid w:val="645B3DFE"/>
    <w:rsid w:val="6491688B"/>
    <w:rsid w:val="64FF76D8"/>
    <w:rsid w:val="654C47B8"/>
    <w:rsid w:val="655316CD"/>
    <w:rsid w:val="65790D87"/>
    <w:rsid w:val="657C0A34"/>
    <w:rsid w:val="657C1D0C"/>
    <w:rsid w:val="65B019B9"/>
    <w:rsid w:val="66057518"/>
    <w:rsid w:val="66304137"/>
    <w:rsid w:val="6654033F"/>
    <w:rsid w:val="671C5708"/>
    <w:rsid w:val="676076D1"/>
    <w:rsid w:val="67B96538"/>
    <w:rsid w:val="67BF3298"/>
    <w:rsid w:val="67DD2AD4"/>
    <w:rsid w:val="67E049F9"/>
    <w:rsid w:val="67F84A0B"/>
    <w:rsid w:val="683F2814"/>
    <w:rsid w:val="68465010"/>
    <w:rsid w:val="686147D9"/>
    <w:rsid w:val="688E5E17"/>
    <w:rsid w:val="6895135D"/>
    <w:rsid w:val="689627C2"/>
    <w:rsid w:val="68A6069B"/>
    <w:rsid w:val="68C760A4"/>
    <w:rsid w:val="68F30B57"/>
    <w:rsid w:val="691512B3"/>
    <w:rsid w:val="69356FC7"/>
    <w:rsid w:val="69480AC8"/>
    <w:rsid w:val="69794B1B"/>
    <w:rsid w:val="699E02E9"/>
    <w:rsid w:val="69CB06FE"/>
    <w:rsid w:val="69CC2657"/>
    <w:rsid w:val="69CC69C6"/>
    <w:rsid w:val="69D53BAF"/>
    <w:rsid w:val="69FD4335"/>
    <w:rsid w:val="6A2152D6"/>
    <w:rsid w:val="6A324824"/>
    <w:rsid w:val="6A5A6B2B"/>
    <w:rsid w:val="6A77A281"/>
    <w:rsid w:val="6AAF0A00"/>
    <w:rsid w:val="6ADD0B5E"/>
    <w:rsid w:val="6ADF1441"/>
    <w:rsid w:val="6B0A032C"/>
    <w:rsid w:val="6B375C9B"/>
    <w:rsid w:val="6B63196B"/>
    <w:rsid w:val="6BC5152F"/>
    <w:rsid w:val="6BDF70C3"/>
    <w:rsid w:val="6BE747E0"/>
    <w:rsid w:val="6BEE7AA2"/>
    <w:rsid w:val="6C5816D0"/>
    <w:rsid w:val="6C6802A9"/>
    <w:rsid w:val="6C9E7572"/>
    <w:rsid w:val="6D05726A"/>
    <w:rsid w:val="6D131E03"/>
    <w:rsid w:val="6D176058"/>
    <w:rsid w:val="6D26779F"/>
    <w:rsid w:val="6D2F311B"/>
    <w:rsid w:val="6D467CD3"/>
    <w:rsid w:val="6D8D0448"/>
    <w:rsid w:val="6D8E5EC9"/>
    <w:rsid w:val="6DB434B2"/>
    <w:rsid w:val="6DBD6A19"/>
    <w:rsid w:val="6DCE0461"/>
    <w:rsid w:val="6DFF154E"/>
    <w:rsid w:val="6E617526"/>
    <w:rsid w:val="6E640DB7"/>
    <w:rsid w:val="6E6472D6"/>
    <w:rsid w:val="6E71780C"/>
    <w:rsid w:val="6EA32411"/>
    <w:rsid w:val="6F416B95"/>
    <w:rsid w:val="6F846384"/>
    <w:rsid w:val="6F8749CB"/>
    <w:rsid w:val="6F904395"/>
    <w:rsid w:val="6F933B54"/>
    <w:rsid w:val="6FA14630"/>
    <w:rsid w:val="6FD31987"/>
    <w:rsid w:val="6FFD27CB"/>
    <w:rsid w:val="701102E0"/>
    <w:rsid w:val="70640519"/>
    <w:rsid w:val="709868AB"/>
    <w:rsid w:val="70D005A5"/>
    <w:rsid w:val="70D64C91"/>
    <w:rsid w:val="70F5338C"/>
    <w:rsid w:val="715C08B3"/>
    <w:rsid w:val="71C54335"/>
    <w:rsid w:val="71CD1741"/>
    <w:rsid w:val="72465B88"/>
    <w:rsid w:val="727950DD"/>
    <w:rsid w:val="72C02F0B"/>
    <w:rsid w:val="73005B71"/>
    <w:rsid w:val="73383B77"/>
    <w:rsid w:val="73501B71"/>
    <w:rsid w:val="7356799C"/>
    <w:rsid w:val="7368533C"/>
    <w:rsid w:val="739D19BD"/>
    <w:rsid w:val="73B3C694"/>
    <w:rsid w:val="73BD406C"/>
    <w:rsid w:val="73C4767E"/>
    <w:rsid w:val="73F958D6"/>
    <w:rsid w:val="742F0F2B"/>
    <w:rsid w:val="745119CD"/>
    <w:rsid w:val="747A2AB1"/>
    <w:rsid w:val="74862DDB"/>
    <w:rsid w:val="749444D3"/>
    <w:rsid w:val="74D629BE"/>
    <w:rsid w:val="75313FD1"/>
    <w:rsid w:val="75C32A24"/>
    <w:rsid w:val="76087522"/>
    <w:rsid w:val="760C246D"/>
    <w:rsid w:val="765770F8"/>
    <w:rsid w:val="767D68A8"/>
    <w:rsid w:val="76B30C4A"/>
    <w:rsid w:val="76BB18DA"/>
    <w:rsid w:val="76D773C6"/>
    <w:rsid w:val="76E53F26"/>
    <w:rsid w:val="76F1223B"/>
    <w:rsid w:val="772F0D1E"/>
    <w:rsid w:val="77733733"/>
    <w:rsid w:val="778857AA"/>
    <w:rsid w:val="77A96839"/>
    <w:rsid w:val="77B10B6D"/>
    <w:rsid w:val="77C67658"/>
    <w:rsid w:val="77CC2A1C"/>
    <w:rsid w:val="782A6714"/>
    <w:rsid w:val="78AF2E46"/>
    <w:rsid w:val="78B33C13"/>
    <w:rsid w:val="78DC1B4A"/>
    <w:rsid w:val="790A4622"/>
    <w:rsid w:val="791F4EA4"/>
    <w:rsid w:val="79285B5A"/>
    <w:rsid w:val="79455C0B"/>
    <w:rsid w:val="799E4E95"/>
    <w:rsid w:val="79B97062"/>
    <w:rsid w:val="79EE5751"/>
    <w:rsid w:val="7A0400BD"/>
    <w:rsid w:val="7A24711D"/>
    <w:rsid w:val="7A3C39B8"/>
    <w:rsid w:val="7A40469E"/>
    <w:rsid w:val="7A486C06"/>
    <w:rsid w:val="7A5223BA"/>
    <w:rsid w:val="7A7F7A06"/>
    <w:rsid w:val="7A9A18B5"/>
    <w:rsid w:val="7ABC1261"/>
    <w:rsid w:val="7ACCA255"/>
    <w:rsid w:val="7AFF89E3"/>
    <w:rsid w:val="7B121005"/>
    <w:rsid w:val="7B3960C4"/>
    <w:rsid w:val="7B3C7DB9"/>
    <w:rsid w:val="7BC74D7F"/>
    <w:rsid w:val="7BE0414B"/>
    <w:rsid w:val="7C086208"/>
    <w:rsid w:val="7C232FFC"/>
    <w:rsid w:val="7C2559E9"/>
    <w:rsid w:val="7C2D4BFD"/>
    <w:rsid w:val="7CC86647"/>
    <w:rsid w:val="7CD47439"/>
    <w:rsid w:val="7CF709B8"/>
    <w:rsid w:val="7D362E31"/>
    <w:rsid w:val="7D594629"/>
    <w:rsid w:val="7D7F5830"/>
    <w:rsid w:val="7DAD7B11"/>
    <w:rsid w:val="7DC15B2F"/>
    <w:rsid w:val="7DC73FEB"/>
    <w:rsid w:val="7DED5E2F"/>
    <w:rsid w:val="7E1B01F2"/>
    <w:rsid w:val="7E4D1CC6"/>
    <w:rsid w:val="7E5747D4"/>
    <w:rsid w:val="7E71317F"/>
    <w:rsid w:val="7E730166"/>
    <w:rsid w:val="7EA96AF0"/>
    <w:rsid w:val="7ECA36F2"/>
    <w:rsid w:val="7ECA631C"/>
    <w:rsid w:val="7F051474"/>
    <w:rsid w:val="7F055432"/>
    <w:rsid w:val="7F1E459D"/>
    <w:rsid w:val="7F3F4AD1"/>
    <w:rsid w:val="7F4D41EB"/>
    <w:rsid w:val="7F5FF46D"/>
    <w:rsid w:val="82381E8D"/>
    <w:rsid w:val="AF6AE6C5"/>
    <w:rsid w:val="AFBD63D3"/>
    <w:rsid w:val="BF8F9983"/>
    <w:rsid w:val="BFBC6F35"/>
    <w:rsid w:val="BFFF5180"/>
    <w:rsid w:val="DFBF916A"/>
    <w:rsid w:val="DFEE47C8"/>
    <w:rsid w:val="EE7F92CE"/>
    <w:rsid w:val="F9FF10D6"/>
    <w:rsid w:val="FB7FED62"/>
    <w:rsid w:val="FBFEB724"/>
    <w:rsid w:val="FEEE9BE2"/>
    <w:rsid w:val="FF3F57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15"/>
    <w:qFormat/>
    <w:uiPriority w:val="0"/>
    <w:pPr>
      <w:keepNext/>
      <w:keepLines/>
      <w:widowControl w:val="0"/>
      <w:spacing w:after="100" w:afterLines="100" w:line="640" w:lineRule="exact"/>
      <w:jc w:val="center"/>
      <w:outlineLvl w:val="0"/>
    </w:pPr>
    <w:rPr>
      <w:rFonts w:ascii="Times New Roman" w:hAnsi="Times New Roman" w:eastAsia="方正小标宋_GBK"/>
      <w:b/>
      <w:kern w:val="44"/>
      <w:sz w:val="44"/>
    </w:rPr>
  </w:style>
  <w:style w:type="paragraph" w:styleId="3">
    <w:name w:val="heading 2"/>
    <w:basedOn w:val="1"/>
    <w:next w:val="1"/>
    <w:link w:val="14"/>
    <w:unhideWhenUsed/>
    <w:qFormat/>
    <w:uiPriority w:val="0"/>
    <w:pPr>
      <w:keepNext/>
      <w:keepLines/>
      <w:spacing w:beforeAutospacing="0" w:after="100" w:afterLines="100" w:afterAutospacing="0" w:line="640" w:lineRule="exact"/>
      <w:jc w:val="center"/>
      <w:outlineLvl w:val="1"/>
    </w:pPr>
    <w:rPr>
      <w:rFonts w:ascii="Times New Roman" w:hAnsi="Times New Roman" w:eastAsia="方正楷体_GBK"/>
      <w:b/>
      <w:sz w:val="32"/>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rPr>
      <w:lang w:val="en-US" w:eastAsia="zh-CN"/>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oc 2"/>
    <w:basedOn w:val="1"/>
    <w:next w:val="1"/>
    <w:unhideWhenUsed/>
    <w:qFormat/>
    <w:uiPriority w:val="39"/>
    <w:pPr>
      <w:ind w:left="420" w:leftChars="200"/>
    </w:pPr>
    <w:rPr>
      <w:lang w:val="en-US" w:eastAsia="zh-CN"/>
    </w:rPr>
  </w:style>
  <w:style w:type="character" w:styleId="10">
    <w:name w:val="annotation reference"/>
    <w:qFormat/>
    <w:uiPriority w:val="0"/>
    <w:rPr>
      <w:sz w:val="21"/>
      <w:szCs w:val="21"/>
    </w:rPr>
  </w:style>
  <w:style w:type="paragraph" w:customStyle="1" w:styleId="11">
    <w:name w:val="Table Text"/>
    <w:basedOn w:val="1"/>
    <w:semiHidden/>
    <w:qFormat/>
    <w:uiPriority w:val="0"/>
    <w:rPr>
      <w:rFonts w:ascii="宋体" w:hAnsi="宋体" w:eastAsia="宋体" w:cs="宋体"/>
      <w:sz w:val="21"/>
      <w:szCs w:val="21"/>
      <w:lang w:val="en-US" w:eastAsia="en-US" w:bidi="ar-SA"/>
    </w:rPr>
  </w:style>
  <w:style w:type="paragraph" w:customStyle="1" w:styleId="12">
    <w:name w:val="Default"/>
    <w:unhideWhenUsed/>
    <w:qFormat/>
    <w:uiPriority w:val="99"/>
    <w:pPr>
      <w:widowControl w:val="0"/>
      <w:autoSpaceDE w:val="0"/>
      <w:autoSpaceDN w:val="0"/>
      <w:adjustRightInd w:val="0"/>
    </w:pPr>
    <w:rPr>
      <w:rFonts w:hint="eastAsia" w:ascii="方正仿宋_GBK" w:hAnsi="方正仿宋_GBK" w:eastAsia="方正仿宋_GBK" w:cs="Times New Roman"/>
      <w:color w:val="000000"/>
      <w:sz w:val="24"/>
      <w:szCs w:val="22"/>
      <w:lang w:val="en-US" w:eastAsia="zh-CN" w:bidi="ar-SA"/>
    </w:rPr>
  </w:style>
  <w:style w:type="paragraph" w:customStyle="1" w:styleId="13">
    <w:name w:val="样式2"/>
    <w:next w:val="1"/>
    <w:qFormat/>
    <w:uiPriority w:val="0"/>
    <w:pPr>
      <w:widowControl w:val="0"/>
      <w:spacing w:before="240" w:after="60"/>
      <w:ind w:firstLine="200" w:firstLineChars="200"/>
      <w:outlineLvl w:val="0"/>
    </w:pPr>
    <w:rPr>
      <w:rFonts w:ascii="等线 Light" w:hAnsi="等线 Light" w:eastAsia="宋体" w:cs="Times New Roman"/>
      <w:bCs/>
      <w:kern w:val="2"/>
      <w:sz w:val="28"/>
      <w:szCs w:val="32"/>
      <w:lang w:val="en-US" w:eastAsia="zh-CN" w:bidi="ar-SA"/>
    </w:rPr>
  </w:style>
  <w:style w:type="character" w:customStyle="1" w:styleId="14">
    <w:name w:val="标题 2 字符"/>
    <w:link w:val="3"/>
    <w:qFormat/>
    <w:uiPriority w:val="0"/>
    <w:rPr>
      <w:rFonts w:ascii="Times New Roman" w:hAnsi="Times New Roman" w:eastAsia="方正楷体_GBK"/>
      <w:b/>
      <w:sz w:val="32"/>
    </w:rPr>
  </w:style>
  <w:style w:type="character" w:customStyle="1" w:styleId="15">
    <w:name w:val="标题 1 字符"/>
    <w:link w:val="2"/>
    <w:qFormat/>
    <w:uiPriority w:val="0"/>
    <w:rPr>
      <w:rFonts w:ascii="Times New Roman" w:hAnsi="Times New Roman" w:eastAsia="方正小标宋_GBK"/>
      <w:b/>
      <w:kern w:val="44"/>
      <w:sz w:val="44"/>
    </w:rPr>
  </w:style>
  <w:style w:type="character" w:customStyle="1" w:styleId="16">
    <w:name w:val="sect2title1"/>
    <w:qFormat/>
    <w:uiPriority w:val="0"/>
    <w:rPr>
      <w:rFonts w:hint="eastAsia" w:ascii="微软雅黑" w:hAnsi="微软雅黑" w:eastAsia="微软雅黑"/>
      <w:b/>
      <w:bCs/>
      <w:sz w:val="21"/>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244</Pages>
  <Words>2590</Words>
  <Characters>2663</Characters>
  <Lines>0</Lines>
  <Paragraphs>0</Paragraphs>
  <TotalTime>25</TotalTime>
  <ScaleCrop>false</ScaleCrop>
  <LinksUpToDate>false</LinksUpToDate>
  <CharactersWithSpaces>2681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2026-07-09T07:14:00Z</dcterms:created>
  <dc:creator>邹伟强</dc:creator>
  <cp:lastModifiedBy>彩虹</cp:lastModifiedBy>
  <cp:lastPrinted>2026-08-10T17:59:00Z</cp:lastPrinted>
  <dcterms:modified xsi:type="dcterms:W3CDTF">2026-08-24T02:11:11Z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DA43DB6F69CF4B2EA28A5641FD49A7C9_13</vt:lpwstr>
  </property>
  <property fmtid="{D5CDD505-2E9C-101B-9397-08002B2CF9AE}" pid="4" name="KSOTemplateDocerSaveRecord">
    <vt:lpwstr>eyJoZGlkIjoiMTVkZWM3YTE0NjcyMTM3NzFlMjg2ZjdjMDQ1MzBlOWMiLCJ1c2VySWQiOiIzMjY0NDE3ODkifQ==</vt:lpwstr>
  </property>
</Properties>
</file>